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B0" w:rsidRDefault="001359B0" w:rsidP="00C4196B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b/>
          <w:bCs/>
          <w:sz w:val="24"/>
          <w:szCs w:val="24"/>
          <w:lang w:eastAsia="ru-RU"/>
        </w:rPr>
        <w:t>Межполушарная асимметрия</w:t>
      </w:r>
      <w:r w:rsidRPr="005154A6">
        <w:rPr>
          <w:rFonts w:ascii="Times New Roman" w:hAnsi="Times New Roman"/>
          <w:sz w:val="24"/>
          <w:szCs w:val="24"/>
          <w:lang w:eastAsia="ru-RU"/>
        </w:rPr>
        <w:t xml:space="preserve">— одна из фундаментальных закономерностей организации </w:t>
      </w:r>
      <w:hyperlink r:id="rId5" w:tooltip="Мозг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мозга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 не только </w:t>
      </w:r>
      <w:hyperlink r:id="rId6" w:tooltip="Человек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человека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, но и </w:t>
      </w:r>
      <w:hyperlink r:id="rId7" w:tooltip="Животные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животных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. Проявляется не только в морфологии мозга, но и в межполушарной асимметрии </w:t>
      </w:r>
      <w:hyperlink r:id="rId8" w:tooltip="Психика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психических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 процессов.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В рамках проводимых исследований основное внимание уделяется вопросам связи межполушарной асимметрии с психическими познавательными процессами и влиянию поражений отдельных структур и областей мозга на протекание этих процессов.</w:t>
      </w:r>
    </w:p>
    <w:p w:rsidR="00856890" w:rsidRPr="005154A6" w:rsidRDefault="00856890" w:rsidP="005154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 xml:space="preserve">С функциями левого и правого полушария у человека связаны два типа мышления — </w:t>
      </w:r>
      <w:hyperlink r:id="rId9" w:tooltip="Абстрактный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абстрактно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>-</w:t>
      </w:r>
      <w:hyperlink r:id="rId10" w:tooltip="Логика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логическое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11" w:tooltip="Пространство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пространственно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-образное. 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Было показано, что правополушарное мышление, создающее специфический пространственно-образный контекст, имеет решающее значение для творчества. Так, при органическом поражении левого полушария мозга у художников и музыкантов практически не страдают их артистические способности, а иногда даже повышается уровень эстетической выразительности творчества, но поражения правого полушария способны привести к полной утрате способности к творчеству.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Вместе с этим всё ещё не выясненными остаются вопросы соотношения ведущей руки и ведущего речевого полушария, связи межполушарной асимметрии с эмоциональной сферой и такими психическими познавательными процессами, как память и воображение.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5154A6">
        <w:rPr>
          <w:rFonts w:ascii="Times New Roman" w:hAnsi="Times New Roman"/>
          <w:b/>
          <w:bCs/>
          <w:sz w:val="36"/>
          <w:szCs w:val="36"/>
          <w:lang w:eastAsia="ru-RU"/>
        </w:rPr>
        <w:t>Понятие межполушарной асимметрии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Межполушарная асимметрия психических процессов — функциональная специализированность полушарий головного мозга: при осуществлении одних психических функций ведущим является левое полушарие, других — правое. Более чем вековая история анатомических, морфофункциональных, биохимических, нейрофизиологических и психофизиологических исследований асимметрии больших полушарий головного мозга у человека свидетельствует о существовании особого принципа построения и реализации таких важнейших функций мозга, как восприятие, внимание, память, мышление и речь.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В настоящее время считается, что левое полушарие у правшей играет преимущественную роль в экспрессивной и импрессивной речи, в чтении, письме, вербальной памяти и вербальном мышлении. Правое же полушарие выступает ведущим для неречевого, например, музыкального слуха, зрительно-пространственной ориентации, невербальной памяти, критичности.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Также было показано, что левое полушарие в большей степени ориентировано на прогнозирование будущих состояний, а правое — на взаимодействие с опытом и с актуально протекающими событиями.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 xml:space="preserve">В процессе индивидуального развития выраженность межполушарной асимметрии меняется — происходит </w:t>
      </w:r>
      <w:hyperlink r:id="rId12" w:tooltip="Латерализация (страница отсутствует)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латерализация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 xml:space="preserve"> функций головного мозга. Последние исследования свидетельствуют о том, что межполушарная асимметрия вносит существенный вклад в проявление высокого интеллекта человека. При этом в известных пределах существует взаимозаменяемость полушарий головного мозга.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Важно отметить, что конкретный тип полушарного реагирования не формируется при рождении. На ранних этапах онтогенеза у большинства детей выявляется образный, правополушарный тип реагирования, и только в определенном возрасте (как правило, от 10-ти до 14-ти лет) закрепляется тот или иной фенотип, преимущественно характерный для данной популяции (</w:t>
      </w:r>
      <w:hyperlink r:id="rId13" w:tooltip="Аршавский, Виктор Вульфович" w:history="1">
        <w:r w:rsidRPr="005154A6">
          <w:rPr>
            <w:rFonts w:ascii="Times New Roman" w:hAnsi="Times New Roman"/>
            <w:sz w:val="24"/>
            <w:szCs w:val="24"/>
            <w:lang w:eastAsia="ru-RU"/>
          </w:rPr>
          <w:t>Аршавский В.</w:t>
        </w:r>
      </w:hyperlink>
      <w:r w:rsidRPr="005154A6">
        <w:rPr>
          <w:rFonts w:ascii="Times New Roman" w:hAnsi="Times New Roman"/>
          <w:sz w:val="24"/>
          <w:szCs w:val="24"/>
          <w:lang w:eastAsia="ru-RU"/>
        </w:rPr>
        <w:t>). Это подтверждается и данными о том, что у неграмотных людей функциональная асимметрия головного мозга меньше, чем у грамотных.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Асимметрия усиливается и в процессе обучения: левое полушарие специализируется в знаковых операциях, и правое полушарие — в образных.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154A6">
        <w:rPr>
          <w:rFonts w:ascii="Times New Roman" w:hAnsi="Times New Roman"/>
          <w:b/>
          <w:bCs/>
          <w:sz w:val="27"/>
          <w:szCs w:val="27"/>
          <w:lang w:eastAsia="ru-RU"/>
        </w:rPr>
        <w:t>Объяснение с точки зрения этологии</w:t>
      </w:r>
    </w:p>
    <w:p w:rsidR="00856890" w:rsidRPr="005154A6" w:rsidRDefault="000E4D15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hyperlink r:id="rId14" w:tooltip="Этология" w:history="1">
        <w:r w:rsidR="00856890" w:rsidRPr="005154A6">
          <w:rPr>
            <w:rFonts w:ascii="Times New Roman" w:hAnsi="Times New Roman"/>
            <w:sz w:val="24"/>
            <w:szCs w:val="24"/>
            <w:lang w:eastAsia="ru-RU"/>
          </w:rPr>
          <w:t>Этология</w:t>
        </w:r>
      </w:hyperlink>
      <w:r w:rsidR="00856890" w:rsidRPr="005154A6">
        <w:rPr>
          <w:rFonts w:ascii="Times New Roman" w:hAnsi="Times New Roman"/>
          <w:sz w:val="24"/>
          <w:szCs w:val="24"/>
          <w:lang w:eastAsia="ru-RU"/>
        </w:rPr>
        <w:t xml:space="preserve"> считает возникновение и развитие межполушарной асимметрии следствием </w:t>
      </w:r>
      <w:hyperlink r:id="rId15" w:tooltip="Естественный отбор" w:history="1">
        <w:r w:rsidR="00856890" w:rsidRPr="005154A6">
          <w:rPr>
            <w:rFonts w:ascii="Times New Roman" w:hAnsi="Times New Roman"/>
            <w:sz w:val="24"/>
            <w:szCs w:val="24"/>
            <w:lang w:eastAsia="ru-RU"/>
          </w:rPr>
          <w:t>естественного отбора</w:t>
        </w:r>
      </w:hyperlink>
      <w:r w:rsidR="00856890" w:rsidRPr="005154A6">
        <w:rPr>
          <w:rFonts w:ascii="Times New Roman" w:hAnsi="Times New Roman"/>
          <w:sz w:val="24"/>
          <w:szCs w:val="24"/>
          <w:lang w:eastAsia="ru-RU"/>
        </w:rPr>
        <w:t>: она была обнаружена у дельфинов и птиц (от попугая до канарейки), и весьма вероятно, что её возникновение было связано с речевой деятельностью и групповым взаимодействием.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В. Дольник отмечает, что сама по себе функциональная асимметрия полушарий мозга не позволяет провести границу между «разумом» и «неразумом». Но абстрактное мышление возникло как раз на основе разделения функций двух полушарий.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5154A6">
        <w:rPr>
          <w:rFonts w:ascii="Times New Roman" w:hAnsi="Times New Roman"/>
          <w:b/>
          <w:bCs/>
          <w:sz w:val="36"/>
          <w:szCs w:val="36"/>
          <w:lang w:eastAsia="ru-RU"/>
        </w:rPr>
        <w:t>Основные функции полушарий и связь между ними</w:t>
      </w:r>
    </w:p>
    <w:p w:rsidR="00856890" w:rsidRPr="005154A6" w:rsidRDefault="00856890" w:rsidP="00C4196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154A6">
        <w:rPr>
          <w:rFonts w:ascii="Times New Roman" w:hAnsi="Times New Roman"/>
          <w:b/>
          <w:bCs/>
          <w:sz w:val="27"/>
          <w:szCs w:val="27"/>
          <w:lang w:eastAsia="ru-RU"/>
        </w:rPr>
        <w:t>Логика и распознавание образов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Способность к речи, анализу, детализированию, абстракции обеспечивается левым полушарием мозга. Оно работает последовательно, выстраивая цепочки, алгоритмы, оперируя с фактом, деталью, символом, знаком, отвечает за абстрактно-логический компонент в мышлении.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Правое полушарие способно воспринимать информацию в целом, работать сразу по многим каналам и, в условиях недостатка информации, восстанавливать целое по его частям. С работой правого полушария принято соотносить творческие возможности, интуицию, этику, способность к адаптации. Правое полушарие обеспечивает восприятие реальности во всей полноте многообразия и сложности, в целом со всеми его составными элементами. Таким образом, логика левого полушария без правого окажется ущербной.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154A6">
        <w:rPr>
          <w:rFonts w:ascii="Times New Roman" w:hAnsi="Times New Roman"/>
          <w:b/>
          <w:bCs/>
          <w:sz w:val="27"/>
          <w:szCs w:val="27"/>
          <w:lang w:eastAsia="ru-RU"/>
        </w:rPr>
        <w:t>Распознавание цветов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Ряд исследований показал, что имеются различия функций полушарий мозга в цветоощущении: полушария головного мозга асимметричны в восприятии и обозначении цветов.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Правое обеспечивает словесное кодирование основных цветов с помощью простых высокочастотных названий (синий, красный). Здесь характерны минимальные латентные периоды названия и точное соответствие названий физическим характеристикам основных цветов. В целом правое полушарие ответственно за формирование жестких связей между предметом и цветом, цветом и словом, словом и сложным цветным образом предметного мира.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Левое полушарие обеспечивает словесное кодирование цветов с помощью относительно редких в языке, специальных и предметно соотнесенных названий. При угнетении левого полушария из лексикона исчезают такие названия цветов, как оранжевый, терракотовый, вишневый, цвет морской волны.</w:t>
      </w:r>
    </w:p>
    <w:p w:rsidR="00856890" w:rsidRPr="005154A6" w:rsidRDefault="00856890" w:rsidP="00C4196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5154A6">
        <w:rPr>
          <w:rFonts w:ascii="Times New Roman" w:hAnsi="Times New Roman"/>
          <w:b/>
          <w:bCs/>
          <w:sz w:val="27"/>
          <w:szCs w:val="27"/>
          <w:lang w:eastAsia="ru-RU"/>
        </w:rPr>
        <w:t>Организация речи</w:t>
      </w:r>
    </w:p>
    <w:p w:rsidR="00856890" w:rsidRPr="005154A6" w:rsidRDefault="00856890" w:rsidP="00C4196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Каждое полушарие формирует свои принципы организации речи:</w:t>
      </w:r>
    </w:p>
    <w:p w:rsidR="00856890" w:rsidRPr="005154A6" w:rsidRDefault="00856890" w:rsidP="00C419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правое формирует целостность смыслового содержания, обеспечивает эмпирическое и образное (метафорическое) мышление, создает ассоциации на основе наглядно-чувственных представлений о предмете; левое полушарие обеспечивает теоретическое мышление, грамматическое оформление высказывания и характеристику свойств предметов.</w:t>
      </w:r>
    </w:p>
    <w:p w:rsidR="00856890" w:rsidRPr="005154A6" w:rsidRDefault="00856890" w:rsidP="00C4196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154A6">
        <w:rPr>
          <w:rFonts w:ascii="Times New Roman" w:hAnsi="Times New Roman"/>
          <w:sz w:val="24"/>
          <w:szCs w:val="24"/>
          <w:lang w:eastAsia="ru-RU"/>
        </w:rPr>
        <w:t>формирование структуры лексикона человека происходит за счет суммирования разных слоев лексики: правое полушарие опирается на образное отображение предметного мира, левое — на точные, дословно воспринимаемые обозначения, «слова-концепты».</w:t>
      </w:r>
    </w:p>
    <w:p w:rsidR="00856890" w:rsidRPr="005154A6" w:rsidRDefault="00856890"/>
    <w:p w:rsidR="00856890" w:rsidRPr="005154A6" w:rsidRDefault="00856890">
      <w:bookmarkStart w:id="0" w:name="_GoBack"/>
      <w:bookmarkEnd w:id="0"/>
    </w:p>
    <w:sectPr w:rsidR="00856890" w:rsidRPr="005154A6" w:rsidSect="00681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" o:spid="_x0000_i1027" type="#_x0000_t75" alt="Найти" style="width:9pt;height:9.75pt;visibility:visible" o:bullet="t">
        <v:imagedata r:id="rId1" o:title=""/>
      </v:shape>
    </w:pict>
  </w:numPicBullet>
  <w:abstractNum w:abstractNumId="0">
    <w:nsid w:val="01DC0F47"/>
    <w:multiLevelType w:val="multilevel"/>
    <w:tmpl w:val="87A0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D2F13"/>
    <w:multiLevelType w:val="multilevel"/>
    <w:tmpl w:val="74E8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002CEF"/>
    <w:multiLevelType w:val="multilevel"/>
    <w:tmpl w:val="2560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746195"/>
    <w:multiLevelType w:val="multilevel"/>
    <w:tmpl w:val="CD5CC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917F0"/>
    <w:multiLevelType w:val="multilevel"/>
    <w:tmpl w:val="F0FA2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EC4E09"/>
    <w:multiLevelType w:val="multilevel"/>
    <w:tmpl w:val="FC34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060EAF"/>
    <w:multiLevelType w:val="multilevel"/>
    <w:tmpl w:val="18722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C6F4F"/>
    <w:multiLevelType w:val="multilevel"/>
    <w:tmpl w:val="00E22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B1635EB"/>
    <w:multiLevelType w:val="multilevel"/>
    <w:tmpl w:val="638E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840E2"/>
    <w:multiLevelType w:val="multilevel"/>
    <w:tmpl w:val="C254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ED4908"/>
    <w:multiLevelType w:val="multilevel"/>
    <w:tmpl w:val="BF74725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EA1DD8"/>
    <w:multiLevelType w:val="multilevel"/>
    <w:tmpl w:val="4BA68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57158A"/>
    <w:multiLevelType w:val="multilevel"/>
    <w:tmpl w:val="19AC4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EA30BF"/>
    <w:multiLevelType w:val="multilevel"/>
    <w:tmpl w:val="AF26D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7"/>
  </w:num>
  <w:num w:numId="5">
    <w:abstractNumId w:val="12"/>
  </w:num>
  <w:num w:numId="6">
    <w:abstractNumId w:val="11"/>
  </w:num>
  <w:num w:numId="7">
    <w:abstractNumId w:val="4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  <w:num w:numId="12">
    <w:abstractNumId w:val="6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96B"/>
    <w:rsid w:val="000E4D15"/>
    <w:rsid w:val="001359B0"/>
    <w:rsid w:val="002A2AB3"/>
    <w:rsid w:val="00344573"/>
    <w:rsid w:val="005154A6"/>
    <w:rsid w:val="0068130A"/>
    <w:rsid w:val="006848DD"/>
    <w:rsid w:val="00856890"/>
    <w:rsid w:val="00882050"/>
    <w:rsid w:val="00A63669"/>
    <w:rsid w:val="00C4196B"/>
    <w:rsid w:val="00D774F7"/>
    <w:rsid w:val="00D870B3"/>
    <w:rsid w:val="00E20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2FAFF21-B686-4C06-9289-41385EA4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0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C4196B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C4196B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qFormat/>
    <w:rsid w:val="00C4196B"/>
    <w:pPr>
      <w:spacing w:before="100" w:beforeAutospacing="1" w:after="100" w:afterAutospacing="1" w:line="240" w:lineRule="auto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196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C4196B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C4196B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C4196B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styleId="a4">
    <w:name w:val="Hyperlink"/>
    <w:basedOn w:val="a0"/>
    <w:semiHidden/>
    <w:rsid w:val="00C4196B"/>
    <w:rPr>
      <w:rFonts w:cs="Times New Roman"/>
      <w:color w:val="0000FF"/>
      <w:u w:val="single"/>
    </w:rPr>
  </w:style>
  <w:style w:type="character" w:styleId="a5">
    <w:name w:val="FollowedHyperlink"/>
    <w:basedOn w:val="a0"/>
    <w:semiHidden/>
    <w:rsid w:val="00C4196B"/>
    <w:rPr>
      <w:rFonts w:cs="Times New Roman"/>
      <w:color w:val="800080"/>
      <w:u w:val="single"/>
    </w:rPr>
  </w:style>
  <w:style w:type="character" w:customStyle="1" w:styleId="tocnumber">
    <w:name w:val="tocnumber"/>
    <w:basedOn w:val="a0"/>
    <w:rsid w:val="00C4196B"/>
    <w:rPr>
      <w:rFonts w:cs="Times New Roman"/>
    </w:rPr>
  </w:style>
  <w:style w:type="character" w:customStyle="1" w:styleId="toctext">
    <w:name w:val="toctext"/>
    <w:basedOn w:val="a0"/>
    <w:rsid w:val="00C4196B"/>
    <w:rPr>
      <w:rFonts w:cs="Times New Roman"/>
    </w:rPr>
  </w:style>
  <w:style w:type="character" w:customStyle="1" w:styleId="editsection">
    <w:name w:val="editsection"/>
    <w:basedOn w:val="a0"/>
    <w:rsid w:val="00C4196B"/>
    <w:rPr>
      <w:rFonts w:cs="Times New Roman"/>
    </w:rPr>
  </w:style>
  <w:style w:type="character" w:customStyle="1" w:styleId="mw-headline">
    <w:name w:val="mw-headline"/>
    <w:basedOn w:val="a0"/>
    <w:rsid w:val="00C4196B"/>
    <w:rPr>
      <w:rFonts w:cs="Times New Roman"/>
    </w:rPr>
  </w:style>
  <w:style w:type="character" w:customStyle="1" w:styleId="ref-info">
    <w:name w:val="ref-info"/>
    <w:basedOn w:val="a0"/>
    <w:rsid w:val="00C4196B"/>
    <w:rPr>
      <w:rFonts w:cs="Times New Roman"/>
    </w:rPr>
  </w:style>
  <w:style w:type="paragraph" w:styleId="z-">
    <w:name w:val="HTML Top of Form"/>
    <w:basedOn w:val="a"/>
    <w:next w:val="a"/>
    <w:link w:val="z-0"/>
    <w:hidden/>
    <w:semiHidden/>
    <w:rsid w:val="00C4196B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locked/>
    <w:rsid w:val="00C4196B"/>
    <w:rPr>
      <w:rFonts w:ascii="Arial" w:hAnsi="Arial" w:cs="Arial"/>
      <w:vanish/>
      <w:sz w:val="16"/>
      <w:szCs w:val="16"/>
      <w:lang w:val="x-none" w:eastAsia="ru-RU"/>
    </w:rPr>
  </w:style>
  <w:style w:type="paragraph" w:styleId="z-1">
    <w:name w:val="HTML Bottom of Form"/>
    <w:basedOn w:val="a"/>
    <w:next w:val="a"/>
    <w:link w:val="z-2"/>
    <w:hidden/>
    <w:semiHidden/>
    <w:rsid w:val="00C4196B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semiHidden/>
    <w:locked/>
    <w:rsid w:val="00C4196B"/>
    <w:rPr>
      <w:rFonts w:ascii="Arial" w:hAnsi="Arial" w:cs="Arial"/>
      <w:vanish/>
      <w:sz w:val="16"/>
      <w:szCs w:val="16"/>
      <w:lang w:val="x-none" w:eastAsia="ru-RU"/>
    </w:rPr>
  </w:style>
  <w:style w:type="paragraph" w:styleId="a6">
    <w:name w:val="Balloon Text"/>
    <w:basedOn w:val="a"/>
    <w:link w:val="a7"/>
    <w:semiHidden/>
    <w:rsid w:val="00C41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C41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1%D0%B8%D1%85%D0%B8%D0%BA%D0%B0" TargetMode="External"/><Relationship Id="rId13" Type="http://schemas.openxmlformats.org/officeDocument/2006/relationships/hyperlink" Target="http://ru.wikipedia.org/wiki/%D0%90%D1%80%D1%88%D0%B0%D0%B2%D1%81%D0%BA%D0%B8%D0%B9,_%D0%92%D0%B8%D0%BA%D1%82%D0%BE%D1%80_%D0%92%D1%83%D0%BB%D1%8C%D1%84%D0%BE%D0%B2%D0%B8%D1%8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6%D0%B8%D0%B2%D0%BE%D1%82%D0%BD%D1%8B%D0%B5" TargetMode="External"/><Relationship Id="rId12" Type="http://schemas.openxmlformats.org/officeDocument/2006/relationships/hyperlink" Target="http://ru.wikipedia.org/w/index.php?title=%D0%9B%D0%B0%D1%82%D0%B5%D1%80%D0%B0%D0%BB%D0%B8%D0%B7%D0%B0%D1%86%D0%B8%D1%8F&amp;action=edit&amp;redlink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7%D0%B5%D0%BB%D0%BE%D0%B2%D0%B5%D0%BA" TargetMode="External"/><Relationship Id="rId11" Type="http://schemas.openxmlformats.org/officeDocument/2006/relationships/hyperlink" Target="http://ru.wikipedia.org/wiki/%D0%9F%D1%80%D0%BE%D1%81%D1%82%D1%80%D0%B0%D0%BD%D1%81%D1%82%D0%B2%D0%BE" TargetMode="External"/><Relationship Id="rId5" Type="http://schemas.openxmlformats.org/officeDocument/2006/relationships/hyperlink" Target="http://ru.wikipedia.org/wiki/%D0%9C%D0%BE%D0%B7%D0%B3" TargetMode="External"/><Relationship Id="rId15" Type="http://schemas.openxmlformats.org/officeDocument/2006/relationships/hyperlink" Target="http://ru.wikipedia.org/wiki/%D0%95%D1%81%D1%82%D0%B5%D1%81%D1%82%D0%B2%D0%B5%D0%BD%D0%BD%D1%8B%D0%B9_%D0%BE%D1%82%D0%B1%D0%BE%D1%80" TargetMode="External"/><Relationship Id="rId10" Type="http://schemas.openxmlformats.org/officeDocument/2006/relationships/hyperlink" Target="http://ru.wikipedia.org/wiki/%D0%9B%D0%BE%D0%B3%D0%B8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0%D0%B1%D1%81%D1%82%D1%80%D0%B0%D0%BA%D1%82%D0%BD%D1%8B%D0%B9" TargetMode="External"/><Relationship Id="rId14" Type="http://schemas.openxmlformats.org/officeDocument/2006/relationships/hyperlink" Target="http://ru.wikipedia.org/wiki/%D0%AD%D1%82%D0%BE%D0%BB%D0%BE%D0%B3%D0%B8%D1%8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Межполушарная асимметрия— одна из фундаментальных закономерностей организации мозга не только человека, но и животных</vt:lpstr>
    </vt:vector>
  </TitlesOfParts>
  <Company>home</Company>
  <LinksUpToDate>false</LinksUpToDate>
  <CharactersWithSpaces>7672</CharactersWithSpaces>
  <SharedDoc>false</SharedDoc>
  <HLinks>
    <vt:vector size="66" baseType="variant">
      <vt:variant>
        <vt:i4>2424837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http://ru.wikipedia.org/wiki/%D0%95%D1%81%D1%82%D0%B5%D1%81%D1%82%D0%B2%D0%B5%D0%BD%D0%BD%D1%8B%D0%B9_%D0%BE%D1%82%D0%B1%D0%BE%D1%80</vt:lpwstr>
      </vt:variant>
      <vt:variant>
        <vt:lpwstr/>
      </vt:variant>
      <vt:variant>
        <vt:i4>720913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http://ru.wikipedia.org/wiki/%D0%AD%D1%82%D0%BE%D0%BB%D0%BE%D0%B3%D0%B8%D1%8F</vt:lpwstr>
      </vt:variant>
      <vt:variant>
        <vt:lpwstr/>
      </vt:variant>
      <vt:variant>
        <vt:i4>7995515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http://ru.wikipedia.org/wiki/%D0%90%D1%80%D1%88%D0%B0%D0%B2%D1%81%D0%BA%D0%B8%D0%B9,_%D0%92%D0%B8%D0%BA%D1%82%D0%BE%D1%80_%D0%92%D1%83%D0%BB%D1%8C%D1%84%D0%BE%D0%B2%D0%B8%D1%87</vt:lpwstr>
      </vt:variant>
      <vt:variant>
        <vt:lpwstr/>
      </vt:variant>
      <vt:variant>
        <vt:i4>4063332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http://ru.wikipedia.org/w/index.php?title=%D0%9B%D0%B0%D1%82%D0%B5%D1%80%D0%B0%D0%BB%D0%B8%D0%B7%D0%B0%D1%86%D0%B8%D1%8F&amp;action=edit&amp;redlink=1</vt:lpwstr>
      </vt:variant>
      <vt:variant>
        <vt:lpwstr/>
      </vt:variant>
      <vt:variant>
        <vt:i4>5439563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http://ru.wikipedia.org/wiki/%D0%9F%D1%80%D0%BE%D1%81%D1%82%D1%80%D0%B0%D0%BD%D1%81%D1%82%D0%B2%D0%BE</vt:lpwstr>
      </vt:variant>
      <vt:variant>
        <vt:lpwstr/>
      </vt:variant>
      <vt:variant>
        <vt:i4>5439555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http://ru.wikipedia.org/wiki/%D0%9B%D0%BE%D0%B3%D0%B8%D0%BA%D0%B0</vt:lpwstr>
      </vt:variant>
      <vt:variant>
        <vt:lpwstr/>
      </vt:variant>
      <vt:variant>
        <vt:i4>8323128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http://ru.wikipedia.org/wiki/%D0%90%D0%B1%D1%81%D1%82%D1%80%D0%B0%D0%BA%D1%82%D0%BD%D1%8B%D0%B9</vt:lpwstr>
      </vt:variant>
      <vt:variant>
        <vt:lpwstr/>
      </vt:variant>
      <vt:variant>
        <vt:i4>2359404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http://ru.wikipedia.org/wiki/%D0%9F%D1%81%D0%B8%D1%85%D0%B8%D0%BA%D0%B0</vt:lpwstr>
      </vt:variant>
      <vt:variant>
        <vt:lpwstr/>
      </vt:variant>
      <vt:variant>
        <vt:i4>5439555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http://ru.wikipedia.org/wiki/%D0%96%D0%B8%D0%B2%D0%BE%D1%82%D0%BD%D1%8B%D0%B5</vt:lpwstr>
      </vt:variant>
      <vt:variant>
        <vt:lpwstr/>
      </vt:variant>
      <vt:variant>
        <vt:i4>8126573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http://ru.wikipedia.org/wiki/%D0%A7%D0%B5%D0%BB%D0%BE%D0%B2%D0%B5%D0%BA</vt:lpwstr>
      </vt:variant>
      <vt:variant>
        <vt:lpwstr/>
      </vt:variant>
      <vt:variant>
        <vt:i4>5439519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http://ru.wikipedia.org/wiki/%D0%9C%D0%BE%D0%B7%D0%B3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Межполушарная асимметрия— одна из фундаментальных закономерностей организации мозга не только человека, но и животных</dc:title>
  <dc:subject/>
  <dc:creator>user</dc:creator>
  <cp:keywords/>
  <dc:description/>
  <cp:lastModifiedBy>admin</cp:lastModifiedBy>
  <cp:revision>2</cp:revision>
  <dcterms:created xsi:type="dcterms:W3CDTF">2014-03-30T17:42:00Z</dcterms:created>
  <dcterms:modified xsi:type="dcterms:W3CDTF">2014-03-30T17:42:00Z</dcterms:modified>
</cp:coreProperties>
</file>