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770" w:rsidRDefault="00A74770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2DD9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УДК </w:t>
      </w:r>
    </w:p>
    <w:p w:rsidR="00CE2DD9" w:rsidRPr="003F5200" w:rsidRDefault="00CE2DD9" w:rsidP="003F520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Автор: Душечкина О.П. ФКД-43</w:t>
      </w:r>
    </w:p>
    <w:p w:rsidR="00CE2DD9" w:rsidRPr="003F5200" w:rsidRDefault="00CE2DD9" w:rsidP="003F52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5200">
        <w:rPr>
          <w:rFonts w:ascii="Arial" w:hAnsi="Arial" w:cs="Arial"/>
          <w:b/>
          <w:sz w:val="24"/>
          <w:szCs w:val="24"/>
        </w:rPr>
        <w:t>ПЕРСПЕКТИВЫ РАЗВИТИЯ ВЕКСЕЛЬНОГО РЫНКА РОССИИ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Скептики говорят, что вексельный рынок в России не имеет будущего. Некоторая доля правды в данном суждении есть. И это связано не столько с существованием реального противоречия между "изобретениями" российской практики так называемыми эмиссионными векселями ("энергетическими", "приватизационными", "бездокументарными") и деловым оборотом цивилизованного рынка классических векселей, сколько с реальной угрозой "прихлопнуть" его законодательным путем.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Государство уже предпринимало в 1991-1994 гг. усилия по перестройке законодательства и системы государственного регулирования и надзора за вексельным рынком. Делались попытки в приказном порядке организовать вексельное обращение в стране. Как показали последующие события, эти усилия во многом оказались тщетными, и возрождающаяся практика вексельного оборота их постоянно сводила на нет.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Последняя попытка подвести законодательную базу под "правила игры" на вексельном рынке связана с принятием Госдумой РФ 21 февраля 1997 г. федерального закона "О Переводном и Простом векселе" и подписанием его Президентом РФ 11 марта.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Существующие противоречия в развитии вексельного рынка обусловлены многими причинами: объективными и субъективными; внешними и внутренними; носящими как макро-, так и микроэкономический характер. Рассмотрим одно из противоречий. Так, с одной стороны, российское вексельное законодательство, основанное на Женевских вексельных конвенциях, подчинено нормам международного права, нормам достаточно жестким и рассчитанным на развитость обычаев вексельного делового оборота. С другой стороны, в современной России практически полностью отсутствуют обычаи, и только начала возрождаться практика вексельного оборота. Какими же путями возможно разрешение этого противоречия? В настоящее время существуют три пути решения этой проблемы.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i/>
          <w:sz w:val="24"/>
          <w:szCs w:val="24"/>
        </w:rPr>
        <w:t xml:space="preserve">     Первый путь</w:t>
      </w:r>
      <w:r w:rsidRPr="003F5200">
        <w:rPr>
          <w:rFonts w:ascii="Arial" w:hAnsi="Arial" w:cs="Arial"/>
          <w:sz w:val="24"/>
          <w:szCs w:val="24"/>
        </w:rPr>
        <w:t xml:space="preserve"> - наиболее простой и логичный. Суть его состоит в том, что Женевские конвенции устарели и должны быть заменены в России нормативными актами, которые бы детализировали в будущем правовое регулирование вексельного обращения (в сфере применения векселей, в контролирующих органах, в процедуре совершения протеста и др.). Вслед за денонсацией международных договоров началось бы формирование практики и обычаев вексельного оборота, включая "вексельный всеобуч", и наконец - законодательное закрепление этих обычаев и выбор системы вексельного права (англо-американская, континентальная или собственная), к которой стоило бы присоединиться в последующем. С точки зрения логики, это наиболее верный путь. Сначала формируются обычаи делового оборота, нарабатывается практика, все это учитывается в нормативных документах, в вексельном законодательстве.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Однако этим путем вряд ли можно воспользоваться для разрешения сложившегося противоречия, на что есть веские причины: во-первых, отсутствие вексельного права на рынке будет моментально заполнено другими видами - гражданским, торговым, финансовым правом: во-вторых, длительное отсутствие вексельной нормативной базы (понадобятся десятилетия для создания обычаев делового оборота) приведет к значительному росту злоупотреблений на вексельном рынке; в-третьих, мы вступим в противоречие с международным торговым правом (в конце 1996 г. Россия получила "режим наибольшего благоприятствования" в торговле, ратифицировав Соглашение о партнерстве и сотрудничестве с Европейским Союзом, а также подала заявку на вступление во Всемирную торговую организацию).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i/>
          <w:sz w:val="24"/>
          <w:szCs w:val="24"/>
        </w:rPr>
        <w:t xml:space="preserve">     Второй путь</w:t>
      </w:r>
      <w:r w:rsidRPr="003F5200">
        <w:rPr>
          <w:rFonts w:ascii="Arial" w:hAnsi="Arial" w:cs="Arial"/>
          <w:sz w:val="24"/>
          <w:szCs w:val="24"/>
        </w:rPr>
        <w:t xml:space="preserve"> - традиционный, именно по нему сейчас и развивается российский вексельный рынок. Действующее вексельное законодательство остается в силе с 1937 г. Со временем происходит постепенная регламентация неурегулированных проблем вексельного оборота ведомственными нормативными актами - инструкциями, распоряжениями и постановлениями Правительства РФ, Минфина РФ, Банка России, ФКЦБ России - которые основываются на обобщениях практического опыта формирующегося вексельного оборота в стране.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Данный путь не в полной мере отвечает потребностям и возможностям российской экономики. Это связано с тем, что, во-первых, соответствие российского вексельного законодательства нормам Женевских конвенций само по себе еще не является гарантией успешного правового регулирования вексельного обращения. Необходимо отметить, что Положение о переводном и простом векселе, утвержденное постановлением ЦИК и СНК СССР N 104/1341 от 7 августа 1937 г., практически не является дословным воспроизведением текста Единообразного вексельного закона с языка оригинала на русский и требует в дальнейшем подготовки новой редакции его перевода.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Во-вторых, выход в свет многочисленных противоречивых подзаконных актов (например, постановление ФКЦБ России от 21 марта 1996 г. об обращении "бездокументарных простых векселей") уже породил определенные "напряжения" в вексельном обороте.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В-третьих, развитие вексельного рынка, пущенное "на самотек" без жестких регуляторов, привело к заполнению рынка "дружескими", "бронзовыми" и фальшивыми векселями, большинство из которых, по сути, стали криминальными денежными суррогатами или приняли вид "секъюритизированных" неплатежей. Действующее законодательство не устанавливает каких-либо ограничений по выпуску векселей, что позволяет государству, субъектам РФ и муниципальным образованиям размещать векселя в неограниченном количестве. Зачастую такая неурегулированность приводит к тому, что местная администрация выпускает векселей на сумму, превосходящую доходную часть своего бюджета, превращая "классический" вексель в эмиссионную ценную бумагу.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i/>
          <w:sz w:val="24"/>
          <w:szCs w:val="24"/>
        </w:rPr>
        <w:t xml:space="preserve">     Третий путь</w:t>
      </w:r>
      <w:r w:rsidRPr="003F5200">
        <w:rPr>
          <w:rFonts w:ascii="Arial" w:hAnsi="Arial" w:cs="Arial"/>
          <w:sz w:val="24"/>
          <w:szCs w:val="24"/>
        </w:rPr>
        <w:t xml:space="preserve"> представляется оптимальным и состоит из подготовки и проведения в стране вексельной реформы, то есть комплекса мор по созданию правовой, организационной, технологической, региональной и информационной инфраструктуры цивилизованного вексельного оборота в России. Целью реформы должны стать, с одной стороны, усиление защиты интересов векселедержателей, с другой, повышение ответственности всех обязанных по векселю лиц.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Реформа должна опираться на разработанную Концепцию развития вексельного рынка, увязанную с Концепцией развития рынка ценных бумаг в РФ (Указ Президента РФ №1008 от 01.07.1996), а также учитывать как внешние факторы (переключение денежных потоков в реальный сектор, проведение налоговой реформы, реструктуризацию предприятий, коммунальную и военную реформы в стране), так и внутренние факторы (рост объемов выпуска векселей и повышение доли корпоративных векселей, резкое увеличение необеспеченных "дружеских", "бронзовых" и фальшивых векселей, усложнение самого вексельного рынка, особенности бухучета и налогообложения операций с векселями).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Хотя уже сейчас можно назвать </w:t>
      </w:r>
      <w:r w:rsidRPr="003F5200">
        <w:rPr>
          <w:rFonts w:ascii="Arial" w:hAnsi="Arial" w:cs="Arial"/>
          <w:i/>
          <w:sz w:val="24"/>
          <w:szCs w:val="24"/>
          <w:u w:val="single"/>
        </w:rPr>
        <w:t>основные принципы проведения вексельной реформы</w:t>
      </w:r>
      <w:r w:rsidRPr="003F5200">
        <w:rPr>
          <w:rFonts w:ascii="Arial" w:hAnsi="Arial" w:cs="Arial"/>
          <w:sz w:val="24"/>
          <w:szCs w:val="24"/>
        </w:rPr>
        <w:t>, лучше ограничиться только принципами, на которых должна строиться система российского вексельного законодательства:</w:t>
      </w:r>
    </w:p>
    <w:p w:rsidR="00CE2DD9" w:rsidRPr="003F5200" w:rsidRDefault="00CE2DD9" w:rsidP="003F5200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сохранение вексельного законодательства на основе Женевских конвенций (возможно, с применением ряда оговорок);</w:t>
      </w:r>
    </w:p>
    <w:p w:rsidR="00CE2DD9" w:rsidRPr="003F5200" w:rsidRDefault="00CE2DD9" w:rsidP="003F5200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самодостаточность вексельного законодательства;</w:t>
      </w:r>
    </w:p>
    <w:p w:rsidR="00CE2DD9" w:rsidRPr="003F5200" w:rsidRDefault="00CE2DD9" w:rsidP="003F5200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построение вексельного законодательства в основном на системе диспозитивных норм, а императивные нормы должны регулировать только минимум вексельных отношений, без которых невозможно избежание злоупотреблений;</w:t>
      </w:r>
    </w:p>
    <w:p w:rsidR="00CE2DD9" w:rsidRPr="003F5200" w:rsidRDefault="00CE2DD9" w:rsidP="003F5200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нормы вексельного законодательства должны быть жестко привязаны к налоговому и валютному законодательству, а также регулировать вопросы, отсутствующие в регламенте вексельного права;</w:t>
      </w:r>
    </w:p>
    <w:p w:rsidR="00CE2DD9" w:rsidRPr="003F5200" w:rsidRDefault="00CE2DD9" w:rsidP="003F5200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вексельное законодательство должно адекватно отражать формирующиеся обычаи делового оборота, иначе получится система неработающих норм, которую все знают, но не выполняют. Реформа должна в первую очередь включать: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  - внесение изменений в Гражданский кодекс РФ и Закон РФ "О банкротстве (несостоятельности) предприятий" о порядке удовлетворения требований кредиторов и выделении требований кредиторов по векселям в отдельную очередь;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  - приведение в соответствии с ЕВЗ сроков совершения протеста и определение на законодательном уровне процедуры совершения протеста;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 - внесение изменений в Арбитражный процессуальный кодекс о введении ускоренной процедуры рассмотрения исков по векселям;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 - предоставление права уполномоченному государственному органу (ФКЦБ, ЦБ РФ, Минфину РФ) получать от нотариальных контор сведения о фактах совершения протеста и вменение в обязанность этому органу либо уполномоченному им лицу предоставлять полученную информацию всем заинтересованным лицам и средствам массовой информации;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 - создание законодательной базы саморегулируемых организаций, объединяющих участников вексельного рынка (например АУВЕР);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- реформа налоговой системы и унификация налогообложения доходов физических и юридических лиц по различным ценным бумагам;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    - разработка и принятие Свода вексельных нормативных документов (Вексельного Кодекса).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Создание правовой, организационной, информационной инфраструктуры цивилизованного вексельного оборота невозможно без обучения специалистов, работников коммерческих структур, судей, руководителей государственных организаций, населения навыкам работы с векселями, изучения как российского опыта, так и обычаев вексельного оборота других стран.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Говоря о перспективах вексельного рынка, нельзя не отметить, что в настоящее время спрос на векселя по-прежнему ограничен небольшим списком крупнейших банков и промышленных компаний, что определяется в первую очередь ликвидностью их ценных бумаг, т. е. возможностью быстрого проведения операций покупки/продажи, а также заключением под них операций РЕПО. В то же время восстановление вексельного рынка до его докризисного состояния может произойти только после полного преодоления кризиса доверия между банками, для чего может потребоваться как минимум еще несколько месяцев. При этом с особым интересом участники вексельного рынка будут ждать объявление решения Банка России по включению коммерческих банков в систему страхования вкладов, которое станет своеобразной дополнительной гарантией надежности и финансовой устойчивости для этих банков и их ценных бумаг. Вместе с тем восстановление функционирования банковской системы в полном объеме позволит развивать вексельные программы средним и более мелким промышленным и торговым компаниям, спрос на ценные бумаги которых существенно снизился после кризиса из-за опасения невозможности рефинансирования ими старых долгов в условиях ограничения финансирования со стороны банковской системы.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  Тем не менее, развитие практики выпуска векселей с целью привлечь краткосрочные денежные средства, несомненно, будет продолжаться благодаря некоторым преимуществам для компаний-векселедателей по сравнению с традиционным банковским кредитованием или выпуском облигационных займов. Их кратко можно сформулировать следующим образом: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более свободный и легкий доступ к долговым капиталам; 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снижение регулятивных (организационных) издержек; 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потенциальная возможность снижения стоимости финансовых ресурсов для векселедателя; 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возможность оперативного управления долговым портфелем; 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возможность использования векселей в качестве расчетного средства; </w:t>
      </w:r>
    </w:p>
    <w:p w:rsidR="00CE2DD9" w:rsidRPr="003F5200" w:rsidRDefault="00CE2DD9" w:rsidP="003F5200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повышение финансовой устойчивости векселедателя в целом.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В то же время нельзя не отметить, что вексельный рынок остается все же более рискованным вложением для инвесторов, что определяется несколькими основными факторами. Например:</w:t>
      </w:r>
    </w:p>
    <w:p w:rsidR="00CE2DD9" w:rsidRPr="003F5200" w:rsidRDefault="00CE2DD9" w:rsidP="003F520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его документарная форма повышает риск приобретения фальшивых векселей либо векселей с дефектами формы, требует от инвестора затрат на проведение криминалистической экспертизы и дополнительных проверок. Выходом из этой ситуации служит организация безналичного обращения векселей путем помещения их в кастодиальный депозитарий. </w:t>
      </w:r>
    </w:p>
    <w:p w:rsidR="00CE2DD9" w:rsidRPr="003F5200" w:rsidRDefault="00CE2DD9" w:rsidP="003F520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Еще одним фактором, снижающим привлекательность векселя и повышающим риски для инвестора, является недостаточная информационная прозрачность векселедателя. Хотя в последнее время все больше векселедателей, особенно впервые выходящих на рынок, а также организаторов их вексельных программ предоставляют определенную информацию о своей деятельности и финансовом положении, но гарантий, что они будут делать это в полном объеме и регулярно, пока нет.</w:t>
      </w:r>
    </w:p>
    <w:p w:rsidR="00CE2DD9" w:rsidRPr="003F5200" w:rsidRDefault="00CE2DD9" w:rsidP="003F5200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>Кроме того, часто отсутствует информация об объемах выпущенных векселей, их структуре и т. п., что также является своеобразным минусом при принятии решения инвесторами. В этой связи определенным преимуществом на рынке пользуются векселя компаний, которые разместили собственные облигации и для которых регулярное раскрытие информации - необходимое условие.    Таким образом, облигационный рынок, являясь отчасти конкурентом рынку векселей, может способствовать развитию вексельного рынка. Однако говорить о конкуренции между этими сегментами долгового рынка можно только условно, так как заимствования путем выпуска облигаций и векселей решают абсолютно разные задачи, стоящие перед предприятием или банком.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Для дальнейшего развития и повышения привлекательности вексельного рынка в целом необходимо выполнить ряд условий, к которым можно отнести:</w:t>
      </w:r>
    </w:p>
    <w:p w:rsidR="00CE2DD9" w:rsidRPr="003F5200" w:rsidRDefault="00CE2DD9" w:rsidP="003F520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развитие практики безналичного обращения векселей, </w:t>
      </w:r>
    </w:p>
    <w:p w:rsidR="00CE2DD9" w:rsidRPr="003F5200" w:rsidRDefault="00CE2DD9" w:rsidP="003F520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создание организованной торговой площадки, </w:t>
      </w:r>
    </w:p>
    <w:p w:rsidR="00CE2DD9" w:rsidRPr="003F5200" w:rsidRDefault="00CE2DD9" w:rsidP="003F5200">
      <w:pPr>
        <w:pStyle w:val="1"/>
        <w:numPr>
          <w:ilvl w:val="0"/>
          <w:numId w:val="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повышение информационной прозрачности векселедателей и уровня их открытости для инвесторов. 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200">
        <w:rPr>
          <w:rFonts w:ascii="Arial" w:hAnsi="Arial" w:cs="Arial"/>
          <w:sz w:val="24"/>
          <w:szCs w:val="24"/>
        </w:rPr>
        <w:t xml:space="preserve">     Реализация этих, а также ряда других условий позволит вексельному рынку выйти на новый более качественный уровень, что в свою очередь позволит промышленным, торговым и другим компаниям существенно упростить механизм привлечения средств с рынка капитала, а участникам фондового рынка даст еще более безопасный и ликвидный инструмент для краткосрочных инвестиций.</w:t>
      </w:r>
    </w:p>
    <w:p w:rsidR="00CE2DD9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E2DD9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Литература:</w:t>
      </w:r>
    </w:p>
    <w:p w:rsidR="00CE2DD9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CE2DD9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CE2DD9" w:rsidRPr="003F5200" w:rsidRDefault="00CE2DD9" w:rsidP="003F52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bookmarkStart w:id="0" w:name="_GoBack"/>
      <w:bookmarkEnd w:id="0"/>
    </w:p>
    <w:sectPr w:rsidR="00CE2DD9" w:rsidRPr="003F5200" w:rsidSect="003F52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04ED9"/>
    <w:multiLevelType w:val="hybridMultilevel"/>
    <w:tmpl w:val="25D23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5336C"/>
    <w:multiLevelType w:val="hybridMultilevel"/>
    <w:tmpl w:val="DC4E2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EB6F61"/>
    <w:multiLevelType w:val="hybridMultilevel"/>
    <w:tmpl w:val="7ADE0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816F9"/>
    <w:multiLevelType w:val="hybridMultilevel"/>
    <w:tmpl w:val="F298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C4929"/>
    <w:multiLevelType w:val="hybridMultilevel"/>
    <w:tmpl w:val="D820C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6E5355"/>
    <w:multiLevelType w:val="hybridMultilevel"/>
    <w:tmpl w:val="71703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129"/>
    <w:rsid w:val="00116AA1"/>
    <w:rsid w:val="003F5200"/>
    <w:rsid w:val="004D5556"/>
    <w:rsid w:val="00596129"/>
    <w:rsid w:val="007A357A"/>
    <w:rsid w:val="00801F56"/>
    <w:rsid w:val="00817024"/>
    <w:rsid w:val="009B0958"/>
    <w:rsid w:val="009B4F27"/>
    <w:rsid w:val="00A74770"/>
    <w:rsid w:val="00AF2DDC"/>
    <w:rsid w:val="00B32F9F"/>
    <w:rsid w:val="00CB26DB"/>
    <w:rsid w:val="00CE2DD9"/>
    <w:rsid w:val="00D4316D"/>
    <w:rsid w:val="00DC354F"/>
    <w:rsid w:val="00DE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34280-C7A6-4CAB-BB86-A11D476C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9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9B0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</vt:lpstr>
    </vt:vector>
  </TitlesOfParts>
  <Company>Microsoft</Company>
  <LinksUpToDate>false</LinksUpToDate>
  <CharactersWithSpaces>13540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</dc:title>
  <dc:subject/>
  <dc:creator>Admin</dc:creator>
  <cp:keywords/>
  <dc:description/>
  <cp:lastModifiedBy>Irina</cp:lastModifiedBy>
  <cp:revision>2</cp:revision>
  <cp:lastPrinted>2011-02-17T21:13:00Z</cp:lastPrinted>
  <dcterms:created xsi:type="dcterms:W3CDTF">2014-08-21T19:51:00Z</dcterms:created>
  <dcterms:modified xsi:type="dcterms:W3CDTF">2014-08-21T19:51:00Z</dcterms:modified>
</cp:coreProperties>
</file>