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613" w:rsidRPr="001C1613" w:rsidRDefault="000B4C96" w:rsidP="001C1613">
      <w:pPr>
        <w:pStyle w:val="10"/>
        <w:tabs>
          <w:tab w:val="right" w:leader="dot" w:pos="9345"/>
        </w:tabs>
        <w:spacing w:line="360" w:lineRule="auto"/>
        <w:rPr>
          <w:b/>
          <w:noProof/>
          <w:sz w:val="28"/>
          <w:szCs w:val="28"/>
        </w:rPr>
      </w:pPr>
      <w:r w:rsidRPr="001C1613">
        <w:rPr>
          <w:b/>
          <w:sz w:val="28"/>
          <w:szCs w:val="28"/>
        </w:rPr>
        <w:fldChar w:fldCharType="begin"/>
      </w:r>
      <w:r w:rsidRPr="001C1613">
        <w:rPr>
          <w:b/>
          <w:sz w:val="28"/>
          <w:szCs w:val="28"/>
        </w:rPr>
        <w:instrText xml:space="preserve"> TOC \o "1-3" \h \z \u </w:instrText>
      </w:r>
      <w:r w:rsidRPr="001C1613">
        <w:rPr>
          <w:b/>
          <w:sz w:val="28"/>
          <w:szCs w:val="28"/>
        </w:rPr>
        <w:fldChar w:fldCharType="separate"/>
      </w:r>
      <w:hyperlink w:anchor="_Toc273692761" w:history="1">
        <w:r w:rsidR="001C1613" w:rsidRPr="001C1613">
          <w:rPr>
            <w:rStyle w:val="a9"/>
            <w:b/>
            <w:noProof/>
            <w:sz w:val="28"/>
            <w:szCs w:val="28"/>
          </w:rPr>
          <w:t>Введение</w:t>
        </w:r>
        <w:r w:rsidR="001C1613" w:rsidRPr="001C1613">
          <w:rPr>
            <w:b/>
            <w:noProof/>
            <w:webHidden/>
            <w:sz w:val="28"/>
            <w:szCs w:val="28"/>
          </w:rPr>
          <w:tab/>
        </w:r>
        <w:r w:rsidR="001C1613" w:rsidRPr="001C1613">
          <w:rPr>
            <w:b/>
            <w:noProof/>
            <w:webHidden/>
            <w:sz w:val="28"/>
            <w:szCs w:val="28"/>
          </w:rPr>
          <w:fldChar w:fldCharType="begin"/>
        </w:r>
        <w:r w:rsidR="001C1613" w:rsidRPr="001C1613">
          <w:rPr>
            <w:b/>
            <w:noProof/>
            <w:webHidden/>
            <w:sz w:val="28"/>
            <w:szCs w:val="28"/>
          </w:rPr>
          <w:instrText xml:space="preserve"> PAGEREF _Toc273692761 \h </w:instrText>
        </w:r>
        <w:r w:rsidR="001C1613" w:rsidRPr="001C1613">
          <w:rPr>
            <w:b/>
            <w:noProof/>
            <w:webHidden/>
            <w:sz w:val="28"/>
            <w:szCs w:val="28"/>
          </w:rPr>
        </w:r>
        <w:r w:rsidR="001C1613" w:rsidRPr="001C1613">
          <w:rPr>
            <w:b/>
            <w:noProof/>
            <w:webHidden/>
            <w:sz w:val="28"/>
            <w:szCs w:val="28"/>
          </w:rPr>
          <w:fldChar w:fldCharType="separate"/>
        </w:r>
        <w:r w:rsidR="00843952">
          <w:rPr>
            <w:b/>
            <w:noProof/>
            <w:webHidden/>
            <w:sz w:val="28"/>
            <w:szCs w:val="28"/>
          </w:rPr>
          <w:t>2</w:t>
        </w:r>
        <w:r w:rsidR="001C1613" w:rsidRPr="001C1613">
          <w:rPr>
            <w:b/>
            <w:noProof/>
            <w:webHidden/>
            <w:sz w:val="28"/>
            <w:szCs w:val="28"/>
          </w:rPr>
          <w:fldChar w:fldCharType="end"/>
        </w:r>
      </w:hyperlink>
    </w:p>
    <w:p w:rsidR="001C1613" w:rsidRPr="001C1613" w:rsidRDefault="00064264" w:rsidP="001C1613">
      <w:pPr>
        <w:pStyle w:val="10"/>
        <w:tabs>
          <w:tab w:val="right" w:leader="dot" w:pos="9345"/>
        </w:tabs>
        <w:spacing w:line="360" w:lineRule="auto"/>
        <w:rPr>
          <w:b/>
          <w:noProof/>
          <w:sz w:val="28"/>
          <w:szCs w:val="28"/>
        </w:rPr>
      </w:pPr>
      <w:hyperlink w:anchor="_Toc273692762" w:history="1">
        <w:r w:rsidR="001C1613" w:rsidRPr="001C1613">
          <w:rPr>
            <w:rStyle w:val="a9"/>
            <w:b/>
            <w:noProof/>
            <w:sz w:val="28"/>
            <w:szCs w:val="28"/>
          </w:rPr>
          <w:t>Характеристика рынка ценных бумаг</w:t>
        </w:r>
        <w:r w:rsidR="001C1613" w:rsidRPr="001C1613">
          <w:rPr>
            <w:b/>
            <w:noProof/>
            <w:webHidden/>
            <w:sz w:val="28"/>
            <w:szCs w:val="28"/>
          </w:rPr>
          <w:tab/>
        </w:r>
        <w:r w:rsidR="001C1613" w:rsidRPr="001C1613">
          <w:rPr>
            <w:b/>
            <w:noProof/>
            <w:webHidden/>
            <w:sz w:val="28"/>
            <w:szCs w:val="28"/>
          </w:rPr>
          <w:fldChar w:fldCharType="begin"/>
        </w:r>
        <w:r w:rsidR="001C1613" w:rsidRPr="001C1613">
          <w:rPr>
            <w:b/>
            <w:noProof/>
            <w:webHidden/>
            <w:sz w:val="28"/>
            <w:szCs w:val="28"/>
          </w:rPr>
          <w:instrText xml:space="preserve"> PAGEREF _Toc273692762 \h </w:instrText>
        </w:r>
        <w:r w:rsidR="001C1613" w:rsidRPr="001C1613">
          <w:rPr>
            <w:b/>
            <w:noProof/>
            <w:webHidden/>
            <w:sz w:val="28"/>
            <w:szCs w:val="28"/>
          </w:rPr>
        </w:r>
        <w:r w:rsidR="001C1613" w:rsidRPr="001C1613">
          <w:rPr>
            <w:b/>
            <w:noProof/>
            <w:webHidden/>
            <w:sz w:val="28"/>
            <w:szCs w:val="28"/>
          </w:rPr>
          <w:fldChar w:fldCharType="separate"/>
        </w:r>
        <w:r w:rsidR="00843952">
          <w:rPr>
            <w:b/>
            <w:noProof/>
            <w:webHidden/>
            <w:sz w:val="28"/>
            <w:szCs w:val="28"/>
          </w:rPr>
          <w:t>2</w:t>
        </w:r>
        <w:r w:rsidR="001C1613" w:rsidRPr="001C1613">
          <w:rPr>
            <w:b/>
            <w:noProof/>
            <w:webHidden/>
            <w:sz w:val="28"/>
            <w:szCs w:val="28"/>
          </w:rPr>
          <w:fldChar w:fldCharType="end"/>
        </w:r>
      </w:hyperlink>
    </w:p>
    <w:p w:rsidR="001C1613" w:rsidRPr="001C1613" w:rsidRDefault="00064264" w:rsidP="001C1613">
      <w:pPr>
        <w:pStyle w:val="10"/>
        <w:tabs>
          <w:tab w:val="right" w:leader="dot" w:pos="9345"/>
        </w:tabs>
        <w:spacing w:line="360" w:lineRule="auto"/>
        <w:rPr>
          <w:b/>
          <w:noProof/>
          <w:sz w:val="28"/>
          <w:szCs w:val="28"/>
        </w:rPr>
      </w:pPr>
      <w:hyperlink w:anchor="_Toc273692763" w:history="1">
        <w:r w:rsidR="001C1613" w:rsidRPr="001C1613">
          <w:rPr>
            <w:rStyle w:val="a9"/>
            <w:b/>
            <w:bCs/>
            <w:noProof/>
            <w:sz w:val="28"/>
            <w:szCs w:val="28"/>
          </w:rPr>
          <w:t>Международный рынок ценных бумаг</w:t>
        </w:r>
        <w:r w:rsidR="001C1613" w:rsidRPr="001C1613">
          <w:rPr>
            <w:b/>
            <w:noProof/>
            <w:webHidden/>
            <w:sz w:val="28"/>
            <w:szCs w:val="28"/>
          </w:rPr>
          <w:tab/>
        </w:r>
        <w:r w:rsidR="001C1613" w:rsidRPr="001C1613">
          <w:rPr>
            <w:b/>
            <w:noProof/>
            <w:webHidden/>
            <w:sz w:val="28"/>
            <w:szCs w:val="28"/>
          </w:rPr>
          <w:fldChar w:fldCharType="begin"/>
        </w:r>
        <w:r w:rsidR="001C1613" w:rsidRPr="001C1613">
          <w:rPr>
            <w:b/>
            <w:noProof/>
            <w:webHidden/>
            <w:sz w:val="28"/>
            <w:szCs w:val="28"/>
          </w:rPr>
          <w:instrText xml:space="preserve"> PAGEREF _Toc273692763 \h </w:instrText>
        </w:r>
        <w:r w:rsidR="001C1613" w:rsidRPr="001C1613">
          <w:rPr>
            <w:b/>
            <w:noProof/>
            <w:webHidden/>
            <w:sz w:val="28"/>
            <w:szCs w:val="28"/>
          </w:rPr>
        </w:r>
        <w:r w:rsidR="001C1613" w:rsidRPr="001C1613">
          <w:rPr>
            <w:b/>
            <w:noProof/>
            <w:webHidden/>
            <w:sz w:val="28"/>
            <w:szCs w:val="28"/>
          </w:rPr>
          <w:fldChar w:fldCharType="separate"/>
        </w:r>
        <w:r w:rsidR="00843952">
          <w:rPr>
            <w:b/>
            <w:noProof/>
            <w:webHidden/>
            <w:sz w:val="28"/>
            <w:szCs w:val="28"/>
          </w:rPr>
          <w:t>4</w:t>
        </w:r>
        <w:r w:rsidR="001C1613" w:rsidRPr="001C1613">
          <w:rPr>
            <w:b/>
            <w:noProof/>
            <w:webHidden/>
            <w:sz w:val="28"/>
            <w:szCs w:val="28"/>
          </w:rPr>
          <w:fldChar w:fldCharType="end"/>
        </w:r>
      </w:hyperlink>
    </w:p>
    <w:p w:rsidR="001C1613" w:rsidRPr="001C1613" w:rsidRDefault="00064264" w:rsidP="001C1613">
      <w:pPr>
        <w:pStyle w:val="10"/>
        <w:tabs>
          <w:tab w:val="right" w:leader="dot" w:pos="9345"/>
        </w:tabs>
        <w:spacing w:line="360" w:lineRule="auto"/>
        <w:rPr>
          <w:b/>
          <w:noProof/>
          <w:sz w:val="28"/>
          <w:szCs w:val="28"/>
        </w:rPr>
      </w:pPr>
      <w:hyperlink w:anchor="_Toc273692764" w:history="1">
        <w:r w:rsidR="001C1613" w:rsidRPr="001C1613">
          <w:rPr>
            <w:rStyle w:val="a9"/>
            <w:b/>
            <w:noProof/>
            <w:sz w:val="28"/>
            <w:szCs w:val="28"/>
          </w:rPr>
          <w:t>Акции РФ</w:t>
        </w:r>
        <w:r w:rsidR="001C1613" w:rsidRPr="001C1613">
          <w:rPr>
            <w:b/>
            <w:noProof/>
            <w:webHidden/>
            <w:sz w:val="28"/>
            <w:szCs w:val="28"/>
          </w:rPr>
          <w:tab/>
        </w:r>
        <w:r w:rsidR="001C1613" w:rsidRPr="001C1613">
          <w:rPr>
            <w:b/>
            <w:noProof/>
            <w:webHidden/>
            <w:sz w:val="28"/>
            <w:szCs w:val="28"/>
          </w:rPr>
          <w:fldChar w:fldCharType="begin"/>
        </w:r>
        <w:r w:rsidR="001C1613" w:rsidRPr="001C1613">
          <w:rPr>
            <w:b/>
            <w:noProof/>
            <w:webHidden/>
            <w:sz w:val="28"/>
            <w:szCs w:val="28"/>
          </w:rPr>
          <w:instrText xml:space="preserve"> PAGEREF _Toc273692764 \h </w:instrText>
        </w:r>
        <w:r w:rsidR="001C1613" w:rsidRPr="001C1613">
          <w:rPr>
            <w:b/>
            <w:noProof/>
            <w:webHidden/>
            <w:sz w:val="28"/>
            <w:szCs w:val="28"/>
          </w:rPr>
        </w:r>
        <w:r w:rsidR="001C1613" w:rsidRPr="001C1613">
          <w:rPr>
            <w:b/>
            <w:noProof/>
            <w:webHidden/>
            <w:sz w:val="28"/>
            <w:szCs w:val="28"/>
          </w:rPr>
          <w:fldChar w:fldCharType="separate"/>
        </w:r>
        <w:r w:rsidR="00843952">
          <w:rPr>
            <w:b/>
            <w:noProof/>
            <w:webHidden/>
            <w:sz w:val="28"/>
            <w:szCs w:val="28"/>
          </w:rPr>
          <w:t>4</w:t>
        </w:r>
        <w:r w:rsidR="001C1613" w:rsidRPr="001C1613">
          <w:rPr>
            <w:b/>
            <w:noProof/>
            <w:webHidden/>
            <w:sz w:val="28"/>
            <w:szCs w:val="28"/>
          </w:rPr>
          <w:fldChar w:fldCharType="end"/>
        </w:r>
      </w:hyperlink>
    </w:p>
    <w:p w:rsidR="001C1613" w:rsidRPr="001C1613" w:rsidRDefault="00064264" w:rsidP="001C1613">
      <w:pPr>
        <w:pStyle w:val="10"/>
        <w:tabs>
          <w:tab w:val="right" w:leader="dot" w:pos="9345"/>
        </w:tabs>
        <w:spacing w:line="360" w:lineRule="auto"/>
        <w:rPr>
          <w:b/>
          <w:noProof/>
          <w:sz w:val="28"/>
          <w:szCs w:val="28"/>
        </w:rPr>
      </w:pPr>
      <w:hyperlink w:anchor="_Toc273692765" w:history="1">
        <w:r w:rsidR="001C1613" w:rsidRPr="001C1613">
          <w:rPr>
            <w:rStyle w:val="a9"/>
            <w:b/>
            <w:noProof/>
            <w:sz w:val="28"/>
            <w:szCs w:val="28"/>
          </w:rPr>
          <w:t>Заключение</w:t>
        </w:r>
        <w:r w:rsidR="001C1613" w:rsidRPr="001C1613">
          <w:rPr>
            <w:b/>
            <w:noProof/>
            <w:webHidden/>
            <w:sz w:val="28"/>
            <w:szCs w:val="28"/>
          </w:rPr>
          <w:tab/>
        </w:r>
        <w:r w:rsidR="001C1613" w:rsidRPr="001C1613">
          <w:rPr>
            <w:b/>
            <w:noProof/>
            <w:webHidden/>
            <w:sz w:val="28"/>
            <w:szCs w:val="28"/>
          </w:rPr>
          <w:fldChar w:fldCharType="begin"/>
        </w:r>
        <w:r w:rsidR="001C1613" w:rsidRPr="001C1613">
          <w:rPr>
            <w:b/>
            <w:noProof/>
            <w:webHidden/>
            <w:sz w:val="28"/>
            <w:szCs w:val="28"/>
          </w:rPr>
          <w:instrText xml:space="preserve"> PAGEREF _Toc273692765 \h </w:instrText>
        </w:r>
        <w:r w:rsidR="001C1613" w:rsidRPr="001C1613">
          <w:rPr>
            <w:b/>
            <w:noProof/>
            <w:webHidden/>
            <w:sz w:val="28"/>
            <w:szCs w:val="28"/>
          </w:rPr>
        </w:r>
        <w:r w:rsidR="001C1613" w:rsidRPr="001C1613">
          <w:rPr>
            <w:b/>
            <w:noProof/>
            <w:webHidden/>
            <w:sz w:val="28"/>
            <w:szCs w:val="28"/>
          </w:rPr>
          <w:fldChar w:fldCharType="separate"/>
        </w:r>
        <w:r w:rsidR="00843952">
          <w:rPr>
            <w:b/>
            <w:noProof/>
            <w:webHidden/>
            <w:sz w:val="28"/>
            <w:szCs w:val="28"/>
          </w:rPr>
          <w:t>7</w:t>
        </w:r>
        <w:r w:rsidR="001C1613" w:rsidRPr="001C1613">
          <w:rPr>
            <w:b/>
            <w:noProof/>
            <w:webHidden/>
            <w:sz w:val="28"/>
            <w:szCs w:val="28"/>
          </w:rPr>
          <w:fldChar w:fldCharType="end"/>
        </w:r>
      </w:hyperlink>
    </w:p>
    <w:p w:rsidR="001C1613" w:rsidRPr="001C1613" w:rsidRDefault="00064264" w:rsidP="001C1613">
      <w:pPr>
        <w:pStyle w:val="10"/>
        <w:tabs>
          <w:tab w:val="right" w:leader="dot" w:pos="9345"/>
        </w:tabs>
        <w:spacing w:line="360" w:lineRule="auto"/>
        <w:rPr>
          <w:b/>
          <w:noProof/>
          <w:sz w:val="28"/>
          <w:szCs w:val="28"/>
        </w:rPr>
      </w:pPr>
      <w:hyperlink w:anchor="_Toc273692766" w:history="1">
        <w:r w:rsidR="001C1613" w:rsidRPr="001C1613">
          <w:rPr>
            <w:rStyle w:val="a9"/>
            <w:b/>
            <w:noProof/>
            <w:sz w:val="28"/>
            <w:szCs w:val="28"/>
          </w:rPr>
          <w:t>Библиографический список</w:t>
        </w:r>
        <w:r w:rsidR="001C1613" w:rsidRPr="001C1613">
          <w:rPr>
            <w:b/>
            <w:noProof/>
            <w:webHidden/>
            <w:sz w:val="28"/>
            <w:szCs w:val="28"/>
          </w:rPr>
          <w:tab/>
        </w:r>
        <w:r w:rsidR="001C1613" w:rsidRPr="001C1613">
          <w:rPr>
            <w:b/>
            <w:noProof/>
            <w:webHidden/>
            <w:sz w:val="28"/>
            <w:szCs w:val="28"/>
          </w:rPr>
          <w:fldChar w:fldCharType="begin"/>
        </w:r>
        <w:r w:rsidR="001C1613" w:rsidRPr="001C1613">
          <w:rPr>
            <w:b/>
            <w:noProof/>
            <w:webHidden/>
            <w:sz w:val="28"/>
            <w:szCs w:val="28"/>
          </w:rPr>
          <w:instrText xml:space="preserve"> PAGEREF _Toc273692766 \h </w:instrText>
        </w:r>
        <w:r w:rsidR="001C1613" w:rsidRPr="001C1613">
          <w:rPr>
            <w:b/>
            <w:noProof/>
            <w:webHidden/>
            <w:sz w:val="28"/>
            <w:szCs w:val="28"/>
          </w:rPr>
        </w:r>
        <w:r w:rsidR="001C1613" w:rsidRPr="001C1613">
          <w:rPr>
            <w:b/>
            <w:noProof/>
            <w:webHidden/>
            <w:sz w:val="28"/>
            <w:szCs w:val="28"/>
          </w:rPr>
          <w:fldChar w:fldCharType="separate"/>
        </w:r>
        <w:r w:rsidR="00843952">
          <w:rPr>
            <w:b/>
            <w:noProof/>
            <w:webHidden/>
            <w:sz w:val="28"/>
            <w:szCs w:val="28"/>
          </w:rPr>
          <w:t>9</w:t>
        </w:r>
        <w:r w:rsidR="001C1613" w:rsidRPr="001C1613">
          <w:rPr>
            <w:b/>
            <w:noProof/>
            <w:webHidden/>
            <w:sz w:val="28"/>
            <w:szCs w:val="28"/>
          </w:rPr>
          <w:fldChar w:fldCharType="end"/>
        </w:r>
      </w:hyperlink>
    </w:p>
    <w:p w:rsidR="000B4C96" w:rsidRPr="001C1613" w:rsidRDefault="000B4C96" w:rsidP="001C1613">
      <w:pPr>
        <w:pStyle w:val="1"/>
        <w:spacing w:before="0" w:beforeAutospacing="0" w:after="0" w:afterAutospacing="0" w:line="360" w:lineRule="auto"/>
        <w:jc w:val="center"/>
        <w:rPr>
          <w:sz w:val="28"/>
          <w:szCs w:val="28"/>
        </w:rPr>
      </w:pPr>
      <w:r w:rsidRPr="001C1613">
        <w:rPr>
          <w:sz w:val="28"/>
          <w:szCs w:val="28"/>
        </w:rPr>
        <w:fldChar w:fldCharType="end"/>
      </w:r>
    </w:p>
    <w:p w:rsidR="000B4C96" w:rsidRDefault="000B4C96" w:rsidP="0001048F">
      <w:pPr>
        <w:pStyle w:val="1"/>
        <w:spacing w:before="0" w:beforeAutospacing="0" w:after="0" w:afterAutospacing="0" w:line="360" w:lineRule="auto"/>
        <w:jc w:val="center"/>
        <w:rPr>
          <w:sz w:val="28"/>
          <w:szCs w:val="28"/>
        </w:rPr>
      </w:pPr>
    </w:p>
    <w:p w:rsidR="000B4C96" w:rsidRDefault="000B4C96"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1C1613" w:rsidRDefault="001C1613" w:rsidP="0001048F">
      <w:pPr>
        <w:pStyle w:val="1"/>
        <w:spacing w:before="0" w:beforeAutospacing="0" w:after="0" w:afterAutospacing="0" w:line="360" w:lineRule="auto"/>
        <w:jc w:val="center"/>
        <w:rPr>
          <w:sz w:val="28"/>
          <w:szCs w:val="28"/>
        </w:rPr>
      </w:pPr>
    </w:p>
    <w:p w:rsidR="0001048F" w:rsidRPr="0001048F" w:rsidRDefault="0001048F" w:rsidP="0001048F">
      <w:pPr>
        <w:pStyle w:val="1"/>
        <w:spacing w:before="0" w:beforeAutospacing="0" w:after="0" w:afterAutospacing="0" w:line="360" w:lineRule="auto"/>
        <w:jc w:val="center"/>
        <w:rPr>
          <w:sz w:val="28"/>
          <w:szCs w:val="28"/>
        </w:rPr>
      </w:pPr>
      <w:bookmarkStart w:id="0" w:name="_Toc273692761"/>
      <w:r>
        <w:rPr>
          <w:sz w:val="28"/>
          <w:szCs w:val="28"/>
        </w:rPr>
        <w:t>Введение</w:t>
      </w:r>
      <w:bookmarkEnd w:id="0"/>
    </w:p>
    <w:p w:rsidR="0001048F" w:rsidRPr="0001048F" w:rsidRDefault="0001048F" w:rsidP="0001048F">
      <w:pPr>
        <w:spacing w:line="360" w:lineRule="auto"/>
        <w:ind w:firstLine="709"/>
        <w:jc w:val="both"/>
        <w:rPr>
          <w:sz w:val="28"/>
          <w:szCs w:val="28"/>
        </w:rPr>
      </w:pPr>
      <w:r>
        <w:t xml:space="preserve"> </w:t>
      </w:r>
      <w:r w:rsidR="00F06CA7" w:rsidRPr="0001048F">
        <w:rPr>
          <w:sz w:val="28"/>
          <w:szCs w:val="28"/>
        </w:rPr>
        <w:t>Рынок акций - это институт или механизм, сводящий вместе покупателей (предъявителей спроса) и продавцов (пос</w:t>
      </w:r>
      <w:r w:rsidRPr="0001048F">
        <w:rPr>
          <w:sz w:val="28"/>
          <w:szCs w:val="28"/>
        </w:rPr>
        <w:t>тавщиков) ценных бумаг – акций.</w:t>
      </w:r>
    </w:p>
    <w:p w:rsidR="0001048F" w:rsidRPr="0001048F" w:rsidRDefault="00F06CA7" w:rsidP="0001048F">
      <w:pPr>
        <w:spacing w:line="360" w:lineRule="auto"/>
        <w:ind w:firstLine="709"/>
        <w:jc w:val="both"/>
        <w:rPr>
          <w:sz w:val="28"/>
          <w:szCs w:val="28"/>
        </w:rPr>
      </w:pPr>
      <w:r w:rsidRPr="0001048F">
        <w:rPr>
          <w:sz w:val="28"/>
          <w:szCs w:val="28"/>
        </w:rPr>
        <w:t>Согласно определению, товаром, обращающимся на данном рынке, являются акции, которые, в свою очередь, определяют состав участников данного рынка, его местоположение, порядок функционирования</w:t>
      </w:r>
      <w:r w:rsidR="0001048F" w:rsidRPr="0001048F">
        <w:rPr>
          <w:sz w:val="28"/>
          <w:szCs w:val="28"/>
        </w:rPr>
        <w:t xml:space="preserve">, правила регулирования и т.п. </w:t>
      </w:r>
    </w:p>
    <w:p w:rsidR="0001048F" w:rsidRPr="0001048F" w:rsidRDefault="00F06CA7" w:rsidP="0001048F">
      <w:pPr>
        <w:spacing w:line="360" w:lineRule="auto"/>
        <w:ind w:firstLine="709"/>
        <w:jc w:val="both"/>
        <w:rPr>
          <w:sz w:val="28"/>
          <w:szCs w:val="28"/>
        </w:rPr>
      </w:pPr>
      <w:r w:rsidRPr="0001048F">
        <w:rPr>
          <w:sz w:val="28"/>
          <w:szCs w:val="28"/>
        </w:rPr>
        <w:t>Следует отметить, что практически все рынки находят отражение в инструментах рынка ценных бумаг. В рыночной экономике рынок ценных бумаг является основным механизмом перерасп</w:t>
      </w:r>
      <w:r w:rsidR="0001048F" w:rsidRPr="0001048F">
        <w:rPr>
          <w:sz w:val="28"/>
          <w:szCs w:val="28"/>
        </w:rPr>
        <w:t xml:space="preserve">ределения денежных накоплений. </w:t>
      </w:r>
    </w:p>
    <w:p w:rsidR="0001048F" w:rsidRPr="0001048F" w:rsidRDefault="00F06CA7" w:rsidP="0001048F">
      <w:pPr>
        <w:spacing w:line="360" w:lineRule="auto"/>
        <w:ind w:firstLine="709"/>
        <w:jc w:val="both"/>
        <w:rPr>
          <w:sz w:val="28"/>
          <w:szCs w:val="28"/>
        </w:rPr>
      </w:pPr>
      <w:r w:rsidRPr="0001048F">
        <w:rPr>
          <w:sz w:val="28"/>
          <w:szCs w:val="28"/>
        </w:rPr>
        <w:t>Данные аспекты могут послужить доказательством того, что анализ передового зарубежного и российского опыта работы на рынке акций яв</w:t>
      </w:r>
      <w:r w:rsidR="0001048F" w:rsidRPr="0001048F">
        <w:rPr>
          <w:sz w:val="28"/>
          <w:szCs w:val="28"/>
        </w:rPr>
        <w:t>ляется весьма актуальной темой.</w:t>
      </w:r>
    </w:p>
    <w:p w:rsidR="0001048F" w:rsidRDefault="00F06CA7" w:rsidP="0001048F">
      <w:pPr>
        <w:spacing w:line="360" w:lineRule="auto"/>
        <w:ind w:firstLine="709"/>
        <w:jc w:val="both"/>
        <w:rPr>
          <w:b/>
          <w:sz w:val="28"/>
          <w:szCs w:val="28"/>
        </w:rPr>
      </w:pPr>
      <w:r w:rsidRPr="0001048F">
        <w:rPr>
          <w:sz w:val="28"/>
          <w:szCs w:val="28"/>
        </w:rPr>
        <w:t xml:space="preserve">Целью </w:t>
      </w:r>
      <w:r w:rsidR="0001048F" w:rsidRPr="0001048F">
        <w:rPr>
          <w:sz w:val="28"/>
          <w:szCs w:val="28"/>
        </w:rPr>
        <w:t>моего доклада</w:t>
      </w:r>
      <w:r w:rsidRPr="0001048F">
        <w:rPr>
          <w:sz w:val="28"/>
          <w:szCs w:val="28"/>
        </w:rPr>
        <w:t xml:space="preserve"> является </w:t>
      </w:r>
      <w:r w:rsidR="0001048F" w:rsidRPr="0001048F">
        <w:rPr>
          <w:sz w:val="28"/>
          <w:szCs w:val="28"/>
        </w:rPr>
        <w:t>изучение рынка ценных бумаг РФ</w:t>
      </w:r>
      <w:r w:rsidR="0001048F">
        <w:rPr>
          <w:b/>
          <w:sz w:val="28"/>
          <w:szCs w:val="28"/>
        </w:rPr>
        <w:t>.</w:t>
      </w:r>
    </w:p>
    <w:p w:rsidR="00AF46A9" w:rsidRPr="00D324E3" w:rsidRDefault="0001048F" w:rsidP="00D324E3">
      <w:pPr>
        <w:pStyle w:val="1"/>
        <w:spacing w:before="0" w:beforeAutospacing="0" w:after="0" w:afterAutospacing="0" w:line="360" w:lineRule="auto"/>
        <w:ind w:firstLine="709"/>
        <w:jc w:val="center"/>
        <w:rPr>
          <w:sz w:val="28"/>
          <w:szCs w:val="28"/>
        </w:rPr>
      </w:pPr>
      <w:bookmarkStart w:id="1" w:name="_Toc273692762"/>
      <w:r w:rsidRPr="00D324E3">
        <w:rPr>
          <w:sz w:val="28"/>
          <w:szCs w:val="28"/>
        </w:rPr>
        <w:t xml:space="preserve">Характеристика </w:t>
      </w:r>
      <w:bookmarkEnd w:id="1"/>
      <w:r w:rsidR="00157199">
        <w:rPr>
          <w:sz w:val="28"/>
          <w:szCs w:val="28"/>
        </w:rPr>
        <w:t>Акций</w:t>
      </w:r>
    </w:p>
    <w:p w:rsidR="000C6678" w:rsidRPr="00AF395F" w:rsidRDefault="00AF395F" w:rsidP="00AF395F">
      <w:pPr>
        <w:spacing w:line="360" w:lineRule="auto"/>
        <w:ind w:firstLine="709"/>
        <w:jc w:val="both"/>
        <w:rPr>
          <w:sz w:val="28"/>
          <w:szCs w:val="28"/>
        </w:rPr>
      </w:pPr>
      <w:r w:rsidRPr="00AF395F">
        <w:rPr>
          <w:b/>
          <w:bCs/>
          <w:sz w:val="28"/>
          <w:szCs w:val="28"/>
        </w:rPr>
        <w:t>А́кция</w:t>
      </w:r>
      <w:r w:rsidRPr="00AF395F">
        <w:rPr>
          <w:sz w:val="28"/>
          <w:szCs w:val="28"/>
        </w:rPr>
        <w:t xml:space="preserve">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
    <w:p w:rsidR="00AF395F" w:rsidRPr="00AF395F" w:rsidRDefault="00AF395F" w:rsidP="00AF395F">
      <w:pPr>
        <w:pStyle w:val="a3"/>
        <w:spacing w:before="0" w:beforeAutospacing="0" w:after="0" w:afterAutospacing="0" w:line="360" w:lineRule="auto"/>
        <w:ind w:firstLine="709"/>
        <w:jc w:val="both"/>
        <w:rPr>
          <w:sz w:val="28"/>
          <w:szCs w:val="28"/>
        </w:rPr>
      </w:pPr>
      <w:r w:rsidRPr="00AF395F">
        <w:rPr>
          <w:sz w:val="28"/>
          <w:szCs w:val="28"/>
        </w:rPr>
        <w:t>Различают обыкновенные и привилегированные акции.</w:t>
      </w:r>
    </w:p>
    <w:p w:rsidR="00AF395F" w:rsidRPr="00AF395F" w:rsidRDefault="00AF395F" w:rsidP="00AF395F">
      <w:pPr>
        <w:numPr>
          <w:ilvl w:val="0"/>
          <w:numId w:val="3"/>
        </w:numPr>
        <w:spacing w:line="360" w:lineRule="auto"/>
        <w:ind w:left="0" w:firstLine="709"/>
        <w:jc w:val="both"/>
        <w:rPr>
          <w:sz w:val="28"/>
          <w:szCs w:val="28"/>
        </w:rPr>
      </w:pPr>
      <w:r w:rsidRPr="00AF395F">
        <w:rPr>
          <w:b/>
          <w:bCs/>
          <w:sz w:val="28"/>
          <w:szCs w:val="28"/>
        </w:rPr>
        <w:t>Обыкновенные акции</w:t>
      </w:r>
      <w:r w:rsidRPr="00AF395F">
        <w:rPr>
          <w:sz w:val="28"/>
          <w:szCs w:val="28"/>
        </w:rPr>
        <w:t xml:space="preserve"> дают право на участие в управлении обществом (1 акция соответствует одному голосу на собрании акционеров, за исключением проведения кумулятивного голосования) и участвуют в распределении прибыли акционерного общества. Источником выплаты дивидендов по обыкновенным акциям является чистая прибыль общества. Размер дивидендов определяется советом директоров предприятия и рекомендуется общему собранию акционеров, которое может только уменьшить размер дивидендов относительно рекомендованного советом директоров.</w:t>
      </w:r>
    </w:p>
    <w:p w:rsidR="00AF395F" w:rsidRDefault="00AF395F" w:rsidP="00BB7255">
      <w:pPr>
        <w:numPr>
          <w:ilvl w:val="0"/>
          <w:numId w:val="3"/>
        </w:numPr>
        <w:spacing w:line="360" w:lineRule="auto"/>
        <w:ind w:left="0" w:firstLine="709"/>
        <w:jc w:val="both"/>
        <w:rPr>
          <w:sz w:val="28"/>
          <w:szCs w:val="28"/>
        </w:rPr>
      </w:pPr>
      <w:r w:rsidRPr="00AF395F">
        <w:rPr>
          <w:b/>
          <w:bCs/>
          <w:sz w:val="28"/>
          <w:szCs w:val="28"/>
        </w:rPr>
        <w:t>Привилегированные акции</w:t>
      </w:r>
      <w:r w:rsidRPr="00AF395F">
        <w:rPr>
          <w:sz w:val="28"/>
          <w:szCs w:val="28"/>
        </w:rPr>
        <w:t xml:space="preserve"> могут вносить ограничения на участие в управлении, а также могут давать дополнительные права в управлении (не обязательно), но приносят постоянные дивиденды (часто — фиксированные в виде определенной доли от бухгалтерской чистой прибыли или в абсолютном денежном выражении). Как правило, в России существуют значительные ограничения на участие в управлении компаниями, что вызвано тем, что массовая приватизация предприятий согласно 2 и 3 типу предусматривала передачу Привилегированных акций трудовому коллективу, при этом лишая его права голоса на собраниях акционеров.</w:t>
      </w:r>
    </w:p>
    <w:p w:rsidR="000C6678" w:rsidRDefault="00F06CA7" w:rsidP="000C6678">
      <w:pPr>
        <w:spacing w:line="360" w:lineRule="auto"/>
        <w:ind w:firstLine="709"/>
        <w:jc w:val="center"/>
        <w:outlineLvl w:val="0"/>
        <w:rPr>
          <w:b/>
          <w:sz w:val="28"/>
          <w:szCs w:val="28"/>
        </w:rPr>
      </w:pPr>
      <w:bookmarkStart w:id="2" w:name="_Toc273692763"/>
      <w:r w:rsidRPr="000C6678">
        <w:rPr>
          <w:rStyle w:val="a4"/>
          <w:sz w:val="28"/>
          <w:szCs w:val="28"/>
        </w:rPr>
        <w:t>Международный рынок ценных бумаг</w:t>
      </w:r>
      <w:bookmarkEnd w:id="2"/>
    </w:p>
    <w:p w:rsidR="00F06CA7" w:rsidRPr="000C6678" w:rsidRDefault="00F06CA7" w:rsidP="000C6678">
      <w:pPr>
        <w:spacing w:line="360" w:lineRule="auto"/>
        <w:ind w:firstLine="709"/>
        <w:jc w:val="both"/>
        <w:rPr>
          <w:sz w:val="28"/>
          <w:szCs w:val="28"/>
        </w:rPr>
      </w:pPr>
      <w:r w:rsidRPr="000C6678">
        <w:rPr>
          <w:sz w:val="28"/>
          <w:szCs w:val="28"/>
        </w:rPr>
        <w:t>МРЦБ состоит из 2 секторов: 1. Здесь обращаются ценные бумаги, которые представляют собой результат существования экономических отношений между странами на государственном и корпоративном уровне. Здесь же обращаются ценные бумаги, эмитируемые финансовыми институтами различных международных организаций (ООН, ЕС). 2. Сектор НАЦИОНАЛЬНЫХ ценных бумаг, поступивших для реализации на МРЦБ. Россия является участником МРЦБ. Трудности функционирования МРЦБ: 1. Налогообложение в странах-участниках, государственный контроль, лимитирование. 2. Таможенные пошлины. 3. Сложность взаимных расчетов. 4. Необходимость пересылки бумаг из страны в страну. 5. Изменение валютного курса. Процедура участия субъектов в международной торговле на МРЦБ, в настоящее время, оформлена законодательно и тщательно разработана.</w:t>
      </w:r>
    </w:p>
    <w:p w:rsidR="00F06CA7" w:rsidRPr="0001048F" w:rsidRDefault="00F06CA7" w:rsidP="000C6678">
      <w:pPr>
        <w:pStyle w:val="1"/>
        <w:spacing w:before="0" w:beforeAutospacing="0" w:after="0" w:afterAutospacing="0" w:line="360" w:lineRule="auto"/>
        <w:ind w:firstLine="709"/>
        <w:jc w:val="center"/>
        <w:rPr>
          <w:sz w:val="28"/>
          <w:szCs w:val="28"/>
        </w:rPr>
      </w:pPr>
      <w:bookmarkStart w:id="3" w:name="_Toc273692764"/>
      <w:r w:rsidRPr="0001048F">
        <w:rPr>
          <w:sz w:val="28"/>
          <w:szCs w:val="28"/>
        </w:rPr>
        <w:t xml:space="preserve">Акции </w:t>
      </w:r>
      <w:r w:rsidR="000C6678">
        <w:rPr>
          <w:sz w:val="28"/>
          <w:szCs w:val="28"/>
        </w:rPr>
        <w:t>РФ</w:t>
      </w:r>
      <w:bookmarkEnd w:id="3"/>
    </w:p>
    <w:p w:rsidR="000C6678" w:rsidRPr="00DA2378" w:rsidRDefault="00F06CA7" w:rsidP="00DA2378">
      <w:pPr>
        <w:pStyle w:val="a3"/>
        <w:spacing w:before="0" w:beforeAutospacing="0" w:after="0" w:afterAutospacing="0" w:line="360" w:lineRule="auto"/>
        <w:ind w:firstLine="709"/>
        <w:jc w:val="both"/>
        <w:rPr>
          <w:sz w:val="28"/>
          <w:szCs w:val="28"/>
        </w:rPr>
      </w:pPr>
      <w:r w:rsidRPr="00BB7255">
        <w:rPr>
          <w:rStyle w:val="a4"/>
          <w:b w:val="0"/>
          <w:sz w:val="28"/>
          <w:szCs w:val="28"/>
        </w:rPr>
        <w:t>Российский фондовый рынок можно охарактеризовать</w:t>
      </w:r>
      <w:r w:rsidRPr="0001048F">
        <w:rPr>
          <w:sz w:val="28"/>
          <w:szCs w:val="28"/>
        </w:rPr>
        <w:t xml:space="preserve"> следующей особенностью - значительная часть акций принадлежит крупным инвесторам, и работают на рынке в основном профессионалы (следует отметить, что в п</w:t>
      </w:r>
      <w:r w:rsidRPr="00DA2378">
        <w:rPr>
          <w:sz w:val="28"/>
          <w:szCs w:val="28"/>
        </w:rPr>
        <w:t xml:space="preserve">оследнее время возросло количество «трейдеров» - людей, которые самостоятельно играют на бирже, пользуясь услугами специализированных брокерских компаний), которые проводят стратегически взвешенную и умеренную политику. Инвесторы стали более разборчивы и предпочитают операции с наиболее ликвидными акциями - «голубыми фишками», но, одновременно, просыпается интерес и к ценным бумагам «второго эшелона». Деление акций на «голубые фишки» и «эшелоны» является профессиональным слэнгом и, по сути, так и не формализовано, однако широко используется в аналитических обзорах. </w:t>
      </w:r>
    </w:p>
    <w:p w:rsidR="00F06CA7" w:rsidRPr="00BB7255" w:rsidRDefault="00F06CA7" w:rsidP="00BB7255">
      <w:pPr>
        <w:pStyle w:val="a3"/>
        <w:spacing w:before="0" w:beforeAutospacing="0" w:after="0" w:afterAutospacing="0" w:line="360" w:lineRule="auto"/>
        <w:ind w:firstLine="709"/>
        <w:jc w:val="both"/>
        <w:rPr>
          <w:sz w:val="28"/>
          <w:szCs w:val="28"/>
        </w:rPr>
      </w:pPr>
      <w:r w:rsidRPr="00DA2378">
        <w:rPr>
          <w:sz w:val="28"/>
          <w:szCs w:val="28"/>
        </w:rPr>
        <w:t xml:space="preserve">Понятие </w:t>
      </w:r>
      <w:r w:rsidRPr="00DA2378">
        <w:rPr>
          <w:rStyle w:val="a4"/>
          <w:sz w:val="28"/>
          <w:szCs w:val="28"/>
        </w:rPr>
        <w:t>«голубые фишки»</w:t>
      </w:r>
      <w:r w:rsidRPr="00DA2378">
        <w:rPr>
          <w:sz w:val="28"/>
          <w:szCs w:val="28"/>
        </w:rPr>
        <w:t xml:space="preserve"> обозначают наиболее ликвидные акции. Ликвидными, т.е. легко обращаемыми в денежные средства из-за большого </w:t>
      </w:r>
      <w:r w:rsidRPr="00BB7255">
        <w:rPr>
          <w:sz w:val="28"/>
          <w:szCs w:val="28"/>
        </w:rPr>
        <w:t xml:space="preserve">количества покупателей и продавцов, становятся акции крупнейших и бурно развивающихся компаний, лидеров в своей отрасли. Следовательно, таких компаний небольшое количество. </w:t>
      </w:r>
    </w:p>
    <w:p w:rsidR="00DA2378" w:rsidRPr="00BB7255" w:rsidRDefault="00DA2378" w:rsidP="00BB7255">
      <w:pPr>
        <w:shd w:val="clear" w:color="auto" w:fill="FFFFFF"/>
        <w:spacing w:line="360" w:lineRule="auto"/>
        <w:ind w:firstLine="709"/>
        <w:jc w:val="both"/>
        <w:rPr>
          <w:color w:val="000000"/>
          <w:sz w:val="28"/>
          <w:szCs w:val="28"/>
        </w:rPr>
      </w:pPr>
      <w:r w:rsidRPr="00BB7255">
        <w:rPr>
          <w:color w:val="000000"/>
          <w:sz w:val="28"/>
          <w:szCs w:val="28"/>
        </w:rPr>
        <w:t>За два последних года российские акции в среднем подорожали втрое, а за 6 лет – в 13 раз. Это лучшие показатели среди всех мировых рынков. После столь длительного и впечатляющего роста у многих инвесторов появляются сомнения в дальнейшей позитивной динамике рынка Тем не менее, всё ещё низкая оценка российских сырьевых активов и высокие темпы роста прибылей в несырьевых отраслях создают предпосылки для продолжения роста котировок. По базовому сценарию он может составить 25-30%, по оптимистичному – до 50%. В отсутствие существенного роста цен на нефть, наиболее высокие результаты покажут акции «второго эшелона».</w:t>
      </w:r>
    </w:p>
    <w:p w:rsidR="00DA2378" w:rsidRPr="00BB7255" w:rsidRDefault="00DA2378" w:rsidP="00BB7255">
      <w:pPr>
        <w:shd w:val="clear" w:color="auto" w:fill="FFFFFF"/>
        <w:spacing w:line="360" w:lineRule="auto"/>
        <w:ind w:firstLine="709"/>
        <w:jc w:val="both"/>
        <w:rPr>
          <w:color w:val="000000"/>
          <w:sz w:val="28"/>
          <w:szCs w:val="28"/>
        </w:rPr>
      </w:pPr>
      <w:r w:rsidRPr="00BB7255">
        <w:rPr>
          <w:sz w:val="28"/>
          <w:szCs w:val="28"/>
        </w:rPr>
        <w:t>Соответственно, чтобы правильно выбрать лучшие из сотен таких акций потребуются дополнительные аналитические ресурсы, высокая квалификация и опыт.</w:t>
      </w:r>
    </w:p>
    <w:p w:rsidR="00157199" w:rsidRPr="00DA2378" w:rsidRDefault="00157199" w:rsidP="00BB7255">
      <w:pPr>
        <w:spacing w:line="360" w:lineRule="auto"/>
        <w:ind w:firstLine="709"/>
        <w:jc w:val="both"/>
        <w:rPr>
          <w:color w:val="000000"/>
          <w:sz w:val="28"/>
          <w:szCs w:val="28"/>
        </w:rPr>
      </w:pPr>
      <w:r w:rsidRPr="00BB7255">
        <w:rPr>
          <w:color w:val="000000"/>
          <w:sz w:val="28"/>
          <w:szCs w:val="28"/>
        </w:rPr>
        <w:t>В лидерах роста акции Газпрома (+1,3%), занимающие первое место и по оборотам. На столько же растут бумаги Роснефти. Сбербанк прибавляет</w:t>
      </w:r>
      <w:r w:rsidRPr="00DA2378">
        <w:rPr>
          <w:color w:val="000000"/>
          <w:sz w:val="28"/>
          <w:szCs w:val="28"/>
        </w:rPr>
        <w:t xml:space="preserve"> лишь 0,6%, но торгуется уже по 89,7 руб. за акцию, под уровнем значительного сопротивления.</w:t>
      </w:r>
    </w:p>
    <w:p w:rsidR="00157199" w:rsidRPr="00DA2378" w:rsidRDefault="00157199" w:rsidP="00DA2378">
      <w:pPr>
        <w:spacing w:line="360" w:lineRule="auto"/>
        <w:ind w:firstLine="709"/>
        <w:jc w:val="both"/>
        <w:rPr>
          <w:color w:val="000000"/>
          <w:sz w:val="28"/>
          <w:szCs w:val="28"/>
        </w:rPr>
      </w:pPr>
      <w:r w:rsidRPr="00DA2378">
        <w:rPr>
          <w:color w:val="000000"/>
          <w:sz w:val="28"/>
          <w:szCs w:val="28"/>
        </w:rPr>
        <w:t>Накануне в пятницу американские площадки завершили день в слабо положительной зоне, дав повод фьючерсу на индекс РТС на рынке FORTS подрасти на 0,5%. Индекс S&amp;P500 вырос на 0,44% до 1146,24 пункта, DJIA прибавил 0,39% (10829,68 пункта), NASDAQ был слабее поднялся лишь на 0,09% (2370,75 пункта). 4 октября с утра фьючерс на индекс S&amp;P500 в минусе на 0,2%. Индекс NIKKEI 225 по итогам торгов снизился на 0,25%, южнокорейский индекс KOSPI пока в плюсе на 0,14%. В КНР сегодня выходной.</w:t>
      </w:r>
    </w:p>
    <w:p w:rsidR="00157199" w:rsidRPr="00DA2378" w:rsidRDefault="00157199" w:rsidP="00DA2378">
      <w:pPr>
        <w:spacing w:line="360" w:lineRule="auto"/>
        <w:ind w:firstLine="709"/>
        <w:jc w:val="both"/>
        <w:rPr>
          <w:color w:val="000000"/>
          <w:sz w:val="28"/>
          <w:szCs w:val="28"/>
        </w:rPr>
      </w:pPr>
      <w:r w:rsidRPr="00DA2378">
        <w:rPr>
          <w:color w:val="000000"/>
          <w:sz w:val="28"/>
          <w:szCs w:val="28"/>
        </w:rPr>
        <w:t>Цены на нефть слабо корректируются по сравнению с закрытием торгов в Нью-Йорке в пятницу, в пределах 0,1%, но находятся выше уровней, при которых российский рынок закрылся в пятницу. Фьючерс на сорт WTI стоит 81,5 долл./бар., на сорт Brent – 83,7 долл./бар.</w:t>
      </w:r>
    </w:p>
    <w:p w:rsidR="00157199" w:rsidRPr="00DA2378" w:rsidRDefault="00157199" w:rsidP="00DA2378">
      <w:pPr>
        <w:spacing w:line="360" w:lineRule="auto"/>
        <w:ind w:firstLine="709"/>
        <w:jc w:val="both"/>
        <w:rPr>
          <w:color w:val="000000"/>
          <w:sz w:val="28"/>
          <w:szCs w:val="28"/>
        </w:rPr>
      </w:pPr>
      <w:r w:rsidRPr="00DA2378">
        <w:rPr>
          <w:color w:val="000000"/>
          <w:sz w:val="28"/>
          <w:szCs w:val="28"/>
        </w:rPr>
        <w:t>Американский доллар укрепляется к основным валютам, в среднем на 0,1-0,2%. Евро на этом фоне снижается до 1,3770, иена – до 83,30. При этом российский рубль показывает слабое снижение к бивалютной корзине, торгуясь около уровней 30,5 руб./долл. и 42 руб./евро и теряя по 0,1% против каждой валюты, отмечают эксперты ИК "Линия Инвестиций".</w:t>
      </w:r>
    </w:p>
    <w:p w:rsidR="00157199" w:rsidRPr="00DA2378" w:rsidRDefault="00157199" w:rsidP="00DA2378">
      <w:pPr>
        <w:spacing w:line="360" w:lineRule="auto"/>
        <w:ind w:firstLine="709"/>
        <w:jc w:val="both"/>
        <w:rPr>
          <w:color w:val="000000"/>
          <w:sz w:val="28"/>
          <w:szCs w:val="28"/>
        </w:rPr>
      </w:pPr>
      <w:r w:rsidRPr="00DA2378">
        <w:rPr>
          <w:color w:val="000000"/>
          <w:sz w:val="28"/>
          <w:szCs w:val="28"/>
        </w:rPr>
        <w:t>Европейские индексы начинают торговый день тоже слабым ростом. В центре внимания в регионе сегодня будет ситуация с двумя крупнейшими ирландскими банками, увязшими на локальном рынке жилья. Теперь на их спасение необходимо около 100 млрд. евро, что в 3 раза больше цифр, озвученных в конце прошлой недели. Такие новости вызывают желание инвесторов избавиться от облигаций периферийных стран Еврозоны. Вечером, в 18:00 мск, из США получаем цифры по промышленным заказам (-0,4% м/м) и незавершенным сделкам на рынке жилья в августе (+2,8% м/м и +0,9% г/г).</w:t>
      </w:r>
    </w:p>
    <w:p w:rsidR="00157199" w:rsidRPr="00DA2378" w:rsidRDefault="00157199" w:rsidP="00DA2378">
      <w:pPr>
        <w:spacing w:line="360" w:lineRule="auto"/>
        <w:ind w:firstLine="709"/>
        <w:jc w:val="both"/>
        <w:rPr>
          <w:color w:val="000000"/>
          <w:sz w:val="28"/>
          <w:szCs w:val="28"/>
        </w:rPr>
      </w:pPr>
      <w:r w:rsidRPr="00DA2378">
        <w:rPr>
          <w:color w:val="000000"/>
          <w:sz w:val="28"/>
          <w:szCs w:val="28"/>
        </w:rPr>
        <w:t>"Основное же внимание участников торгов во второй половине этой недели переключится на отчетности американских корпораций, - указывают аналитики ИК "Линия Инвестиций". - Отчетность Alcoa, традиционно обозначающая начало периода отчетностей, выйдет 7 октября. А на российском рынке сегодня свои корпоративные отчеты. НЛМК отчитается за 2 квартал 2010 года, за 1 полугодие отчитается группа компаний ПИК. Акции этих компаний на ММВБ растут, соответственно, на 1,1% и 0,9%".</w:t>
      </w:r>
    </w:p>
    <w:p w:rsidR="00157199" w:rsidRPr="00DA2378" w:rsidRDefault="00157199" w:rsidP="00DA2378">
      <w:pPr>
        <w:spacing w:line="360" w:lineRule="auto"/>
        <w:ind w:firstLine="709"/>
        <w:jc w:val="both"/>
        <w:rPr>
          <w:color w:val="000000"/>
          <w:sz w:val="28"/>
          <w:szCs w:val="28"/>
        </w:rPr>
      </w:pPr>
      <w:r w:rsidRPr="00DA2378">
        <w:rPr>
          <w:color w:val="000000"/>
          <w:sz w:val="28"/>
          <w:szCs w:val="28"/>
        </w:rPr>
        <w:t xml:space="preserve">По мнению экспертов ИК "Линия Инвестиций", техническая картина российского рынка должна сформироваться к концу недели. </w:t>
      </w:r>
    </w:p>
    <w:p w:rsidR="000B4C96" w:rsidRPr="00BB7255" w:rsidRDefault="000B4C96" w:rsidP="00BB7255">
      <w:pPr>
        <w:pStyle w:val="a3"/>
        <w:spacing w:before="0" w:beforeAutospacing="0" w:after="0" w:afterAutospacing="0" w:line="360" w:lineRule="auto"/>
        <w:ind w:firstLine="709"/>
        <w:jc w:val="center"/>
        <w:outlineLvl w:val="0"/>
        <w:rPr>
          <w:b/>
          <w:sz w:val="28"/>
          <w:szCs w:val="28"/>
        </w:rPr>
      </w:pPr>
      <w:bookmarkStart w:id="4" w:name="_Toc273692765"/>
      <w:r w:rsidRPr="000B4C96">
        <w:rPr>
          <w:b/>
          <w:sz w:val="28"/>
          <w:szCs w:val="28"/>
        </w:rPr>
        <w:t>Заключение</w:t>
      </w:r>
      <w:bookmarkEnd w:id="4"/>
    </w:p>
    <w:p w:rsidR="00F06CA7" w:rsidRPr="000B4C96" w:rsidRDefault="00F06CA7" w:rsidP="000B4C96">
      <w:pPr>
        <w:pStyle w:val="a3"/>
        <w:spacing w:before="0" w:beforeAutospacing="0" w:after="0" w:afterAutospacing="0" w:line="360" w:lineRule="auto"/>
        <w:ind w:firstLine="709"/>
        <w:jc w:val="both"/>
        <w:rPr>
          <w:sz w:val="28"/>
          <w:szCs w:val="28"/>
        </w:rPr>
      </w:pPr>
      <w:r w:rsidRPr="000B4C96">
        <w:rPr>
          <w:sz w:val="28"/>
          <w:szCs w:val="28"/>
        </w:rPr>
        <w:t xml:space="preserve">Можно сказать, что фондовый рынок России стабильно развивается, становится более предсказуемым и надежным, и вместе с этим развитием на рынки выходит все большее количество эмитентов ценных бумаг. Компании прибегают к относительно дешевому и надежному способу привлечения капитала, инвесторы учатся работать с акциями. Остается надеяться, что дальнейшее развитие позволит в обозримом будущем выйти на рынок акциям многих компаний, а и инвесторы улучшить свое финансовое положение. </w:t>
      </w:r>
    </w:p>
    <w:p w:rsidR="000B4C96" w:rsidRDefault="000B4C96" w:rsidP="00BB7255">
      <w:pPr>
        <w:spacing w:line="360" w:lineRule="auto"/>
        <w:ind w:firstLine="709"/>
        <w:jc w:val="both"/>
        <w:rPr>
          <w:color w:val="000000"/>
          <w:sz w:val="28"/>
          <w:szCs w:val="28"/>
        </w:rPr>
      </w:pPr>
      <w:r w:rsidRPr="000B4C96">
        <w:rPr>
          <w:color w:val="000000"/>
          <w:sz w:val="28"/>
          <w:szCs w:val="28"/>
        </w:rPr>
        <w:t>Б</w:t>
      </w:r>
      <w:r w:rsidR="00B64A0F" w:rsidRPr="000B4C96">
        <w:rPr>
          <w:color w:val="000000"/>
          <w:sz w:val="28"/>
          <w:szCs w:val="28"/>
        </w:rPr>
        <w:t>ыстрорастущий международный рынок акций стал важным фактором международных эконо</w:t>
      </w:r>
      <w:r w:rsidRPr="000B4C96">
        <w:rPr>
          <w:color w:val="000000"/>
          <w:sz w:val="28"/>
          <w:szCs w:val="28"/>
        </w:rPr>
        <w:t xml:space="preserve">мических отношений капитализма. </w:t>
      </w:r>
      <w:r w:rsidR="00B64A0F" w:rsidRPr="000B4C96">
        <w:rPr>
          <w:color w:val="000000"/>
          <w:sz w:val="28"/>
          <w:szCs w:val="28"/>
        </w:rPr>
        <w:t xml:space="preserve">Несмотря на многие проблемы, с которыми столкнулся в настоящее время рынок акций, следует отметить, что это молодой, динамичный и перспективный рынок, который развивается на основе позитивных процессов, происходящих в нашей экономике: массового выпуска ценных бумаг в связи с приватизацией государственных предприятий, быстрого создания новых коммерческих образований и холдинговых структур, привлекающих средства на акционерной основе и т.п. Кроме того, рынок акций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 </w:t>
      </w:r>
      <w:r w:rsidR="00BB7255">
        <w:rPr>
          <w:color w:val="000000"/>
          <w:sz w:val="28"/>
          <w:szCs w:val="28"/>
        </w:rPr>
        <w:t>В</w:t>
      </w:r>
      <w:r w:rsidR="00B64A0F" w:rsidRPr="000B4C96">
        <w:rPr>
          <w:color w:val="000000"/>
          <w:sz w:val="28"/>
          <w:szCs w:val="28"/>
        </w:rPr>
        <w:t>осстановление и регулирование развития этого рынка является одной из первоочередных задач, стоящих перед правительством, для решения которой необходимо принятие долгосрочной государственной программы развития и регулирования фондового рынка и строгий контроль за ее исполнением.</w:t>
      </w:r>
      <w:r w:rsidR="00B64A0F" w:rsidRPr="0001048F">
        <w:rPr>
          <w:color w:val="000000"/>
          <w:sz w:val="28"/>
          <w:szCs w:val="28"/>
        </w:rPr>
        <w:br/>
        <w:t xml:space="preserve">  </w:t>
      </w:r>
    </w:p>
    <w:p w:rsidR="000B4C96" w:rsidRDefault="00B64A0F" w:rsidP="000B4C96">
      <w:pPr>
        <w:spacing w:line="360" w:lineRule="auto"/>
        <w:ind w:firstLine="709"/>
        <w:jc w:val="center"/>
        <w:outlineLvl w:val="0"/>
        <w:rPr>
          <w:color w:val="000000"/>
          <w:sz w:val="28"/>
          <w:szCs w:val="28"/>
        </w:rPr>
      </w:pPr>
      <w:r w:rsidRPr="0001048F">
        <w:rPr>
          <w:color w:val="000000"/>
          <w:sz w:val="28"/>
          <w:szCs w:val="28"/>
        </w:rPr>
        <w:br/>
      </w:r>
      <w:bookmarkStart w:id="5" w:name="_Toc273692766"/>
      <w:r w:rsidRPr="000B4C96">
        <w:rPr>
          <w:b/>
          <w:color w:val="000000"/>
          <w:sz w:val="28"/>
          <w:szCs w:val="28"/>
        </w:rPr>
        <w:t>Библиографический список</w:t>
      </w:r>
      <w:bookmarkEnd w:id="5"/>
    </w:p>
    <w:p w:rsidR="000B4C96" w:rsidRPr="000B4C96" w:rsidRDefault="00B64A0F" w:rsidP="000B4C96">
      <w:pPr>
        <w:spacing w:line="360" w:lineRule="auto"/>
        <w:ind w:firstLine="709"/>
        <w:jc w:val="both"/>
        <w:rPr>
          <w:color w:val="000000"/>
          <w:sz w:val="28"/>
          <w:szCs w:val="28"/>
        </w:rPr>
      </w:pPr>
      <w:r w:rsidRPr="0001048F">
        <w:rPr>
          <w:color w:val="000000"/>
          <w:sz w:val="28"/>
          <w:szCs w:val="28"/>
        </w:rPr>
        <w:br/>
      </w:r>
      <w:r w:rsidR="000B4C96" w:rsidRPr="000B4C96">
        <w:rPr>
          <w:color w:val="000000"/>
          <w:sz w:val="28"/>
          <w:szCs w:val="28"/>
        </w:rPr>
        <w:t xml:space="preserve">           </w:t>
      </w:r>
      <w:r w:rsidRPr="000B4C96">
        <w:rPr>
          <w:color w:val="000000"/>
          <w:sz w:val="28"/>
          <w:szCs w:val="28"/>
        </w:rPr>
        <w:t>1. Голосов В.В. Международный рынок ценных бумаг // Российский Эко</w:t>
      </w:r>
      <w:r w:rsidR="000B4C96" w:rsidRPr="000B4C96">
        <w:rPr>
          <w:color w:val="000000"/>
          <w:sz w:val="28"/>
          <w:szCs w:val="28"/>
        </w:rPr>
        <w:t>номичесчкий Журнал № 6, 1993 г.</w:t>
      </w:r>
    </w:p>
    <w:p w:rsidR="000B4C96" w:rsidRPr="000B4C96" w:rsidRDefault="000B4C96" w:rsidP="000B4C96">
      <w:pPr>
        <w:spacing w:line="360" w:lineRule="auto"/>
        <w:ind w:firstLine="709"/>
        <w:jc w:val="both"/>
        <w:rPr>
          <w:color w:val="000000"/>
          <w:sz w:val="28"/>
          <w:szCs w:val="28"/>
        </w:rPr>
      </w:pPr>
      <w:r w:rsidRPr="000B4C96">
        <w:rPr>
          <w:color w:val="000000"/>
          <w:sz w:val="28"/>
          <w:szCs w:val="28"/>
        </w:rPr>
        <w:t>2.</w:t>
      </w:r>
      <w:r w:rsidR="00B64A0F" w:rsidRPr="000B4C96">
        <w:rPr>
          <w:color w:val="000000"/>
          <w:sz w:val="28"/>
          <w:szCs w:val="28"/>
        </w:rPr>
        <w:t xml:space="preserve"> Рынок ценных бумаг и его финансовые институты. Под редакцией В.С. Торкановского – Санкт-Петербург, АО «Компакт», 1994г.</w:t>
      </w:r>
    </w:p>
    <w:p w:rsidR="000B4C96" w:rsidRPr="000B4C96" w:rsidRDefault="000B4C96" w:rsidP="000B4C96">
      <w:pPr>
        <w:spacing w:line="360" w:lineRule="auto"/>
        <w:ind w:firstLine="709"/>
        <w:jc w:val="both"/>
        <w:rPr>
          <w:sz w:val="28"/>
          <w:szCs w:val="28"/>
        </w:rPr>
      </w:pPr>
      <w:r w:rsidRPr="000B4C96">
        <w:rPr>
          <w:sz w:val="28"/>
          <w:szCs w:val="28"/>
        </w:rPr>
        <w:t>3. Рынок ценных бумаг - Галанов В.А. - Учебник, М.: Финансы и статистика, 2006</w:t>
      </w:r>
    </w:p>
    <w:p w:rsidR="000B4C96" w:rsidRPr="000B4C96" w:rsidRDefault="000B4C96" w:rsidP="000B4C96">
      <w:pPr>
        <w:spacing w:line="360" w:lineRule="auto"/>
        <w:ind w:firstLine="709"/>
        <w:jc w:val="both"/>
        <w:rPr>
          <w:color w:val="000000"/>
          <w:sz w:val="28"/>
          <w:szCs w:val="28"/>
        </w:rPr>
      </w:pPr>
      <w:r w:rsidRPr="000B4C96">
        <w:rPr>
          <w:sz w:val="28"/>
          <w:szCs w:val="28"/>
        </w:rPr>
        <w:t>4. Рынок ценных бумаг: учебное пособие / Я. М. Миркин. — Москва, 2002. — 87 с.</w:t>
      </w:r>
    </w:p>
    <w:p w:rsidR="00F06CA7" w:rsidRPr="000B4C96" w:rsidRDefault="000B4C96" w:rsidP="000B4C96">
      <w:pPr>
        <w:spacing w:line="360" w:lineRule="auto"/>
        <w:ind w:firstLine="709"/>
        <w:jc w:val="both"/>
        <w:rPr>
          <w:color w:val="000000"/>
          <w:sz w:val="28"/>
          <w:szCs w:val="28"/>
        </w:rPr>
      </w:pPr>
      <w:r w:rsidRPr="000B4C96">
        <w:rPr>
          <w:color w:val="000000"/>
          <w:sz w:val="28"/>
          <w:szCs w:val="28"/>
        </w:rPr>
        <w:t xml:space="preserve">5. </w:t>
      </w:r>
      <w:r w:rsidR="00B64A0F" w:rsidRPr="000B4C96">
        <w:rPr>
          <w:color w:val="000000"/>
          <w:sz w:val="28"/>
          <w:szCs w:val="28"/>
        </w:rPr>
        <w:t>Яковлев Ю. А. Акционерное общество// БСЭ. 3-е. изд.М., 1969. Т. 2</w:t>
      </w:r>
      <w:bookmarkStart w:id="6" w:name="_GoBack"/>
      <w:bookmarkEnd w:id="6"/>
    </w:p>
    <w:sectPr w:rsidR="00F06CA7" w:rsidRPr="000B4C96">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7E1" w:rsidRDefault="00A557E1">
      <w:r>
        <w:separator/>
      </w:r>
    </w:p>
  </w:endnote>
  <w:endnote w:type="continuationSeparator" w:id="0">
    <w:p w:rsidR="00A557E1" w:rsidRDefault="00A55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378" w:rsidRDefault="00DA2378" w:rsidP="00B14E5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A2378" w:rsidRDefault="00DA237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378" w:rsidRDefault="00DA2378" w:rsidP="00B14E5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B7255">
      <w:rPr>
        <w:rStyle w:val="a8"/>
        <w:noProof/>
      </w:rPr>
      <w:t>7</w:t>
    </w:r>
    <w:r>
      <w:rPr>
        <w:rStyle w:val="a8"/>
      </w:rPr>
      <w:fldChar w:fldCharType="end"/>
    </w:r>
  </w:p>
  <w:p w:rsidR="00DA2378" w:rsidRDefault="00DA237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7E1" w:rsidRDefault="00A557E1">
      <w:r>
        <w:separator/>
      </w:r>
    </w:p>
  </w:footnote>
  <w:footnote w:type="continuationSeparator" w:id="0">
    <w:p w:rsidR="00A557E1" w:rsidRDefault="00A557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70E1B"/>
    <w:multiLevelType w:val="multilevel"/>
    <w:tmpl w:val="90626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865713"/>
    <w:multiLevelType w:val="multilevel"/>
    <w:tmpl w:val="90D6D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CC678E"/>
    <w:multiLevelType w:val="multilevel"/>
    <w:tmpl w:val="F4BEE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CA7"/>
    <w:rsid w:val="0001048F"/>
    <w:rsid w:val="000545FC"/>
    <w:rsid w:val="00064264"/>
    <w:rsid w:val="000B4C96"/>
    <w:rsid w:val="000C6678"/>
    <w:rsid w:val="00157199"/>
    <w:rsid w:val="001C1613"/>
    <w:rsid w:val="003F6902"/>
    <w:rsid w:val="007D152C"/>
    <w:rsid w:val="00843952"/>
    <w:rsid w:val="00951FCF"/>
    <w:rsid w:val="00A34D9B"/>
    <w:rsid w:val="00A557E1"/>
    <w:rsid w:val="00AF395F"/>
    <w:rsid w:val="00AF46A9"/>
    <w:rsid w:val="00B14E59"/>
    <w:rsid w:val="00B64A0F"/>
    <w:rsid w:val="00B872A4"/>
    <w:rsid w:val="00BB7255"/>
    <w:rsid w:val="00D324E3"/>
    <w:rsid w:val="00DA2378"/>
    <w:rsid w:val="00F06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794161-CB68-493C-B0A8-AE30E179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F06CA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06CA7"/>
    <w:pPr>
      <w:spacing w:before="100" w:beforeAutospacing="1" w:after="100" w:afterAutospacing="1"/>
    </w:pPr>
  </w:style>
  <w:style w:type="character" w:styleId="a4">
    <w:name w:val="Strong"/>
    <w:basedOn w:val="a0"/>
    <w:qFormat/>
    <w:rsid w:val="00F06CA7"/>
    <w:rPr>
      <w:b/>
      <w:bCs/>
    </w:rPr>
  </w:style>
  <w:style w:type="paragraph" w:styleId="a5">
    <w:name w:val="footnote text"/>
    <w:basedOn w:val="a"/>
    <w:semiHidden/>
    <w:rsid w:val="0001048F"/>
    <w:rPr>
      <w:sz w:val="20"/>
      <w:szCs w:val="20"/>
    </w:rPr>
  </w:style>
  <w:style w:type="character" w:styleId="a6">
    <w:name w:val="footnote reference"/>
    <w:basedOn w:val="a0"/>
    <w:semiHidden/>
    <w:rsid w:val="0001048F"/>
    <w:rPr>
      <w:vertAlign w:val="superscript"/>
    </w:rPr>
  </w:style>
  <w:style w:type="paragraph" w:styleId="a7">
    <w:name w:val="footer"/>
    <w:basedOn w:val="a"/>
    <w:rsid w:val="000C6678"/>
    <w:pPr>
      <w:tabs>
        <w:tab w:val="center" w:pos="4677"/>
        <w:tab w:val="right" w:pos="9355"/>
      </w:tabs>
    </w:pPr>
  </w:style>
  <w:style w:type="character" w:styleId="a8">
    <w:name w:val="page number"/>
    <w:basedOn w:val="a0"/>
    <w:rsid w:val="000C6678"/>
  </w:style>
  <w:style w:type="paragraph" w:styleId="10">
    <w:name w:val="toc 1"/>
    <w:basedOn w:val="a"/>
    <w:next w:val="a"/>
    <w:autoRedefine/>
    <w:semiHidden/>
    <w:rsid w:val="000B4C96"/>
  </w:style>
  <w:style w:type="character" w:styleId="a9">
    <w:name w:val="Hyperlink"/>
    <w:basedOn w:val="a0"/>
    <w:rsid w:val="000B4C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975725">
      <w:bodyDiv w:val="1"/>
      <w:marLeft w:val="0"/>
      <w:marRight w:val="0"/>
      <w:marTop w:val="0"/>
      <w:marBottom w:val="0"/>
      <w:divBdr>
        <w:top w:val="none" w:sz="0" w:space="0" w:color="auto"/>
        <w:left w:val="none" w:sz="0" w:space="0" w:color="auto"/>
        <w:bottom w:val="none" w:sz="0" w:space="0" w:color="auto"/>
        <w:right w:val="none" w:sz="0" w:space="0" w:color="auto"/>
      </w:divBdr>
      <w:divsChild>
        <w:div w:id="1281035512">
          <w:marLeft w:val="0"/>
          <w:marRight w:val="0"/>
          <w:marTop w:val="0"/>
          <w:marBottom w:val="0"/>
          <w:divBdr>
            <w:top w:val="none" w:sz="0" w:space="0" w:color="auto"/>
            <w:left w:val="none" w:sz="0" w:space="0" w:color="auto"/>
            <w:bottom w:val="none" w:sz="0" w:space="0" w:color="auto"/>
            <w:right w:val="none" w:sz="0" w:space="0" w:color="auto"/>
          </w:divBdr>
          <w:divsChild>
            <w:div w:id="182485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821326">
      <w:bodyDiv w:val="1"/>
      <w:marLeft w:val="0"/>
      <w:marRight w:val="0"/>
      <w:marTop w:val="0"/>
      <w:marBottom w:val="0"/>
      <w:divBdr>
        <w:top w:val="none" w:sz="0" w:space="0" w:color="auto"/>
        <w:left w:val="none" w:sz="0" w:space="0" w:color="auto"/>
        <w:bottom w:val="none" w:sz="0" w:space="0" w:color="auto"/>
        <w:right w:val="none" w:sz="0" w:space="0" w:color="auto"/>
      </w:divBdr>
      <w:divsChild>
        <w:div w:id="1368524895">
          <w:marLeft w:val="0"/>
          <w:marRight w:val="0"/>
          <w:marTop w:val="0"/>
          <w:marBottom w:val="0"/>
          <w:divBdr>
            <w:top w:val="none" w:sz="0" w:space="0" w:color="auto"/>
            <w:left w:val="none" w:sz="0" w:space="0" w:color="auto"/>
            <w:bottom w:val="none" w:sz="0" w:space="0" w:color="auto"/>
            <w:right w:val="none" w:sz="0" w:space="0" w:color="auto"/>
          </w:divBdr>
          <w:divsChild>
            <w:div w:id="1620993760">
              <w:marLeft w:val="0"/>
              <w:marRight w:val="0"/>
              <w:marTop w:val="0"/>
              <w:marBottom w:val="0"/>
              <w:divBdr>
                <w:top w:val="none" w:sz="0" w:space="0" w:color="auto"/>
                <w:left w:val="none" w:sz="0" w:space="0" w:color="auto"/>
                <w:bottom w:val="none" w:sz="0" w:space="0" w:color="auto"/>
                <w:right w:val="none" w:sz="0" w:space="0" w:color="auto"/>
              </w:divBdr>
              <w:divsChild>
                <w:div w:id="215632170">
                  <w:marLeft w:val="0"/>
                  <w:marRight w:val="0"/>
                  <w:marTop w:val="0"/>
                  <w:marBottom w:val="0"/>
                  <w:divBdr>
                    <w:top w:val="none" w:sz="0" w:space="0" w:color="auto"/>
                    <w:left w:val="none" w:sz="0" w:space="0" w:color="auto"/>
                    <w:bottom w:val="none" w:sz="0" w:space="0" w:color="auto"/>
                    <w:right w:val="none" w:sz="0" w:space="0" w:color="auto"/>
                  </w:divBdr>
                  <w:divsChild>
                    <w:div w:id="210036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008400">
      <w:bodyDiv w:val="1"/>
      <w:marLeft w:val="0"/>
      <w:marRight w:val="0"/>
      <w:marTop w:val="0"/>
      <w:marBottom w:val="0"/>
      <w:divBdr>
        <w:top w:val="none" w:sz="0" w:space="0" w:color="auto"/>
        <w:left w:val="none" w:sz="0" w:space="0" w:color="auto"/>
        <w:bottom w:val="none" w:sz="0" w:space="0" w:color="auto"/>
        <w:right w:val="none" w:sz="0" w:space="0" w:color="auto"/>
      </w:divBdr>
      <w:divsChild>
        <w:div w:id="147140753">
          <w:marLeft w:val="0"/>
          <w:marRight w:val="0"/>
          <w:marTop w:val="0"/>
          <w:marBottom w:val="0"/>
          <w:divBdr>
            <w:top w:val="none" w:sz="0" w:space="0" w:color="auto"/>
            <w:left w:val="none" w:sz="0" w:space="0" w:color="auto"/>
            <w:bottom w:val="none" w:sz="0" w:space="0" w:color="auto"/>
            <w:right w:val="none" w:sz="0" w:space="0" w:color="auto"/>
          </w:divBdr>
        </w:div>
        <w:div w:id="795832686">
          <w:marLeft w:val="0"/>
          <w:marRight w:val="0"/>
          <w:marTop w:val="0"/>
          <w:marBottom w:val="0"/>
          <w:divBdr>
            <w:top w:val="none" w:sz="0" w:space="0" w:color="auto"/>
            <w:left w:val="none" w:sz="0" w:space="0" w:color="auto"/>
            <w:bottom w:val="none" w:sz="0" w:space="0" w:color="auto"/>
            <w:right w:val="none" w:sz="0" w:space="0" w:color="auto"/>
          </w:divBdr>
        </w:div>
        <w:div w:id="1695035128">
          <w:marLeft w:val="0"/>
          <w:marRight w:val="0"/>
          <w:marTop w:val="0"/>
          <w:marBottom w:val="0"/>
          <w:divBdr>
            <w:top w:val="none" w:sz="0" w:space="0" w:color="auto"/>
            <w:left w:val="none" w:sz="0" w:space="0" w:color="auto"/>
            <w:bottom w:val="none" w:sz="0" w:space="0" w:color="auto"/>
            <w:right w:val="none" w:sz="0" w:space="0" w:color="auto"/>
          </w:divBdr>
        </w:div>
      </w:divsChild>
    </w:div>
    <w:div w:id="1439183162">
      <w:bodyDiv w:val="1"/>
      <w:marLeft w:val="0"/>
      <w:marRight w:val="0"/>
      <w:marTop w:val="0"/>
      <w:marBottom w:val="0"/>
      <w:divBdr>
        <w:top w:val="none" w:sz="0" w:space="0" w:color="auto"/>
        <w:left w:val="none" w:sz="0" w:space="0" w:color="auto"/>
        <w:bottom w:val="none" w:sz="0" w:space="0" w:color="auto"/>
        <w:right w:val="none" w:sz="0" w:space="0" w:color="auto"/>
      </w:divBdr>
      <w:divsChild>
        <w:div w:id="1080563139">
          <w:marLeft w:val="0"/>
          <w:marRight w:val="0"/>
          <w:marTop w:val="0"/>
          <w:marBottom w:val="0"/>
          <w:divBdr>
            <w:top w:val="none" w:sz="0" w:space="0" w:color="auto"/>
            <w:left w:val="none" w:sz="0" w:space="0" w:color="auto"/>
            <w:bottom w:val="none" w:sz="0" w:space="0" w:color="auto"/>
            <w:right w:val="none" w:sz="0" w:space="0" w:color="auto"/>
          </w:divBdr>
          <w:divsChild>
            <w:div w:id="1799883318">
              <w:marLeft w:val="0"/>
              <w:marRight w:val="0"/>
              <w:marTop w:val="0"/>
              <w:marBottom w:val="0"/>
              <w:divBdr>
                <w:top w:val="none" w:sz="0" w:space="0" w:color="auto"/>
                <w:left w:val="none" w:sz="0" w:space="0" w:color="auto"/>
                <w:bottom w:val="none" w:sz="0" w:space="0" w:color="auto"/>
                <w:right w:val="none" w:sz="0" w:space="0" w:color="auto"/>
              </w:divBdr>
              <w:divsChild>
                <w:div w:id="1311669136">
                  <w:marLeft w:val="0"/>
                  <w:marRight w:val="0"/>
                  <w:marTop w:val="0"/>
                  <w:marBottom w:val="0"/>
                  <w:divBdr>
                    <w:top w:val="none" w:sz="0" w:space="0" w:color="auto"/>
                    <w:left w:val="none" w:sz="0" w:space="0" w:color="auto"/>
                    <w:bottom w:val="none" w:sz="0" w:space="0" w:color="auto"/>
                    <w:right w:val="none" w:sz="0" w:space="0" w:color="auto"/>
                  </w:divBdr>
                  <w:divsChild>
                    <w:div w:id="1412701818">
                      <w:marLeft w:val="0"/>
                      <w:marRight w:val="0"/>
                      <w:marTop w:val="0"/>
                      <w:marBottom w:val="0"/>
                      <w:divBdr>
                        <w:top w:val="none" w:sz="0" w:space="0" w:color="auto"/>
                        <w:left w:val="none" w:sz="0" w:space="0" w:color="auto"/>
                        <w:bottom w:val="none" w:sz="0" w:space="0" w:color="auto"/>
                        <w:right w:val="none" w:sz="0" w:space="0" w:color="auto"/>
                      </w:divBdr>
                      <w:divsChild>
                        <w:div w:id="1403215577">
                          <w:marLeft w:val="0"/>
                          <w:marRight w:val="254"/>
                          <w:marTop w:val="0"/>
                          <w:marBottom w:val="424"/>
                          <w:divBdr>
                            <w:top w:val="none" w:sz="0" w:space="0" w:color="auto"/>
                            <w:left w:val="none" w:sz="0" w:space="0" w:color="auto"/>
                            <w:bottom w:val="none" w:sz="0" w:space="0" w:color="auto"/>
                            <w:right w:val="none" w:sz="0" w:space="0" w:color="auto"/>
                          </w:divBdr>
                          <w:divsChild>
                            <w:div w:id="1101680694">
                              <w:marLeft w:val="0"/>
                              <w:marRight w:val="0"/>
                              <w:marTop w:val="0"/>
                              <w:marBottom w:val="0"/>
                              <w:divBdr>
                                <w:top w:val="none" w:sz="0" w:space="0" w:color="auto"/>
                                <w:left w:val="none" w:sz="0" w:space="0" w:color="auto"/>
                                <w:bottom w:val="none" w:sz="0" w:space="0" w:color="auto"/>
                                <w:right w:val="none" w:sz="0" w:space="0" w:color="auto"/>
                              </w:divBdr>
                              <w:divsChild>
                                <w:div w:id="24327313">
                                  <w:marLeft w:val="0"/>
                                  <w:marRight w:val="0"/>
                                  <w:marTop w:val="0"/>
                                  <w:marBottom w:val="0"/>
                                  <w:divBdr>
                                    <w:top w:val="none" w:sz="0" w:space="0" w:color="auto"/>
                                    <w:left w:val="none" w:sz="0" w:space="0" w:color="auto"/>
                                    <w:bottom w:val="none" w:sz="0" w:space="0" w:color="auto"/>
                                    <w:right w:val="none" w:sz="0" w:space="0" w:color="auto"/>
                                  </w:divBdr>
                                  <w:divsChild>
                                    <w:div w:id="92715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6173522">
      <w:bodyDiv w:val="1"/>
      <w:marLeft w:val="0"/>
      <w:marRight w:val="0"/>
      <w:marTop w:val="0"/>
      <w:marBottom w:val="0"/>
      <w:divBdr>
        <w:top w:val="none" w:sz="0" w:space="0" w:color="auto"/>
        <w:left w:val="none" w:sz="0" w:space="0" w:color="auto"/>
        <w:bottom w:val="none" w:sz="0" w:space="0" w:color="auto"/>
        <w:right w:val="none" w:sz="0" w:space="0" w:color="auto"/>
      </w:divBdr>
      <w:divsChild>
        <w:div w:id="2091387910">
          <w:marLeft w:val="0"/>
          <w:marRight w:val="0"/>
          <w:marTop w:val="0"/>
          <w:marBottom w:val="0"/>
          <w:divBdr>
            <w:top w:val="none" w:sz="0" w:space="0" w:color="auto"/>
            <w:left w:val="none" w:sz="0" w:space="0" w:color="auto"/>
            <w:bottom w:val="none" w:sz="0" w:space="0" w:color="auto"/>
            <w:right w:val="none" w:sz="0" w:space="0" w:color="auto"/>
          </w:divBdr>
          <w:divsChild>
            <w:div w:id="96600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1485</Words>
  <Characters>8467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2</Company>
  <LinksUpToDate>false</LinksUpToDate>
  <CharactersWithSpaces>9933</CharactersWithSpaces>
  <SharedDoc>false</SharedDoc>
  <HLinks>
    <vt:vector size="36" baseType="variant">
      <vt:variant>
        <vt:i4>1179711</vt:i4>
      </vt:variant>
      <vt:variant>
        <vt:i4>32</vt:i4>
      </vt:variant>
      <vt:variant>
        <vt:i4>0</vt:i4>
      </vt:variant>
      <vt:variant>
        <vt:i4>5</vt:i4>
      </vt:variant>
      <vt:variant>
        <vt:lpwstr/>
      </vt:variant>
      <vt:variant>
        <vt:lpwstr>_Toc273692766</vt:lpwstr>
      </vt:variant>
      <vt:variant>
        <vt:i4>1179711</vt:i4>
      </vt:variant>
      <vt:variant>
        <vt:i4>26</vt:i4>
      </vt:variant>
      <vt:variant>
        <vt:i4>0</vt:i4>
      </vt:variant>
      <vt:variant>
        <vt:i4>5</vt:i4>
      </vt:variant>
      <vt:variant>
        <vt:lpwstr/>
      </vt:variant>
      <vt:variant>
        <vt:lpwstr>_Toc273692765</vt:lpwstr>
      </vt:variant>
      <vt:variant>
        <vt:i4>1179711</vt:i4>
      </vt:variant>
      <vt:variant>
        <vt:i4>20</vt:i4>
      </vt:variant>
      <vt:variant>
        <vt:i4>0</vt:i4>
      </vt:variant>
      <vt:variant>
        <vt:i4>5</vt:i4>
      </vt:variant>
      <vt:variant>
        <vt:lpwstr/>
      </vt:variant>
      <vt:variant>
        <vt:lpwstr>_Toc273692764</vt:lpwstr>
      </vt:variant>
      <vt:variant>
        <vt:i4>1179711</vt:i4>
      </vt:variant>
      <vt:variant>
        <vt:i4>14</vt:i4>
      </vt:variant>
      <vt:variant>
        <vt:i4>0</vt:i4>
      </vt:variant>
      <vt:variant>
        <vt:i4>5</vt:i4>
      </vt:variant>
      <vt:variant>
        <vt:lpwstr/>
      </vt:variant>
      <vt:variant>
        <vt:lpwstr>_Toc273692763</vt:lpwstr>
      </vt:variant>
      <vt:variant>
        <vt:i4>1179711</vt:i4>
      </vt:variant>
      <vt:variant>
        <vt:i4>8</vt:i4>
      </vt:variant>
      <vt:variant>
        <vt:i4>0</vt:i4>
      </vt:variant>
      <vt:variant>
        <vt:i4>5</vt:i4>
      </vt:variant>
      <vt:variant>
        <vt:lpwstr/>
      </vt:variant>
      <vt:variant>
        <vt:lpwstr>_Toc273692762</vt:lpwstr>
      </vt:variant>
      <vt:variant>
        <vt:i4>1179711</vt:i4>
      </vt:variant>
      <vt:variant>
        <vt:i4>2</vt:i4>
      </vt:variant>
      <vt:variant>
        <vt:i4>0</vt:i4>
      </vt:variant>
      <vt:variant>
        <vt:i4>5</vt:i4>
      </vt:variant>
      <vt:variant>
        <vt:lpwstr/>
      </vt:variant>
      <vt:variant>
        <vt:lpwstr>_Toc273692761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Irina</cp:lastModifiedBy>
  <cp:revision>2</cp:revision>
  <dcterms:created xsi:type="dcterms:W3CDTF">2014-08-19T21:11:00Z</dcterms:created>
  <dcterms:modified xsi:type="dcterms:W3CDTF">2014-08-19T21:11:00Z</dcterms:modified>
</cp:coreProperties>
</file>