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4CB" w:rsidRPr="000B44CB" w:rsidRDefault="000B44CB">
      <w:pPr>
        <w:pStyle w:val="10"/>
        <w:tabs>
          <w:tab w:val="right" w:leader="dot" w:pos="9344"/>
        </w:tabs>
        <w:rPr>
          <w:b/>
          <w:noProof/>
          <w:sz w:val="28"/>
          <w:szCs w:val="28"/>
        </w:rPr>
      </w:pPr>
      <w:r w:rsidRPr="00D368AB">
        <w:rPr>
          <w:rStyle w:val="a3"/>
          <w:b/>
          <w:noProof/>
          <w:sz w:val="28"/>
          <w:szCs w:val="28"/>
          <w:lang w:val="uk-UA"/>
        </w:rPr>
        <w:t>1. Економічна характеристика Фондової біржі</w:t>
      </w:r>
      <w:r w:rsidRPr="000B44CB">
        <w:rPr>
          <w:b/>
          <w:noProof/>
          <w:webHidden/>
          <w:sz w:val="28"/>
          <w:szCs w:val="28"/>
        </w:rPr>
        <w:tab/>
      </w:r>
      <w:r w:rsidR="006F30E3">
        <w:rPr>
          <w:b/>
          <w:noProof/>
          <w:webHidden/>
          <w:sz w:val="28"/>
          <w:szCs w:val="28"/>
        </w:rPr>
        <w:t>2</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1</w:t>
      </w:r>
      <w:r w:rsidRPr="000B44CB">
        <w:rPr>
          <w:b/>
          <w:noProof/>
          <w:webHidden/>
          <w:sz w:val="28"/>
          <w:szCs w:val="28"/>
        </w:rPr>
        <w:tab/>
      </w:r>
      <w:r w:rsidR="006F30E3">
        <w:rPr>
          <w:b/>
          <w:noProof/>
          <w:webHidden/>
          <w:sz w:val="28"/>
          <w:szCs w:val="28"/>
        </w:rPr>
        <w:t>5</w:t>
      </w:r>
    </w:p>
    <w:p w:rsidR="000B44CB" w:rsidRPr="000B44CB" w:rsidRDefault="000B44CB">
      <w:pPr>
        <w:pStyle w:val="10"/>
        <w:tabs>
          <w:tab w:val="right" w:leader="dot" w:pos="9344"/>
        </w:tabs>
        <w:rPr>
          <w:b/>
          <w:noProof/>
          <w:sz w:val="28"/>
          <w:szCs w:val="28"/>
        </w:rPr>
      </w:pPr>
      <w:r w:rsidRPr="00D368AB">
        <w:rPr>
          <w:rStyle w:val="a3"/>
          <w:b/>
          <w:noProof/>
          <w:sz w:val="28"/>
          <w:szCs w:val="28"/>
          <w:lang w:val="uk-UA"/>
        </w:rPr>
        <w:t>2. Котирування цінних паперів</w:t>
      </w:r>
      <w:r w:rsidRPr="000B44CB">
        <w:rPr>
          <w:b/>
          <w:noProof/>
          <w:webHidden/>
          <w:sz w:val="28"/>
          <w:szCs w:val="28"/>
        </w:rPr>
        <w:tab/>
      </w:r>
      <w:r w:rsidR="006F30E3">
        <w:rPr>
          <w:b/>
          <w:noProof/>
          <w:webHidden/>
          <w:sz w:val="28"/>
          <w:szCs w:val="28"/>
        </w:rPr>
        <w:t>6</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2</w:t>
      </w:r>
      <w:r w:rsidRPr="000B44CB">
        <w:rPr>
          <w:b/>
          <w:noProof/>
          <w:webHidden/>
          <w:sz w:val="28"/>
          <w:szCs w:val="28"/>
        </w:rPr>
        <w:tab/>
      </w:r>
      <w:r w:rsidR="006F30E3">
        <w:rPr>
          <w:b/>
          <w:noProof/>
          <w:webHidden/>
          <w:sz w:val="28"/>
          <w:szCs w:val="28"/>
        </w:rPr>
        <w:t>7</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3</w:t>
      </w:r>
      <w:r w:rsidRPr="000B44CB">
        <w:rPr>
          <w:b/>
          <w:noProof/>
          <w:webHidden/>
          <w:sz w:val="28"/>
          <w:szCs w:val="28"/>
        </w:rPr>
        <w:tab/>
      </w:r>
      <w:r w:rsidR="006F30E3">
        <w:rPr>
          <w:b/>
          <w:noProof/>
          <w:webHidden/>
          <w:sz w:val="28"/>
          <w:szCs w:val="28"/>
        </w:rPr>
        <w:t>8</w:t>
      </w:r>
    </w:p>
    <w:p w:rsidR="000B44CB" w:rsidRPr="000B44CB" w:rsidRDefault="000B44CB">
      <w:pPr>
        <w:pStyle w:val="10"/>
        <w:tabs>
          <w:tab w:val="right" w:leader="dot" w:pos="9344"/>
        </w:tabs>
        <w:rPr>
          <w:b/>
          <w:noProof/>
          <w:sz w:val="28"/>
          <w:szCs w:val="28"/>
        </w:rPr>
      </w:pPr>
      <w:r w:rsidRPr="00D368AB">
        <w:rPr>
          <w:rStyle w:val="a3"/>
          <w:b/>
          <w:noProof/>
          <w:sz w:val="28"/>
          <w:szCs w:val="28"/>
          <w:lang w:val="uk-UA"/>
        </w:rPr>
        <w:t>3. Єдина біржова фондова система України. Принципи побудови та етапи створення</w:t>
      </w:r>
      <w:r w:rsidRPr="000B44CB">
        <w:rPr>
          <w:b/>
          <w:noProof/>
          <w:webHidden/>
          <w:sz w:val="28"/>
          <w:szCs w:val="28"/>
        </w:rPr>
        <w:tab/>
      </w:r>
      <w:r w:rsidR="006F30E3">
        <w:rPr>
          <w:b/>
          <w:noProof/>
          <w:webHidden/>
          <w:sz w:val="28"/>
          <w:szCs w:val="28"/>
        </w:rPr>
        <w:t>9</w:t>
      </w:r>
    </w:p>
    <w:p w:rsidR="000B44CB" w:rsidRPr="000B44CB" w:rsidRDefault="000B44CB">
      <w:pPr>
        <w:pStyle w:val="10"/>
        <w:tabs>
          <w:tab w:val="right" w:leader="dot" w:pos="9344"/>
        </w:tabs>
        <w:rPr>
          <w:b/>
          <w:noProof/>
          <w:sz w:val="28"/>
          <w:szCs w:val="28"/>
        </w:rPr>
      </w:pPr>
      <w:r w:rsidRPr="00D368AB">
        <w:rPr>
          <w:rStyle w:val="a3"/>
          <w:b/>
          <w:noProof/>
          <w:sz w:val="28"/>
          <w:szCs w:val="28"/>
          <w:lang w:val="uk-UA"/>
        </w:rPr>
        <w:t>4. Біржова торгівля акціями: проблеми та перспективи</w:t>
      </w:r>
      <w:r w:rsidRPr="000B44CB">
        <w:rPr>
          <w:b/>
          <w:noProof/>
          <w:webHidden/>
          <w:sz w:val="28"/>
          <w:szCs w:val="28"/>
        </w:rPr>
        <w:tab/>
      </w:r>
      <w:r w:rsidR="006F30E3">
        <w:rPr>
          <w:b/>
          <w:noProof/>
          <w:webHidden/>
          <w:sz w:val="28"/>
          <w:szCs w:val="28"/>
        </w:rPr>
        <w:t>11</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4</w:t>
      </w:r>
      <w:r w:rsidRPr="000B44CB">
        <w:rPr>
          <w:b/>
          <w:noProof/>
          <w:webHidden/>
          <w:sz w:val="28"/>
          <w:szCs w:val="28"/>
        </w:rPr>
        <w:tab/>
      </w:r>
      <w:r w:rsidR="006F30E3">
        <w:rPr>
          <w:b/>
          <w:noProof/>
          <w:webHidden/>
          <w:sz w:val="28"/>
          <w:szCs w:val="28"/>
        </w:rPr>
        <w:t>13</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5</w:t>
      </w:r>
      <w:r w:rsidRPr="000B44CB">
        <w:rPr>
          <w:b/>
          <w:noProof/>
          <w:webHidden/>
          <w:sz w:val="28"/>
          <w:szCs w:val="28"/>
        </w:rPr>
        <w:tab/>
      </w:r>
      <w:r w:rsidR="006F30E3">
        <w:rPr>
          <w:b/>
          <w:noProof/>
          <w:webHidden/>
          <w:sz w:val="28"/>
          <w:szCs w:val="28"/>
        </w:rPr>
        <w:t>15</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6</w:t>
      </w:r>
      <w:r w:rsidRPr="000B44CB">
        <w:rPr>
          <w:b/>
          <w:noProof/>
          <w:webHidden/>
          <w:sz w:val="28"/>
          <w:szCs w:val="28"/>
        </w:rPr>
        <w:tab/>
      </w:r>
      <w:r w:rsidR="006F30E3">
        <w:rPr>
          <w:b/>
          <w:noProof/>
          <w:webHidden/>
          <w:sz w:val="28"/>
          <w:szCs w:val="28"/>
        </w:rPr>
        <w:t>16</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7</w:t>
      </w:r>
      <w:r w:rsidRPr="000B44CB">
        <w:rPr>
          <w:b/>
          <w:noProof/>
          <w:webHidden/>
          <w:sz w:val="28"/>
          <w:szCs w:val="28"/>
        </w:rPr>
        <w:tab/>
      </w:r>
      <w:r w:rsidR="006F30E3">
        <w:rPr>
          <w:b/>
          <w:noProof/>
          <w:webHidden/>
          <w:sz w:val="28"/>
          <w:szCs w:val="28"/>
        </w:rPr>
        <w:t>17</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Таблиця 8</w:t>
      </w:r>
      <w:r w:rsidRPr="000B44CB">
        <w:rPr>
          <w:b/>
          <w:noProof/>
          <w:webHidden/>
          <w:sz w:val="28"/>
          <w:szCs w:val="28"/>
        </w:rPr>
        <w:tab/>
      </w:r>
      <w:r w:rsidR="006F30E3">
        <w:rPr>
          <w:b/>
          <w:noProof/>
          <w:webHidden/>
          <w:sz w:val="28"/>
          <w:szCs w:val="28"/>
        </w:rPr>
        <w:t>18</w:t>
      </w:r>
    </w:p>
    <w:p w:rsidR="000B44CB" w:rsidRPr="000B44CB" w:rsidRDefault="000B44CB">
      <w:pPr>
        <w:pStyle w:val="10"/>
        <w:tabs>
          <w:tab w:val="right" w:leader="dot" w:pos="9344"/>
        </w:tabs>
        <w:rPr>
          <w:b/>
          <w:noProof/>
          <w:sz w:val="28"/>
          <w:szCs w:val="28"/>
        </w:rPr>
      </w:pPr>
      <w:r w:rsidRPr="00D368AB">
        <w:rPr>
          <w:rStyle w:val="a3"/>
          <w:b/>
          <w:noProof/>
          <w:sz w:val="28"/>
          <w:szCs w:val="28"/>
          <w:lang w:val="uk-UA"/>
        </w:rPr>
        <w:t>Висновок</w:t>
      </w:r>
      <w:r w:rsidRPr="000B44CB">
        <w:rPr>
          <w:b/>
          <w:noProof/>
          <w:webHidden/>
          <w:sz w:val="28"/>
          <w:szCs w:val="28"/>
        </w:rPr>
        <w:tab/>
      </w:r>
      <w:r w:rsidR="006F30E3">
        <w:rPr>
          <w:b/>
          <w:noProof/>
          <w:webHidden/>
          <w:sz w:val="28"/>
          <w:szCs w:val="28"/>
        </w:rPr>
        <w:t>20</w:t>
      </w:r>
    </w:p>
    <w:p w:rsidR="000B44CB" w:rsidRPr="000B44CB" w:rsidRDefault="000B44CB">
      <w:pPr>
        <w:pStyle w:val="20"/>
        <w:tabs>
          <w:tab w:val="right" w:leader="dot" w:pos="9344"/>
        </w:tabs>
        <w:rPr>
          <w:b/>
          <w:noProof/>
          <w:sz w:val="28"/>
          <w:szCs w:val="28"/>
        </w:rPr>
      </w:pPr>
      <w:r w:rsidRPr="00D368AB">
        <w:rPr>
          <w:rStyle w:val="a3"/>
          <w:b/>
          <w:noProof/>
          <w:sz w:val="28"/>
          <w:szCs w:val="28"/>
          <w:lang w:val="uk-UA"/>
        </w:rPr>
        <w:t>Грудневі біржові торги</w:t>
      </w:r>
      <w:r w:rsidRPr="000B44CB">
        <w:rPr>
          <w:b/>
          <w:noProof/>
          <w:webHidden/>
          <w:sz w:val="28"/>
          <w:szCs w:val="28"/>
        </w:rPr>
        <w:tab/>
      </w:r>
      <w:r w:rsidR="006F30E3">
        <w:rPr>
          <w:b/>
          <w:noProof/>
          <w:webHidden/>
          <w:sz w:val="28"/>
          <w:szCs w:val="28"/>
        </w:rPr>
        <w:t>20</w:t>
      </w:r>
    </w:p>
    <w:p w:rsidR="000B44CB" w:rsidRDefault="000B44CB">
      <w:pPr>
        <w:pStyle w:val="10"/>
        <w:tabs>
          <w:tab w:val="right" w:leader="dot" w:pos="9344"/>
        </w:tabs>
        <w:rPr>
          <w:noProof/>
        </w:rPr>
      </w:pPr>
      <w:r w:rsidRPr="00D368AB">
        <w:rPr>
          <w:rStyle w:val="a3"/>
          <w:b/>
          <w:noProof/>
          <w:sz w:val="28"/>
          <w:szCs w:val="28"/>
          <w:lang w:val="uk-UA"/>
        </w:rPr>
        <w:t>Література</w:t>
      </w:r>
      <w:r w:rsidRPr="000B44CB">
        <w:rPr>
          <w:b/>
          <w:noProof/>
          <w:webHidden/>
          <w:sz w:val="28"/>
          <w:szCs w:val="28"/>
        </w:rPr>
        <w:tab/>
      </w:r>
      <w:r w:rsidR="006F30E3">
        <w:rPr>
          <w:b/>
          <w:noProof/>
          <w:webHidden/>
          <w:sz w:val="28"/>
          <w:szCs w:val="28"/>
        </w:rPr>
        <w:t>22</w:t>
      </w:r>
    </w:p>
    <w:p w:rsidR="009003EA" w:rsidRPr="009003EA" w:rsidRDefault="009003EA" w:rsidP="000A0C9B">
      <w:pPr>
        <w:pStyle w:val="1"/>
        <w:rPr>
          <w:b w:val="0"/>
          <w:sz w:val="28"/>
          <w:szCs w:val="28"/>
          <w:lang w:val="uk-UA"/>
        </w:rPr>
      </w:pPr>
    </w:p>
    <w:p w:rsidR="000A0C9B" w:rsidRPr="000A0C9B" w:rsidRDefault="009003EA" w:rsidP="000A0C9B">
      <w:pPr>
        <w:pStyle w:val="1"/>
        <w:rPr>
          <w:lang w:val="uk-UA"/>
        </w:rPr>
      </w:pPr>
      <w:r>
        <w:rPr>
          <w:lang w:val="uk-UA"/>
        </w:rPr>
        <w:br w:type="page"/>
      </w:r>
      <w:bookmarkStart w:id="0" w:name="_Toc10177598"/>
      <w:r w:rsidR="000A0C9B">
        <w:rPr>
          <w:lang w:val="uk-UA"/>
        </w:rPr>
        <w:t>1. Економічна характеристика Фондової біржі</w:t>
      </w:r>
      <w:bookmarkEnd w:id="0"/>
    </w:p>
    <w:p w:rsidR="0075312D" w:rsidRPr="000A0C9B" w:rsidRDefault="0075312D" w:rsidP="000A0C9B">
      <w:pPr>
        <w:shd w:val="clear" w:color="auto" w:fill="FFFFFF"/>
        <w:autoSpaceDE w:val="0"/>
        <w:autoSpaceDN w:val="0"/>
        <w:adjustRightInd w:val="0"/>
        <w:ind w:firstLine="708"/>
        <w:rPr>
          <w:lang w:val="en-US"/>
        </w:rPr>
      </w:pPr>
      <w:r>
        <w:rPr>
          <w:color w:val="000000"/>
          <w:lang w:val="uk-UA"/>
        </w:rPr>
        <w:t xml:space="preserve">Закон України «Про цінні папери і фондову біржу» визначає </w:t>
      </w:r>
      <w:r>
        <w:rPr>
          <w:b/>
          <w:bCs/>
          <w:color w:val="000000"/>
          <w:lang w:val="uk-UA"/>
        </w:rPr>
        <w:t xml:space="preserve">фондову біржу </w:t>
      </w:r>
      <w:r>
        <w:rPr>
          <w:color w:val="000000"/>
          <w:lang w:val="uk-UA"/>
        </w:rPr>
        <w:t>як організаційно оформлений, постійно діючий ринок, на якому здійснюється торгівля цінними паперами.</w:t>
      </w:r>
    </w:p>
    <w:p w:rsidR="0075312D" w:rsidRPr="000A0C9B" w:rsidRDefault="0075312D" w:rsidP="000A0C9B">
      <w:pPr>
        <w:shd w:val="clear" w:color="auto" w:fill="FFFFFF"/>
        <w:autoSpaceDE w:val="0"/>
        <w:autoSpaceDN w:val="0"/>
        <w:adjustRightInd w:val="0"/>
        <w:ind w:firstLine="708"/>
      </w:pPr>
      <w:r>
        <w:rPr>
          <w:color w:val="000000"/>
          <w:lang w:val="uk-UA"/>
        </w:rPr>
        <w:t>Відповідно до Закону фондова біржа є акці</w:t>
      </w:r>
      <w:r>
        <w:rPr>
          <w:color w:val="000000"/>
          <w:lang w:val="uk-UA"/>
        </w:rPr>
        <w:softHyphen/>
        <w:t>онерним товариством, що в ньому зосереджує</w:t>
      </w:r>
      <w:r>
        <w:rPr>
          <w:color w:val="000000"/>
          <w:lang w:val="uk-UA"/>
        </w:rPr>
        <w:softHyphen/>
        <w:t>ться попит і пропонування цінних паперів, яке забезпечує формування їхнього біржового курсу та здійснює свою діяльність відповідно до цього Закону, інших актів законодавства України, власного статуту і правил.</w:t>
      </w:r>
    </w:p>
    <w:p w:rsidR="0075312D" w:rsidRPr="0075312D" w:rsidRDefault="0075312D" w:rsidP="000A0C9B">
      <w:pPr>
        <w:shd w:val="clear" w:color="auto" w:fill="FFFFFF"/>
        <w:autoSpaceDE w:val="0"/>
        <w:autoSpaceDN w:val="0"/>
        <w:adjustRightInd w:val="0"/>
        <w:ind w:firstLine="708"/>
        <w:rPr>
          <w:lang w:val="uk-UA"/>
        </w:rPr>
      </w:pPr>
      <w:r>
        <w:rPr>
          <w:color w:val="000000"/>
          <w:lang w:val="uk-UA"/>
        </w:rPr>
        <w:t>Фондову біржу можуть створити не менше ніж 20 засновників — торговців цінними паперами, які мають дозвіл на здійснення комер</w:t>
      </w:r>
      <w:r>
        <w:rPr>
          <w:color w:val="000000"/>
          <w:lang w:val="uk-UA"/>
        </w:rPr>
        <w:softHyphen/>
        <w:t>ційної і комісійної діяльності з цінних паперів, за умови внесення ними до статутного фонду 10000 і більше неоподатковуваних міні</w:t>
      </w:r>
      <w:r>
        <w:rPr>
          <w:color w:val="000000"/>
          <w:lang w:val="uk-UA"/>
        </w:rPr>
        <w:softHyphen/>
        <w:t>мумів доходів громадян. Фондова біржа набуває прав юридичної особи з дня її реєстрації Державною комісією з цінних паперів та фондового ринку.</w:t>
      </w:r>
    </w:p>
    <w:p w:rsidR="0075312D" w:rsidRDefault="0075312D" w:rsidP="000A0C9B">
      <w:pPr>
        <w:ind w:firstLine="708"/>
        <w:rPr>
          <w:color w:val="000000"/>
          <w:lang w:val="uk-UA"/>
        </w:rPr>
      </w:pPr>
      <w:r>
        <w:rPr>
          <w:color w:val="000000"/>
          <w:lang w:val="uk-UA"/>
        </w:rPr>
        <w:t>Фондова біржа — організація, яка створюється не для отримання прибутку, а тільки для організації укладання угод з купівлі-продажу цінних паперів та їх похідних. Вона не може здійснювати операції з цінними паперами від власного імені та з доручення клієнтів, а та</w:t>
      </w:r>
      <w:r>
        <w:rPr>
          <w:color w:val="000000"/>
          <w:lang w:val="uk-UA"/>
        </w:rPr>
        <w:softHyphen/>
        <w:t>кож виконувати функції депозитарію (ст. 33 згаданого Закону, допо</w:t>
      </w:r>
      <w:r>
        <w:rPr>
          <w:color w:val="000000"/>
          <w:lang w:val="uk-UA"/>
        </w:rPr>
        <w:softHyphen/>
        <w:t>внена частиною 4 згідно із Законом № 523/97-ВР від 10.09.97 р.).</w:t>
      </w:r>
    </w:p>
    <w:p w:rsidR="000A0C9B" w:rsidRDefault="000A0C9B" w:rsidP="000A0C9B">
      <w:pPr>
        <w:shd w:val="clear" w:color="auto" w:fill="FFFFFF"/>
        <w:autoSpaceDE w:val="0"/>
        <w:autoSpaceDN w:val="0"/>
        <w:adjustRightInd w:val="0"/>
        <w:ind w:firstLine="708"/>
      </w:pPr>
      <w:r>
        <w:rPr>
          <w:color w:val="000000"/>
          <w:lang w:val="uk-UA"/>
        </w:rPr>
        <w:t>Статут та правила фондової біржі затверджуються її вищим ор</w:t>
      </w:r>
      <w:r>
        <w:rPr>
          <w:color w:val="000000"/>
          <w:lang w:val="uk-UA"/>
        </w:rPr>
        <w:softHyphen/>
        <w:t>ганом.</w:t>
      </w:r>
    </w:p>
    <w:p w:rsidR="000A0C9B" w:rsidRDefault="000A0C9B" w:rsidP="000A0C9B">
      <w:pPr>
        <w:shd w:val="clear" w:color="auto" w:fill="FFFFFF"/>
        <w:autoSpaceDE w:val="0"/>
        <w:autoSpaceDN w:val="0"/>
        <w:adjustRightInd w:val="0"/>
        <w:ind w:firstLine="708"/>
      </w:pPr>
      <w:r>
        <w:rPr>
          <w:color w:val="000000"/>
          <w:lang w:val="uk-UA"/>
        </w:rPr>
        <w:t>У статуті фондової біржі визначаються:</w:t>
      </w:r>
    </w:p>
    <w:p w:rsidR="000A0C9B" w:rsidRDefault="000A0C9B" w:rsidP="000A0C9B">
      <w:pPr>
        <w:shd w:val="clear" w:color="auto" w:fill="FFFFFF"/>
        <w:autoSpaceDE w:val="0"/>
        <w:autoSpaceDN w:val="0"/>
        <w:adjustRightInd w:val="0"/>
        <w:ind w:firstLine="708"/>
      </w:pPr>
      <w:r>
        <w:rPr>
          <w:color w:val="000000"/>
          <w:lang w:val="uk-UA"/>
        </w:rPr>
        <w:t>а) її найменування і місцезнаходження;</w:t>
      </w:r>
    </w:p>
    <w:p w:rsidR="000A0C9B" w:rsidRDefault="000A0C9B" w:rsidP="000A0C9B">
      <w:pPr>
        <w:shd w:val="clear" w:color="auto" w:fill="FFFFFF"/>
        <w:autoSpaceDE w:val="0"/>
        <w:autoSpaceDN w:val="0"/>
        <w:adjustRightInd w:val="0"/>
        <w:ind w:firstLine="708"/>
      </w:pPr>
      <w:r>
        <w:rPr>
          <w:color w:val="000000"/>
          <w:lang w:val="uk-UA"/>
        </w:rPr>
        <w:t>б) найменування і місцезнаходження її засновників;</w:t>
      </w:r>
    </w:p>
    <w:p w:rsidR="000A0C9B" w:rsidRDefault="000A0C9B" w:rsidP="000A0C9B">
      <w:pPr>
        <w:shd w:val="clear" w:color="auto" w:fill="FFFFFF"/>
        <w:autoSpaceDE w:val="0"/>
        <w:autoSpaceDN w:val="0"/>
        <w:adjustRightInd w:val="0"/>
        <w:ind w:firstLine="708"/>
      </w:pPr>
      <w:r>
        <w:rPr>
          <w:color w:val="000000"/>
          <w:lang w:val="uk-UA"/>
        </w:rPr>
        <w:t>в) розмір статутного фонду;</w:t>
      </w:r>
    </w:p>
    <w:p w:rsidR="000A0C9B" w:rsidRDefault="000A0C9B" w:rsidP="000A0C9B">
      <w:pPr>
        <w:shd w:val="clear" w:color="auto" w:fill="FFFFFF"/>
        <w:autoSpaceDE w:val="0"/>
        <w:autoSpaceDN w:val="0"/>
        <w:adjustRightInd w:val="0"/>
        <w:ind w:firstLine="708"/>
      </w:pPr>
      <w:r>
        <w:rPr>
          <w:color w:val="000000"/>
          <w:lang w:val="uk-UA"/>
        </w:rPr>
        <w:t>г) умови і порядок прийняття в члени і виключення з членів фон</w:t>
      </w:r>
      <w:r>
        <w:rPr>
          <w:color w:val="000000"/>
          <w:lang w:val="uk-UA"/>
        </w:rPr>
        <w:softHyphen/>
        <w:t>дової біржі;</w:t>
      </w:r>
    </w:p>
    <w:p w:rsidR="000A0C9B" w:rsidRDefault="000A0C9B" w:rsidP="000A0C9B">
      <w:pPr>
        <w:shd w:val="clear" w:color="auto" w:fill="FFFFFF"/>
        <w:autoSpaceDE w:val="0"/>
        <w:autoSpaceDN w:val="0"/>
        <w:adjustRightInd w:val="0"/>
        <w:ind w:firstLine="708"/>
      </w:pPr>
      <w:r>
        <w:rPr>
          <w:color w:val="000000"/>
          <w:lang w:val="uk-UA"/>
        </w:rPr>
        <w:t>д) права і обов'язки членів;</w:t>
      </w:r>
    </w:p>
    <w:p w:rsidR="000A0C9B" w:rsidRDefault="000A0C9B" w:rsidP="000A0C9B">
      <w:pPr>
        <w:shd w:val="clear" w:color="auto" w:fill="FFFFFF"/>
        <w:autoSpaceDE w:val="0"/>
        <w:autoSpaceDN w:val="0"/>
        <w:adjustRightInd w:val="0"/>
        <w:ind w:firstLine="708"/>
      </w:pPr>
      <w:r>
        <w:rPr>
          <w:color w:val="000000"/>
          <w:lang w:val="uk-UA"/>
        </w:rPr>
        <w:t>е) організаційна структура;</w:t>
      </w:r>
    </w:p>
    <w:p w:rsidR="000A0C9B" w:rsidRDefault="000A0C9B" w:rsidP="000A0C9B">
      <w:pPr>
        <w:shd w:val="clear" w:color="auto" w:fill="FFFFFF"/>
        <w:autoSpaceDE w:val="0"/>
        <w:autoSpaceDN w:val="0"/>
        <w:adjustRightInd w:val="0"/>
        <w:ind w:firstLine="708"/>
      </w:pPr>
      <w:r>
        <w:rPr>
          <w:color w:val="000000"/>
          <w:lang w:val="uk-UA"/>
        </w:rPr>
        <w:t>є) компетенція і порядок створення керівних органів;</w:t>
      </w:r>
    </w:p>
    <w:p w:rsidR="000A0C9B" w:rsidRDefault="000A0C9B" w:rsidP="000A0C9B">
      <w:pPr>
        <w:shd w:val="clear" w:color="auto" w:fill="FFFFFF"/>
        <w:autoSpaceDE w:val="0"/>
        <w:autoSpaceDN w:val="0"/>
        <w:adjustRightInd w:val="0"/>
        <w:ind w:firstLine="708"/>
      </w:pPr>
      <w:r>
        <w:rPr>
          <w:color w:val="000000"/>
          <w:lang w:val="uk-UA"/>
        </w:rPr>
        <w:t>ж) порядок і умови відвідування фондової біржі;</w:t>
      </w:r>
    </w:p>
    <w:p w:rsidR="000A0C9B" w:rsidRDefault="000A0C9B" w:rsidP="000A0C9B">
      <w:pPr>
        <w:shd w:val="clear" w:color="auto" w:fill="FFFFFF"/>
        <w:autoSpaceDE w:val="0"/>
        <w:autoSpaceDN w:val="0"/>
        <w:adjustRightInd w:val="0"/>
        <w:ind w:firstLine="708"/>
      </w:pPr>
      <w:r>
        <w:rPr>
          <w:color w:val="000000"/>
          <w:lang w:val="uk-UA"/>
        </w:rPr>
        <w:t>з) порядок і умови застосування санкцій, установлених фондо</w:t>
      </w:r>
      <w:r>
        <w:rPr>
          <w:color w:val="000000"/>
          <w:lang w:val="uk-UA"/>
        </w:rPr>
        <w:softHyphen/>
        <w:t>вою біржею;</w:t>
      </w:r>
    </w:p>
    <w:p w:rsidR="000A0C9B" w:rsidRDefault="000A0C9B" w:rsidP="000A0C9B">
      <w:pPr>
        <w:shd w:val="clear" w:color="auto" w:fill="FFFFFF"/>
        <w:autoSpaceDE w:val="0"/>
        <w:autoSpaceDN w:val="0"/>
        <w:adjustRightInd w:val="0"/>
        <w:ind w:firstLine="708"/>
      </w:pPr>
      <w:r>
        <w:rPr>
          <w:color w:val="000000"/>
          <w:lang w:val="uk-UA"/>
        </w:rPr>
        <w:t>й) порядок припинення діяльності фондової біржі.</w:t>
      </w:r>
    </w:p>
    <w:p w:rsidR="000A0C9B" w:rsidRDefault="000A0C9B" w:rsidP="000A0C9B">
      <w:pPr>
        <w:shd w:val="clear" w:color="auto" w:fill="FFFFFF"/>
        <w:autoSpaceDE w:val="0"/>
        <w:autoSpaceDN w:val="0"/>
        <w:adjustRightInd w:val="0"/>
        <w:ind w:firstLine="708"/>
      </w:pPr>
      <w:r>
        <w:rPr>
          <w:color w:val="000000"/>
          <w:lang w:val="uk-UA"/>
        </w:rPr>
        <w:t>Статутом можуть бути передбачені також інші положення, що стосуються створення і діяльності фондової біржі.</w:t>
      </w:r>
    </w:p>
    <w:p w:rsidR="000A0C9B" w:rsidRDefault="000A0C9B" w:rsidP="000A0C9B">
      <w:pPr>
        <w:shd w:val="clear" w:color="auto" w:fill="FFFFFF"/>
        <w:autoSpaceDE w:val="0"/>
        <w:autoSpaceDN w:val="0"/>
        <w:adjustRightInd w:val="0"/>
        <w:ind w:firstLine="708"/>
      </w:pPr>
      <w:r>
        <w:rPr>
          <w:color w:val="000000"/>
          <w:lang w:val="uk-UA"/>
        </w:rPr>
        <w:t>Правила фондової біржі регламентують:</w:t>
      </w:r>
    </w:p>
    <w:p w:rsidR="000A0C9B" w:rsidRDefault="000A0C9B" w:rsidP="000A0C9B">
      <w:pPr>
        <w:shd w:val="clear" w:color="auto" w:fill="FFFFFF"/>
        <w:autoSpaceDE w:val="0"/>
        <w:autoSpaceDN w:val="0"/>
        <w:adjustRightInd w:val="0"/>
        <w:ind w:firstLine="708"/>
      </w:pPr>
      <w:r>
        <w:rPr>
          <w:color w:val="000000"/>
          <w:lang w:val="uk-UA"/>
        </w:rPr>
        <w:t>а) види угод, що укладаються;</w:t>
      </w:r>
    </w:p>
    <w:p w:rsidR="000A0C9B" w:rsidRDefault="000A0C9B" w:rsidP="000A0C9B">
      <w:pPr>
        <w:shd w:val="clear" w:color="auto" w:fill="FFFFFF"/>
        <w:autoSpaceDE w:val="0"/>
        <w:autoSpaceDN w:val="0"/>
        <w:adjustRightInd w:val="0"/>
        <w:ind w:firstLine="708"/>
      </w:pPr>
      <w:r>
        <w:rPr>
          <w:color w:val="000000"/>
          <w:lang w:val="uk-UA"/>
        </w:rPr>
        <w:t>б) порядок торгівлі;</w:t>
      </w:r>
    </w:p>
    <w:p w:rsidR="000A0C9B" w:rsidRDefault="000A0C9B" w:rsidP="000A0C9B">
      <w:pPr>
        <w:shd w:val="clear" w:color="auto" w:fill="FFFFFF"/>
        <w:autoSpaceDE w:val="0"/>
        <w:autoSpaceDN w:val="0"/>
        <w:adjustRightInd w:val="0"/>
        <w:ind w:firstLine="708"/>
      </w:pPr>
      <w:r>
        <w:rPr>
          <w:color w:val="000000"/>
          <w:lang w:val="uk-UA"/>
        </w:rPr>
        <w:t>в) умови допуску цінних паперів;</w:t>
      </w:r>
    </w:p>
    <w:p w:rsidR="000A0C9B" w:rsidRDefault="000A0C9B" w:rsidP="000A0C9B">
      <w:pPr>
        <w:shd w:val="clear" w:color="auto" w:fill="FFFFFF"/>
        <w:autoSpaceDE w:val="0"/>
        <w:autoSpaceDN w:val="0"/>
        <w:adjustRightInd w:val="0"/>
        <w:ind w:firstLine="708"/>
      </w:pPr>
      <w:r>
        <w:rPr>
          <w:color w:val="000000"/>
          <w:lang w:val="uk-UA"/>
        </w:rPr>
        <w:t>г) умови і порядок передплати на цінні папери, що котируються на фондовій біржі;</w:t>
      </w:r>
    </w:p>
    <w:p w:rsidR="000A0C9B" w:rsidRDefault="000A0C9B" w:rsidP="000A0C9B">
      <w:pPr>
        <w:shd w:val="clear" w:color="auto" w:fill="FFFFFF"/>
        <w:autoSpaceDE w:val="0"/>
        <w:autoSpaceDN w:val="0"/>
        <w:adjustRightInd w:val="0"/>
        <w:ind w:firstLine="708"/>
      </w:pPr>
      <w:r>
        <w:rPr>
          <w:color w:val="000000"/>
          <w:lang w:val="uk-UA"/>
        </w:rPr>
        <w:t>д) порядок формування цін, біржового курсу та їх публікації:</w:t>
      </w:r>
    </w:p>
    <w:p w:rsidR="000A0C9B" w:rsidRDefault="000A0C9B" w:rsidP="000A0C9B">
      <w:pPr>
        <w:shd w:val="clear" w:color="auto" w:fill="FFFFFF"/>
        <w:autoSpaceDE w:val="0"/>
        <w:autoSpaceDN w:val="0"/>
        <w:adjustRightInd w:val="0"/>
        <w:ind w:firstLine="708"/>
      </w:pPr>
      <w:r>
        <w:rPr>
          <w:color w:val="000000"/>
          <w:lang w:val="uk-UA"/>
        </w:rPr>
        <w:t>е) перелік цінних паперів, що котируються на фондовій біржі;</w:t>
      </w:r>
    </w:p>
    <w:p w:rsidR="000A0C9B" w:rsidRPr="000A0C9B" w:rsidRDefault="000A0C9B" w:rsidP="000A0C9B">
      <w:pPr>
        <w:shd w:val="clear" w:color="auto" w:fill="FFFFFF"/>
        <w:autoSpaceDE w:val="0"/>
        <w:autoSpaceDN w:val="0"/>
        <w:adjustRightInd w:val="0"/>
        <w:ind w:firstLine="708"/>
        <w:rPr>
          <w:lang w:val="uk-UA"/>
        </w:rPr>
      </w:pPr>
      <w:r>
        <w:rPr>
          <w:color w:val="000000"/>
          <w:lang w:val="uk-UA"/>
        </w:rPr>
        <w:t>є) обов'язки членів фондової біржі щодо ведення обліку та ін</w:t>
      </w:r>
      <w:r>
        <w:rPr>
          <w:color w:val="000000"/>
          <w:lang w:val="uk-UA"/>
        </w:rPr>
        <w:softHyphen/>
        <w:t>формації, внутрішній розпорядок роботи комісій фондової біржі, порядок їхньої діяльності;</w:t>
      </w:r>
    </w:p>
    <w:p w:rsidR="000A0C9B" w:rsidRDefault="000A0C9B" w:rsidP="000A0C9B">
      <w:pPr>
        <w:shd w:val="clear" w:color="auto" w:fill="FFFFFF"/>
        <w:autoSpaceDE w:val="0"/>
        <w:autoSpaceDN w:val="0"/>
        <w:adjustRightInd w:val="0"/>
        <w:ind w:firstLine="708"/>
      </w:pPr>
      <w:r>
        <w:rPr>
          <w:color w:val="000000"/>
          <w:lang w:val="uk-UA"/>
        </w:rPr>
        <w:t>ж) систему інформаційного забезпечення;</w:t>
      </w:r>
    </w:p>
    <w:p w:rsidR="000A0C9B" w:rsidRDefault="000A0C9B" w:rsidP="000A0C9B">
      <w:pPr>
        <w:shd w:val="clear" w:color="auto" w:fill="FFFFFF"/>
        <w:autoSpaceDE w:val="0"/>
        <w:autoSpaceDN w:val="0"/>
        <w:adjustRightInd w:val="0"/>
        <w:ind w:firstLine="708"/>
      </w:pPr>
      <w:r>
        <w:rPr>
          <w:color w:val="000000"/>
          <w:lang w:val="uk-UA"/>
        </w:rPr>
        <w:t>з) види послуг, що надаються фондовою біржею, і розмір плати за них;</w:t>
      </w:r>
    </w:p>
    <w:p w:rsidR="000A0C9B" w:rsidRDefault="000A0C9B" w:rsidP="000A0C9B">
      <w:pPr>
        <w:shd w:val="clear" w:color="auto" w:fill="FFFFFF"/>
        <w:autoSpaceDE w:val="0"/>
        <w:autoSpaceDN w:val="0"/>
        <w:adjustRightInd w:val="0"/>
        <w:ind w:firstLine="708"/>
      </w:pPr>
      <w:r>
        <w:rPr>
          <w:color w:val="000000"/>
          <w:lang w:val="uk-UA"/>
        </w:rPr>
        <w:t>й) правила ведення розрахунків;</w:t>
      </w:r>
    </w:p>
    <w:p w:rsidR="000A0C9B" w:rsidRDefault="000A0C9B" w:rsidP="000A0C9B">
      <w:pPr>
        <w:shd w:val="clear" w:color="auto" w:fill="FFFFFF"/>
        <w:autoSpaceDE w:val="0"/>
        <w:autoSpaceDN w:val="0"/>
        <w:adjustRightInd w:val="0"/>
        <w:ind w:firstLine="708"/>
      </w:pPr>
      <w:r>
        <w:rPr>
          <w:color w:val="000000"/>
          <w:lang w:val="uk-UA"/>
        </w:rPr>
        <w:t>і) інші положення, що стосуються діяльності фондової біржі.</w:t>
      </w:r>
    </w:p>
    <w:p w:rsidR="000A0C9B" w:rsidRDefault="000A0C9B" w:rsidP="000A0C9B">
      <w:pPr>
        <w:shd w:val="clear" w:color="auto" w:fill="FFFFFF"/>
        <w:autoSpaceDE w:val="0"/>
        <w:autoSpaceDN w:val="0"/>
        <w:adjustRightInd w:val="0"/>
        <w:ind w:firstLine="708"/>
      </w:pPr>
      <w:r>
        <w:rPr>
          <w:color w:val="000000"/>
          <w:lang w:val="uk-UA"/>
        </w:rPr>
        <w:t>Згідно зі ст. 35, користуватися найменуванням «фондова біржа», позначенням «фондова біржа» або будь-яким іншим, що в ньому мі</w:t>
      </w:r>
      <w:r>
        <w:rPr>
          <w:color w:val="000000"/>
          <w:lang w:val="uk-UA"/>
        </w:rPr>
        <w:softHyphen/>
        <w:t>ститься вислів «фондова біржа», може тільки організація, створена в порядку, визначеному у ст. 34 цього Закону.</w:t>
      </w:r>
    </w:p>
    <w:p w:rsidR="000A0C9B" w:rsidRPr="000A0C9B" w:rsidRDefault="000A0C9B" w:rsidP="000A0C9B">
      <w:pPr>
        <w:shd w:val="clear" w:color="auto" w:fill="FFFFFF"/>
        <w:autoSpaceDE w:val="0"/>
        <w:autoSpaceDN w:val="0"/>
        <w:adjustRightInd w:val="0"/>
        <w:ind w:firstLine="708"/>
        <w:rPr>
          <w:lang w:val="uk-UA"/>
        </w:rPr>
      </w:pPr>
      <w:r>
        <w:rPr>
          <w:color w:val="000000"/>
          <w:lang w:val="uk-UA"/>
        </w:rPr>
        <w:t>Діяльність фондової біржі припиняється у тому разі, коли кіль</w:t>
      </w:r>
      <w:r>
        <w:rPr>
          <w:color w:val="000000"/>
          <w:lang w:val="uk-UA"/>
        </w:rPr>
        <w:softHyphen/>
        <w:t>кість її членів стала менше 10. Якщо у фондовій біржі зали</w:t>
      </w:r>
      <w:r>
        <w:rPr>
          <w:color w:val="000000"/>
          <w:lang w:val="uk-UA"/>
        </w:rPr>
        <w:softHyphen/>
        <w:t>шилося 10 членів, її діяльність припиняється у разі неприйняття но</w:t>
      </w:r>
      <w:r>
        <w:rPr>
          <w:color w:val="000000"/>
          <w:lang w:val="uk-UA"/>
        </w:rPr>
        <w:softHyphen/>
        <w:t>вих членів протягом шести місяців.</w:t>
      </w:r>
    </w:p>
    <w:p w:rsidR="000A0C9B" w:rsidRDefault="000A0C9B" w:rsidP="000A0C9B">
      <w:pPr>
        <w:shd w:val="clear" w:color="auto" w:fill="FFFFFF"/>
        <w:autoSpaceDE w:val="0"/>
        <w:autoSpaceDN w:val="0"/>
        <w:adjustRightInd w:val="0"/>
        <w:ind w:firstLine="708"/>
      </w:pPr>
      <w:r>
        <w:rPr>
          <w:color w:val="000000"/>
          <w:lang w:val="uk-UA"/>
        </w:rPr>
        <w:t>Діяльність фондової біржі може також бути припиненою відпо</w:t>
      </w:r>
      <w:r>
        <w:rPr>
          <w:color w:val="000000"/>
          <w:lang w:val="uk-UA"/>
        </w:rPr>
        <w:softHyphen/>
        <w:t>відно до законодавства України про акціонерні товариства та інші види господарських товариств.</w:t>
      </w:r>
    </w:p>
    <w:p w:rsidR="000A0C9B" w:rsidRDefault="000A0C9B" w:rsidP="000A0C9B">
      <w:pPr>
        <w:shd w:val="clear" w:color="auto" w:fill="FFFFFF"/>
        <w:autoSpaceDE w:val="0"/>
        <w:autoSpaceDN w:val="0"/>
        <w:adjustRightInd w:val="0"/>
        <w:ind w:firstLine="708"/>
      </w:pPr>
      <w:r>
        <w:rPr>
          <w:color w:val="000000"/>
          <w:lang w:val="uk-UA"/>
        </w:rPr>
        <w:t>Роль держави у формуванні статутного фонду фондової біржі є різною. Наприклад, у кількох країнах Європи (Франція, Італія, Швей</w:t>
      </w:r>
      <w:r>
        <w:rPr>
          <w:color w:val="000000"/>
          <w:lang w:val="uk-UA"/>
        </w:rPr>
        <w:softHyphen/>
        <w:t>царія) всі фондові біржі є державними установами. У Німеччині фондові біржі також перебувають під постійним контролем з боку держави. Юридичний статус такого роду бірж можна назвати публі</w:t>
      </w:r>
      <w:r>
        <w:rPr>
          <w:color w:val="000000"/>
          <w:lang w:val="uk-UA"/>
        </w:rPr>
        <w:softHyphen/>
        <w:t>чно-правовим: держава не тільки бере участь в опрацюванні правил біржової торгівлі, а й призначає маклерів, забезпечує порядок тор</w:t>
      </w:r>
      <w:r>
        <w:rPr>
          <w:color w:val="000000"/>
          <w:lang w:val="uk-UA"/>
        </w:rPr>
        <w:softHyphen/>
        <w:t>гів, стежить за законністю фондових операцій.</w:t>
      </w:r>
    </w:p>
    <w:p w:rsidR="000A0C9B" w:rsidRDefault="000A0C9B" w:rsidP="000A0C9B">
      <w:pPr>
        <w:shd w:val="clear" w:color="auto" w:fill="FFFFFF"/>
        <w:autoSpaceDE w:val="0"/>
        <w:autoSpaceDN w:val="0"/>
        <w:adjustRightInd w:val="0"/>
        <w:ind w:firstLine="708"/>
      </w:pPr>
      <w:r>
        <w:rPr>
          <w:color w:val="000000"/>
          <w:lang w:val="uk-UA"/>
        </w:rPr>
        <w:t>Інший режим фондової торгівлі цінними паперами існує в США та Англії, де фондові біржі діють самостійно — як звичайні приватні компанії (акціонерні товариства). За такого режиму держава не бере на себе гарантій ні щодо стабільності біржової торгівлі, ні щодо зменшення ризику фондових операцій.</w:t>
      </w:r>
    </w:p>
    <w:p w:rsidR="000A0C9B" w:rsidRDefault="000A0C9B" w:rsidP="000A0C9B">
      <w:pPr>
        <w:shd w:val="clear" w:color="auto" w:fill="FFFFFF"/>
        <w:autoSpaceDE w:val="0"/>
        <w:autoSpaceDN w:val="0"/>
        <w:adjustRightInd w:val="0"/>
        <w:ind w:firstLine="708"/>
      </w:pPr>
      <w:r>
        <w:rPr>
          <w:color w:val="000000"/>
          <w:lang w:val="uk-UA"/>
        </w:rPr>
        <w:t>В Україні відбувається тільки становлення біржової торгівлі, ви</w:t>
      </w:r>
      <w:r>
        <w:rPr>
          <w:color w:val="000000"/>
          <w:lang w:val="uk-UA"/>
        </w:rPr>
        <w:softHyphen/>
        <w:t>значення найефективніших форм діяльності фондової установи. У майбутньому провідну роль у біржовій системі України відігравати</w:t>
      </w:r>
      <w:r>
        <w:rPr>
          <w:color w:val="000000"/>
          <w:lang w:val="uk-UA"/>
        </w:rPr>
        <w:softHyphen/>
        <w:t>ме Національна біржа зі значною часткою державної власності, тобто існуватиме моноцентрична біржова система. Державні органи візь</w:t>
      </w:r>
      <w:r>
        <w:rPr>
          <w:color w:val="000000"/>
          <w:lang w:val="uk-UA"/>
        </w:rPr>
        <w:softHyphen/>
        <w:t>муть на себе обов'язок призначення керівних посадових осіб, а також контроль за дотриманням ними належних правил і нормативів. Проте нині роль держави в діяльності бірж є досить незначною, а учасники біржових операцій працюють здебільшого на власний страх і ризик.</w:t>
      </w:r>
    </w:p>
    <w:p w:rsidR="000A0C9B" w:rsidRPr="000A0C9B" w:rsidRDefault="000A0C9B" w:rsidP="000A0C9B">
      <w:pPr>
        <w:shd w:val="clear" w:color="auto" w:fill="FFFFFF"/>
        <w:autoSpaceDE w:val="0"/>
        <w:autoSpaceDN w:val="0"/>
        <w:adjustRightInd w:val="0"/>
        <w:ind w:firstLine="708"/>
        <w:rPr>
          <w:lang w:val="uk-UA"/>
        </w:rPr>
      </w:pPr>
      <w:r>
        <w:rPr>
          <w:color w:val="000000"/>
          <w:lang w:val="uk-UA"/>
        </w:rPr>
        <w:t>Членами фондової біржі можуть бути тільки ліцензовані торговці цінними паперами, котрі відповідають вимогам фондової біржі, до</w:t>
      </w:r>
      <w:r>
        <w:rPr>
          <w:color w:val="000000"/>
          <w:lang w:val="uk-UA"/>
        </w:rPr>
        <w:softHyphen/>
        <w:t>тримуються її статутних правил.</w:t>
      </w:r>
    </w:p>
    <w:p w:rsidR="000A0C9B" w:rsidRPr="000A0C9B" w:rsidRDefault="000A0C9B" w:rsidP="000A0C9B">
      <w:pPr>
        <w:shd w:val="clear" w:color="auto" w:fill="FFFFFF"/>
        <w:autoSpaceDE w:val="0"/>
        <w:autoSpaceDN w:val="0"/>
        <w:adjustRightInd w:val="0"/>
        <w:ind w:firstLine="708"/>
        <w:rPr>
          <w:lang w:val="uk-UA"/>
        </w:rPr>
      </w:pPr>
      <w:r>
        <w:rPr>
          <w:color w:val="000000"/>
          <w:lang w:val="uk-UA"/>
        </w:rPr>
        <w:t>Статус фондових бірж характеризується передовсім різними об</w:t>
      </w:r>
      <w:r>
        <w:rPr>
          <w:color w:val="000000"/>
          <w:lang w:val="uk-UA"/>
        </w:rPr>
        <w:softHyphen/>
        <w:t>меженнями. Наприклад, у Росії фондовою біржею визнається тільки такий організатор торгівлі цінними паперами, котрий не поєднує цю роботу з іншими видами діяльності, за винятком депозитарної фун</w:t>
      </w:r>
      <w:r>
        <w:rPr>
          <w:color w:val="000000"/>
          <w:lang w:val="uk-UA"/>
        </w:rPr>
        <w:softHyphen/>
        <w:t>кції або визначення взаємних зобов'язань. Крім того, фондова біржа організує безпосередню торгівлю тільки між членами біржі. Інші учасники ринку цінних паперів можуть здійснювати на біржі опера</w:t>
      </w:r>
      <w:r>
        <w:rPr>
          <w:color w:val="000000"/>
          <w:lang w:val="uk-UA"/>
        </w:rPr>
        <w:softHyphen/>
        <w:t>ції лише через брокерів і дилерів. Щодо службовців фондової біржі, то вони взагалі не мають права бути її засновниками або учасниками біржових торгів. Ці та інші обмеження мають на меті посилити ос</w:t>
      </w:r>
      <w:r>
        <w:rPr>
          <w:color w:val="000000"/>
          <w:lang w:val="uk-UA"/>
        </w:rPr>
        <w:softHyphen/>
        <w:t>новні функції фондової біржі.</w:t>
      </w:r>
    </w:p>
    <w:p w:rsidR="000A0C9B" w:rsidRDefault="000A0C9B" w:rsidP="000A0C9B">
      <w:pPr>
        <w:ind w:firstLine="708"/>
        <w:rPr>
          <w:color w:val="000000"/>
          <w:lang w:val="uk-UA"/>
        </w:rPr>
      </w:pPr>
      <w:r>
        <w:rPr>
          <w:color w:val="000000"/>
          <w:lang w:val="uk-UA"/>
        </w:rPr>
        <w:t>У будь-якої біржі є дві основні функції у вигляді двох взає</w:t>
      </w:r>
      <w:r>
        <w:rPr>
          <w:color w:val="000000"/>
          <w:lang w:val="uk-UA"/>
        </w:rPr>
        <w:softHyphen/>
        <w:t>мозв'язаних і збалансованих сторін її діяльності. По-перше, фондова біржа мобілізує й концентрує вільні кошти через продаж цінних па</w:t>
      </w:r>
      <w:r>
        <w:rPr>
          <w:color w:val="000000"/>
          <w:lang w:val="uk-UA"/>
        </w:rPr>
        <w:softHyphen/>
        <w:t>перів (точніше, організовує їхній продаж), а по-друге, здійснює кре</w:t>
      </w:r>
      <w:r>
        <w:rPr>
          <w:color w:val="000000"/>
          <w:lang w:val="uk-UA"/>
        </w:rPr>
        <w:softHyphen/>
        <w:t>дитування держави й різних організацій через купівлю цінних папе</w:t>
      </w:r>
      <w:r>
        <w:rPr>
          <w:color w:val="000000"/>
          <w:lang w:val="uk-UA"/>
        </w:rPr>
        <w:softHyphen/>
        <w:t>рів. Зрозуміло, що такою самою є роль будь-якого посередника фон</w:t>
      </w:r>
      <w:r>
        <w:rPr>
          <w:color w:val="000000"/>
          <w:lang w:val="uk-UA"/>
        </w:rPr>
        <w:softHyphen/>
        <w:t>дового ринку, у тім числі в його позабіржовому секторі, але тільки фондова біржа спроможна забезпечити високий рівень ліквідності вкладень в цінні папери і задовільну їхню надійність.</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Відповідальна роль фондової біржі породжує й великі до неї ви</w:t>
      </w:r>
      <w:r>
        <w:rPr>
          <w:color w:val="000000"/>
          <w:lang w:val="uk-UA"/>
        </w:rPr>
        <w:softHyphen/>
        <w:t>моги. Згідно з чинним законодавством України юридичні особи, створені як організаційно оформлені централізовані ринки з фіксо</w:t>
      </w:r>
      <w:r>
        <w:rPr>
          <w:color w:val="000000"/>
          <w:lang w:val="uk-UA"/>
        </w:rPr>
        <w:softHyphen/>
        <w:t>ваним торговельним майданчиком і електронною торговельно-інфор-маційною мережею, на яких постійно відбувається торгівля цінними паперами, мають право іменуватися фондовою біржею тільки за вико</w:t>
      </w:r>
      <w:r>
        <w:rPr>
          <w:color w:val="000000"/>
          <w:lang w:val="uk-UA"/>
        </w:rPr>
        <w:softHyphen/>
        <w:t>нання ними цілої низки вимог. Передовсім біржові угоди (операці'р укладаються лише між засновниками і членами біржі, а послуги клі</w:t>
      </w:r>
      <w:r>
        <w:rPr>
          <w:color w:val="000000"/>
          <w:lang w:val="uk-UA"/>
        </w:rPr>
        <w:softHyphen/>
        <w:t>єнтам надаються через посередництво членів біржі. Угоди мають централізовано реєструватися на підставі офіційного біржового кур</w:t>
      </w:r>
      <w:r>
        <w:rPr>
          <w:color w:val="000000"/>
          <w:lang w:val="uk-UA"/>
        </w:rPr>
        <w:softHyphen/>
        <w:t>су. Біржа зобов'язана забезпечити ефективне функціонування сис</w:t>
      </w:r>
      <w:r>
        <w:rPr>
          <w:color w:val="000000"/>
          <w:lang w:val="uk-UA"/>
        </w:rPr>
        <w:softHyphen/>
        <w:t>теми інформації про цінні папери та умови їх обігу на терені Украї</w:t>
      </w:r>
      <w:r>
        <w:rPr>
          <w:color w:val="000000"/>
          <w:lang w:val="uk-UA"/>
        </w:rPr>
        <w:softHyphen/>
        <w:t>ни. Має існувати система нагляду за діяльністю членів біржі та осіб, уповноважених здійснювати торговельні операції, за дотриманням професіональної етики, статуту і правил фондової біржі.</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Однією з найвідповідальніших біржових процедур є лістинг (до</w:t>
      </w:r>
      <w:r>
        <w:rPr>
          <w:color w:val="000000"/>
          <w:lang w:val="uk-UA"/>
        </w:rPr>
        <w:softHyphen/>
        <w:t>слівно «включення до списку»), тобто процедура одбору клієнтів і цінних паперів для наступного допуску до біржових торгів. Ця про</w:t>
      </w:r>
      <w:r>
        <w:rPr>
          <w:color w:val="000000"/>
          <w:lang w:val="uk-UA"/>
        </w:rPr>
        <w:softHyphen/>
        <w:t>цедура є досить трудомісткою, забирає багато часу, а тому фондові біржі в деяких країнах обходяться без неї. Така «демократизація» біржової діяльності є дуже зручною для емітентів, але надто небез</w:t>
      </w:r>
      <w:r>
        <w:rPr>
          <w:color w:val="000000"/>
          <w:lang w:val="uk-UA"/>
        </w:rPr>
        <w:softHyphen/>
        <w:t>печною для інвесторів, котрі змушені купувати кота в мішку. Отже, найпростіше — це не завжди найліпше, і переважна більшість фон</w:t>
      </w:r>
      <w:r>
        <w:rPr>
          <w:color w:val="000000"/>
          <w:lang w:val="uk-UA"/>
        </w:rPr>
        <w:softHyphen/>
        <w:t>дових бірж вибирає лістинг.</w:t>
      </w:r>
    </w:p>
    <w:p w:rsidR="000A0C9B" w:rsidRDefault="000A0C9B" w:rsidP="00BA4EA8">
      <w:pPr>
        <w:shd w:val="clear" w:color="auto" w:fill="FFFFFF"/>
        <w:autoSpaceDE w:val="0"/>
        <w:autoSpaceDN w:val="0"/>
        <w:adjustRightInd w:val="0"/>
        <w:ind w:firstLine="708"/>
      </w:pPr>
      <w:r>
        <w:rPr>
          <w:color w:val="000000"/>
          <w:lang w:val="uk-UA"/>
        </w:rPr>
        <w:t>Для того щоб лістинг справді був ефективним, опрацьовуються жорсткі (не посоромимося сказати, бюрократичні) правила внесення компаній до біржового списку. До відділу лістингу біржі необхідно по</w:t>
      </w:r>
      <w:r>
        <w:rPr>
          <w:color w:val="000000"/>
          <w:lang w:val="uk-UA"/>
        </w:rPr>
        <w:softHyphen/>
        <w:t>дати значну кількість документів, що підтверджують легітимність і фі</w:t>
      </w:r>
      <w:r>
        <w:rPr>
          <w:color w:val="000000"/>
          <w:lang w:val="uk-UA"/>
        </w:rPr>
        <w:softHyphen/>
        <w:t>нансовий стан компанії. Наскільки жорсткі вимоги лістингу, можна су</w:t>
      </w:r>
      <w:r>
        <w:rPr>
          <w:color w:val="000000"/>
          <w:lang w:val="uk-UA"/>
        </w:rPr>
        <w:softHyphen/>
        <w:t>дити з процедури, яку прийнято на Нью-Йоркській фондовій біржі. Фірма, що проходить цю процедуру, має документально підтвердити:</w:t>
      </w:r>
    </w:p>
    <w:p w:rsidR="000A0C9B" w:rsidRDefault="000A0C9B" w:rsidP="00BA4EA8">
      <w:pPr>
        <w:shd w:val="clear" w:color="auto" w:fill="FFFFFF"/>
        <w:autoSpaceDE w:val="0"/>
        <w:autoSpaceDN w:val="0"/>
        <w:adjustRightInd w:val="0"/>
        <w:ind w:firstLine="708"/>
      </w:pPr>
      <w:r>
        <w:rPr>
          <w:color w:val="000000"/>
          <w:lang w:val="uk-UA"/>
        </w:rPr>
        <w:t>а) що розмір її активів не менший за встановлений мінімум;</w:t>
      </w:r>
    </w:p>
    <w:p w:rsidR="000A0C9B" w:rsidRDefault="000A0C9B" w:rsidP="00BA4EA8">
      <w:pPr>
        <w:shd w:val="clear" w:color="auto" w:fill="FFFFFF"/>
        <w:autoSpaceDE w:val="0"/>
        <w:autoSpaceDN w:val="0"/>
        <w:adjustRightInd w:val="0"/>
        <w:ind w:firstLine="708"/>
      </w:pPr>
      <w:r>
        <w:rPr>
          <w:color w:val="000000"/>
          <w:lang w:val="uk-UA"/>
        </w:rPr>
        <w:t>б) прибуток за останній балансовий рік також не нижчий за ви</w:t>
      </w:r>
      <w:r>
        <w:rPr>
          <w:color w:val="000000"/>
          <w:lang w:val="uk-UA"/>
        </w:rPr>
        <w:softHyphen/>
        <w:t>значений розмір, а кожний з трьох останніх років був для компанії прибутковим;</w:t>
      </w:r>
    </w:p>
    <w:p w:rsidR="000A0C9B" w:rsidRDefault="000A0C9B" w:rsidP="00BA4EA8">
      <w:pPr>
        <w:shd w:val="clear" w:color="auto" w:fill="FFFFFF"/>
        <w:autoSpaceDE w:val="0"/>
        <w:autoSpaceDN w:val="0"/>
        <w:adjustRightInd w:val="0"/>
        <w:ind w:firstLine="708"/>
      </w:pPr>
      <w:r>
        <w:rPr>
          <w:color w:val="000000"/>
          <w:lang w:val="uk-UA"/>
        </w:rPr>
        <w:t>в) кількість випущених в обіг акцій (в штуках) не менша за ви</w:t>
      </w:r>
      <w:r>
        <w:rPr>
          <w:color w:val="000000"/>
          <w:lang w:val="uk-UA"/>
        </w:rPr>
        <w:softHyphen/>
        <w:t>значену кількість;</w:t>
      </w:r>
    </w:p>
    <w:p w:rsidR="000A0C9B" w:rsidRDefault="000A0C9B" w:rsidP="00BA4EA8">
      <w:pPr>
        <w:shd w:val="clear" w:color="auto" w:fill="FFFFFF"/>
        <w:autoSpaceDE w:val="0"/>
        <w:autoSpaceDN w:val="0"/>
        <w:adjustRightInd w:val="0"/>
        <w:ind w:firstLine="708"/>
      </w:pPr>
      <w:r>
        <w:rPr>
          <w:color w:val="000000"/>
          <w:lang w:val="uk-UA"/>
        </w:rPr>
        <w:t>г) кількість акціонерів, які володіють не менше ніж 100 акціями, теж відповідає встановленим нормативам;</w:t>
      </w:r>
    </w:p>
    <w:p w:rsidR="000A0C9B" w:rsidRDefault="000A0C9B" w:rsidP="00BA4EA8">
      <w:pPr>
        <w:shd w:val="clear" w:color="auto" w:fill="FFFFFF"/>
        <w:autoSpaceDE w:val="0"/>
        <w:autoSpaceDN w:val="0"/>
        <w:adjustRightInd w:val="0"/>
        <w:ind w:firstLine="708"/>
      </w:pPr>
      <w:r>
        <w:rPr>
          <w:color w:val="000000"/>
          <w:lang w:val="uk-UA"/>
        </w:rPr>
        <w:t>д) компанії справді належить помітне місце у своїй галузі (підгалузі);</w:t>
      </w:r>
    </w:p>
    <w:p w:rsidR="000A0C9B" w:rsidRDefault="000A0C9B" w:rsidP="00BA4EA8">
      <w:pPr>
        <w:shd w:val="clear" w:color="auto" w:fill="FFFFFF"/>
        <w:autoSpaceDE w:val="0"/>
        <w:autoSpaceDN w:val="0"/>
        <w:adjustRightInd w:val="0"/>
        <w:ind w:firstLine="708"/>
      </w:pPr>
      <w:r>
        <w:rPr>
          <w:color w:val="000000"/>
          <w:lang w:val="uk-UA"/>
        </w:rPr>
        <w:t>е) компанія є достатньо відомою в масштабі країни, у неї добра репутація, авторитет на ринку і т.д.</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У Німеччині підприємство-емітент лише через три роки матиме право клопотатися про допущення своїх цінних паперів до офіцій</w:t>
      </w:r>
      <w:r>
        <w:rPr>
          <w:color w:val="000000"/>
          <w:lang w:val="uk-UA"/>
        </w:rPr>
        <w:softHyphen/>
        <w:t>ного котирування на фондовій біржі. (Цікаво, що емітенту достатньо</w:t>
      </w:r>
    </w:p>
    <w:p w:rsidR="000A0C9B" w:rsidRPr="000A0C9B" w:rsidRDefault="000A0C9B" w:rsidP="000A0C9B">
      <w:pPr>
        <w:shd w:val="clear" w:color="auto" w:fill="FFFFFF"/>
        <w:autoSpaceDE w:val="0"/>
        <w:autoSpaceDN w:val="0"/>
        <w:adjustRightInd w:val="0"/>
        <w:rPr>
          <w:lang w:val="uk-UA"/>
        </w:rPr>
      </w:pPr>
      <w:r>
        <w:rPr>
          <w:color w:val="000000"/>
          <w:lang w:val="uk-UA"/>
        </w:rPr>
        <w:t>пройти процедуру лістингу хоча б в одній фондовій біржі і його ак</w:t>
      </w:r>
      <w:r>
        <w:rPr>
          <w:color w:val="000000"/>
          <w:lang w:val="uk-UA"/>
        </w:rPr>
        <w:softHyphen/>
        <w:t>ції стануть котируватися на інших німецьких біржах.)</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Лістинг зв'язаний не тільки з додатковими витратами, а ще й з малоприємним контролем за діяльністю компанії-емітента. Зате він підвищує престиж емітента, полегшує випуск ліквідних облігацій та оцінку акцій у процесі оподаткування. Лістинг забезпечує так звану мартабельність, тобто високу ліквідність цінних паперів, їх придат</w:t>
      </w:r>
      <w:r>
        <w:rPr>
          <w:color w:val="000000"/>
          <w:lang w:val="uk-UA"/>
        </w:rPr>
        <w:softHyphen/>
        <w:t>ність для швидкої реалізації та відносну стабільність цін.</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Фондова біржа відповідає лише за операції з такими цінними па</w:t>
      </w:r>
      <w:r>
        <w:rPr>
          <w:color w:val="000000"/>
          <w:lang w:val="uk-UA"/>
        </w:rPr>
        <w:softHyphen/>
        <w:t>перами, що пройшли лістинг. Підприємцеві-початківцю (і не тільки початківцю) слід пам'ятати, що банки і брокери дуже неохоче пого</w:t>
      </w:r>
      <w:r>
        <w:rPr>
          <w:color w:val="000000"/>
          <w:lang w:val="uk-UA"/>
        </w:rPr>
        <w:softHyphen/>
        <w:t>джуються проводити передплату на нові випуски акцій та облігацій тих підприємств, які відмовилися від проходження процедури ліс</w:t>
      </w:r>
      <w:r>
        <w:rPr>
          <w:color w:val="000000"/>
          <w:lang w:val="uk-UA"/>
        </w:rPr>
        <w:softHyphen/>
        <w:t>тингу хоча б на одній із зареєстрованих фондових бірж. Натомість компанії, які пройшли цю процедуру, стають відомими, їм довіря</w:t>
      </w:r>
      <w:r>
        <w:rPr>
          <w:color w:val="000000"/>
          <w:lang w:val="uk-UA"/>
        </w:rPr>
        <w:softHyphen/>
        <w:t>ють банки, вони займають на ринку стійкіші позиції. Фондова біржа також виграє від лістингу. Вона здобуває репутацію організації, ко</w:t>
      </w:r>
      <w:r>
        <w:rPr>
          <w:color w:val="000000"/>
          <w:lang w:val="uk-UA"/>
        </w:rPr>
        <w:softHyphen/>
        <w:t>тра працює лише зі «справжніми» цінними паперами, за які відпові</w:t>
      </w:r>
      <w:r>
        <w:rPr>
          <w:color w:val="000000"/>
          <w:lang w:val="uk-UA"/>
        </w:rPr>
        <w:softHyphen/>
        <w:t>дає разом з емітентом. Довіра до фондової біржі зростає, якщо її наді</w:t>
      </w:r>
      <w:r>
        <w:rPr>
          <w:color w:val="000000"/>
          <w:lang w:val="uk-UA"/>
        </w:rPr>
        <w:softHyphen/>
        <w:t>лено правом призупиняти котирування цінних паперів тієї чи іншої компанії і взагалі виключати її з біржового списку у разі фінансової неспроможності компанії або її ухиляння від лістингу (несвоєчасного подання щорічного звіту про свою фінансову діяльність).</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Нині у світі налічується близько 200 фондових бірж: у  Велико</w:t>
      </w:r>
      <w:r>
        <w:rPr>
          <w:color w:val="000000"/>
          <w:lang w:val="uk-UA"/>
        </w:rPr>
        <w:softHyphen/>
        <w:t>британії — 22, США - 13, Японії - 9, Франції та Німеччині — по 8, Канаді — 5. Найбільш відомі Нью-Йоркська фондова біржа, Токій</w:t>
      </w:r>
      <w:r>
        <w:rPr>
          <w:color w:val="000000"/>
          <w:lang w:val="uk-UA"/>
        </w:rPr>
        <w:softHyphen/>
        <w:t>ська, Лондонська, Паризька, Франкфуртська, Копенгагенська, Амс</w:t>
      </w:r>
      <w:r>
        <w:rPr>
          <w:color w:val="000000"/>
          <w:lang w:val="uk-UA"/>
        </w:rPr>
        <w:softHyphen/>
        <w:t>тердамська, Міланська, Торонтська, Австралійська, Цюрихська, Се</w:t>
      </w:r>
      <w:r>
        <w:rPr>
          <w:color w:val="000000"/>
          <w:lang w:val="uk-UA"/>
        </w:rPr>
        <w:softHyphen/>
        <w:t>ульська, Манільська (на Філіппінах), Бангкокська (в Таїланді), Сингапурська та ін.</w:t>
      </w:r>
    </w:p>
    <w:p w:rsidR="000A0C9B" w:rsidRPr="000A0C9B" w:rsidRDefault="000A0C9B" w:rsidP="00BA4EA8">
      <w:pPr>
        <w:shd w:val="clear" w:color="auto" w:fill="FFFFFF"/>
        <w:autoSpaceDE w:val="0"/>
        <w:autoSpaceDN w:val="0"/>
        <w:adjustRightInd w:val="0"/>
        <w:ind w:firstLine="708"/>
        <w:rPr>
          <w:lang w:val="uk-UA"/>
        </w:rPr>
      </w:pPr>
      <w:r>
        <w:rPr>
          <w:color w:val="000000"/>
          <w:lang w:val="uk-UA"/>
        </w:rPr>
        <w:t>Як правило, в економічно розвинутій країні налічується кілька фондових бірж, котрі створюють певну біржову систему. Розрізня</w:t>
      </w:r>
      <w:r>
        <w:rPr>
          <w:color w:val="000000"/>
          <w:lang w:val="uk-UA"/>
        </w:rPr>
        <w:softHyphen/>
        <w:t>ють моносистему, в якій головну роль відіграє одна з бірж (наприк</w:t>
      </w:r>
      <w:r>
        <w:rPr>
          <w:color w:val="000000"/>
          <w:lang w:val="uk-UA"/>
        </w:rPr>
        <w:softHyphen/>
        <w:t>лад Лондонська біржа у Великобританії) і полісистему, котрій влас</w:t>
      </w:r>
      <w:r>
        <w:rPr>
          <w:color w:val="000000"/>
          <w:lang w:val="uk-UA"/>
        </w:rPr>
        <w:softHyphen/>
        <w:t>тива наявність кількох великих бірж (Німеччина, Канада). Є й проміжні форми наприклад біржова система США, де поряд із па</w:t>
      </w:r>
      <w:r>
        <w:rPr>
          <w:color w:val="000000"/>
          <w:lang w:val="uk-UA"/>
        </w:rPr>
        <w:softHyphen/>
        <w:t>нуванням Нью-Иоркської фондової біржі досить упевнено почува</w:t>
      </w:r>
      <w:r>
        <w:rPr>
          <w:color w:val="000000"/>
          <w:lang w:val="uk-UA"/>
        </w:rPr>
        <w:softHyphen/>
        <w:t>ють себе регіональні фондові біржі.</w:t>
      </w:r>
    </w:p>
    <w:p w:rsidR="00BA4EA8" w:rsidRDefault="000A0C9B" w:rsidP="00BA4EA8">
      <w:pPr>
        <w:shd w:val="clear" w:color="auto" w:fill="FFFFFF"/>
        <w:autoSpaceDE w:val="0"/>
        <w:autoSpaceDN w:val="0"/>
        <w:adjustRightInd w:val="0"/>
        <w:ind w:firstLine="708"/>
      </w:pPr>
      <w:r>
        <w:rPr>
          <w:color w:val="000000"/>
          <w:lang w:val="uk-UA"/>
        </w:rPr>
        <w:t>В Україні першою виникла Українська фондова біржа (УФБ), яка за період 1992—І995рр. обслужила понад 21 млн торгових операцій за середнього річного приросту 200—300%. Конкурентами стали (з 1995 р.): Київська міжнародна фондова біржа (КМФБ), Українська міжбанківська валютна біржа (УМВБ), Донецька фондова біржа (ДФБ) і Позабіржова фондова торгова система (ПФТС). Конкурентність відносин між ними підтверджується такими прикладами. 1996</w:t>
      </w:r>
      <w:r w:rsidR="00BA4EA8">
        <w:rPr>
          <w:color w:val="000000"/>
          <w:lang w:val="uk-UA"/>
        </w:rPr>
        <w:t xml:space="preserve"> </w:t>
      </w:r>
      <w:r w:rsidR="00BA4EA8">
        <w:rPr>
          <w:color w:val="000000"/>
          <w:sz w:val="25"/>
          <w:szCs w:val="25"/>
          <w:lang w:val="uk-UA"/>
        </w:rPr>
        <w:t>року на УФБ було укладено 40% від загальної кількості угод на бір</w:t>
      </w:r>
      <w:r w:rsidR="00BA4EA8">
        <w:rPr>
          <w:color w:val="000000"/>
          <w:sz w:val="25"/>
          <w:szCs w:val="25"/>
          <w:lang w:val="uk-UA"/>
        </w:rPr>
        <w:softHyphen/>
        <w:t>жовому ринку, а на УМВБ — 59%. Однак за обсягом продажу пер</w:t>
      </w:r>
      <w:r w:rsidR="00BA4EA8">
        <w:rPr>
          <w:color w:val="000000"/>
          <w:sz w:val="25"/>
          <w:szCs w:val="25"/>
          <w:lang w:val="uk-UA"/>
        </w:rPr>
        <w:softHyphen/>
        <w:t>шість іще залишалася за УФБ (70%). Різка зміна структури біржової торгівлі відбулась у 1997 р., коли обсяг торгів за рік на УМВБ зріс у 29 разів, а на ПФТС — у 112 разів. Але навіть і без ПФТС ситуація змінилася: за показником обсягу торгів УФБ програла своїй основ</w:t>
      </w:r>
      <w:r w:rsidR="00BA4EA8">
        <w:rPr>
          <w:color w:val="000000"/>
          <w:sz w:val="25"/>
          <w:szCs w:val="25"/>
          <w:lang w:val="uk-UA"/>
        </w:rPr>
        <w:softHyphen/>
        <w:t>ній суперниці — УМВБ: частка УФБ за обсягом торгів за рік скоро</w:t>
      </w:r>
      <w:r w:rsidR="00BA4EA8">
        <w:rPr>
          <w:color w:val="000000"/>
          <w:sz w:val="25"/>
          <w:szCs w:val="25"/>
          <w:lang w:val="uk-UA"/>
        </w:rPr>
        <w:softHyphen/>
        <w:t>тилася з 70% до 6%, а частка УМВБ зросла з 29% до 93%.</w:t>
      </w:r>
    </w:p>
    <w:p w:rsidR="00BA4EA8" w:rsidRDefault="00BA4EA8" w:rsidP="00BA4EA8">
      <w:pPr>
        <w:shd w:val="clear" w:color="auto" w:fill="FFFFFF"/>
        <w:autoSpaceDE w:val="0"/>
        <w:autoSpaceDN w:val="0"/>
        <w:adjustRightInd w:val="0"/>
      </w:pPr>
      <w:r>
        <w:rPr>
          <w:color w:val="000000"/>
          <w:sz w:val="25"/>
          <w:szCs w:val="25"/>
          <w:lang w:val="uk-UA"/>
        </w:rPr>
        <w:t>ПФТС почала тіснити біржі 1997 року: за темпами зростання ця позабіржова система вийшла на перше місце, хоча за кількістю угод і поступилася ДФБ. Обсяг торгів на організаційно оформлених рин</w:t>
      </w:r>
      <w:r>
        <w:rPr>
          <w:color w:val="000000"/>
          <w:sz w:val="25"/>
          <w:szCs w:val="25"/>
          <w:lang w:val="uk-UA"/>
        </w:rPr>
        <w:softHyphen/>
        <w:t>ках торгівлі (структура і зростання) подано в табл. 1.</w:t>
      </w:r>
    </w:p>
    <w:p w:rsidR="00BA4EA8" w:rsidRDefault="00BA4EA8" w:rsidP="00BA4EA8">
      <w:pPr>
        <w:pStyle w:val="2"/>
      </w:pPr>
      <w:bookmarkStart w:id="1" w:name="_Toc10177599"/>
      <w:r>
        <w:rPr>
          <w:lang w:val="uk-UA"/>
        </w:rPr>
        <w:t>Таблиця 1</w:t>
      </w:r>
      <w:bookmarkEnd w:id="1"/>
    </w:p>
    <w:p w:rsidR="00BA4EA8" w:rsidRDefault="00BA4EA8" w:rsidP="00BA4EA8">
      <w:pPr>
        <w:shd w:val="clear" w:color="auto" w:fill="FFFFFF"/>
        <w:autoSpaceDE w:val="0"/>
        <w:autoSpaceDN w:val="0"/>
        <w:adjustRightInd w:val="0"/>
        <w:rPr>
          <w:b/>
          <w:bCs/>
          <w:color w:val="000000"/>
          <w:sz w:val="18"/>
          <w:szCs w:val="18"/>
          <w:lang w:val="uk-UA"/>
        </w:rPr>
      </w:pPr>
    </w:p>
    <w:p w:rsidR="00BA4EA8" w:rsidRDefault="00BA4EA8" w:rsidP="00BA4EA8">
      <w:pPr>
        <w:shd w:val="clear" w:color="auto" w:fill="FFFFFF"/>
        <w:autoSpaceDE w:val="0"/>
        <w:autoSpaceDN w:val="0"/>
        <w:adjustRightInd w:val="0"/>
        <w:jc w:val="center"/>
        <w:rPr>
          <w:b/>
          <w:bCs/>
          <w:color w:val="000000"/>
          <w:sz w:val="18"/>
          <w:szCs w:val="18"/>
          <w:lang w:val="uk-UA"/>
        </w:rPr>
      </w:pPr>
    </w:p>
    <w:p w:rsidR="00BA4EA8" w:rsidRPr="00BA4EA8" w:rsidRDefault="00BA4EA8" w:rsidP="00BA4EA8">
      <w:pPr>
        <w:shd w:val="clear" w:color="auto" w:fill="FFFFFF"/>
        <w:autoSpaceDE w:val="0"/>
        <w:autoSpaceDN w:val="0"/>
        <w:adjustRightInd w:val="0"/>
        <w:jc w:val="center"/>
        <w:rPr>
          <w:sz w:val="28"/>
          <w:szCs w:val="28"/>
        </w:rPr>
      </w:pPr>
      <w:r w:rsidRPr="00BA4EA8">
        <w:rPr>
          <w:b/>
          <w:bCs/>
          <w:color w:val="000000"/>
          <w:sz w:val="28"/>
          <w:szCs w:val="28"/>
          <w:lang w:val="uk-UA"/>
        </w:rPr>
        <w:t>ОБСЯГ ТОРГІВ НА ОРГАНІЗАЦІЙНО ОФОРМЛЕНИХ РИНКАХ</w:t>
      </w:r>
    </w:p>
    <w:tbl>
      <w:tblPr>
        <w:tblW w:w="0" w:type="auto"/>
        <w:tblInd w:w="40" w:type="dxa"/>
        <w:tblLayout w:type="fixed"/>
        <w:tblCellMar>
          <w:left w:w="40" w:type="dxa"/>
          <w:right w:w="40" w:type="dxa"/>
        </w:tblCellMar>
        <w:tblLook w:val="0000" w:firstRow="0" w:lastRow="0" w:firstColumn="0" w:lastColumn="0" w:noHBand="0" w:noVBand="0"/>
      </w:tblPr>
      <w:tblGrid>
        <w:gridCol w:w="2160"/>
        <w:gridCol w:w="2520"/>
        <w:gridCol w:w="2340"/>
        <w:gridCol w:w="2340"/>
      </w:tblGrid>
      <w:tr w:rsidR="00BA4EA8">
        <w:trPr>
          <w:trHeight w:val="278"/>
        </w:trPr>
        <w:tc>
          <w:tcPr>
            <w:tcW w:w="2160" w:type="dxa"/>
            <w:vMerge w:val="restart"/>
            <w:tcBorders>
              <w:top w:val="single" w:sz="6" w:space="0" w:color="auto"/>
              <w:left w:val="single" w:sz="6" w:space="0" w:color="auto"/>
              <w:bottom w:val="nil"/>
              <w:right w:val="single" w:sz="6" w:space="0" w:color="auto"/>
            </w:tcBorders>
          </w:tcPr>
          <w:p w:rsidR="00BA4EA8" w:rsidRPr="00BA4EA8" w:rsidRDefault="00BA4EA8" w:rsidP="00BA4EA8">
            <w:pPr>
              <w:shd w:val="clear" w:color="auto" w:fill="FFFFFF"/>
              <w:autoSpaceDE w:val="0"/>
              <w:autoSpaceDN w:val="0"/>
              <w:adjustRightInd w:val="0"/>
              <w:jc w:val="center"/>
            </w:pPr>
            <w:r w:rsidRPr="00BA4EA8">
              <w:rPr>
                <w:color w:val="000000"/>
                <w:lang w:val="uk-UA"/>
              </w:rPr>
              <w:t>Назва організаційно оформленого ринку</w:t>
            </w:r>
          </w:p>
          <w:p w:rsidR="00BA4EA8" w:rsidRDefault="00BA4EA8" w:rsidP="00BA4EA8">
            <w:pPr>
              <w:shd w:val="clear" w:color="auto" w:fill="FFFFFF"/>
              <w:autoSpaceDE w:val="0"/>
              <w:autoSpaceDN w:val="0"/>
              <w:adjustRightInd w:val="0"/>
              <w:jc w:val="center"/>
            </w:pPr>
          </w:p>
        </w:tc>
        <w:tc>
          <w:tcPr>
            <w:tcW w:w="7200" w:type="dxa"/>
            <w:gridSpan w:val="3"/>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Обсяг торгів, млн грн</w:t>
            </w:r>
          </w:p>
          <w:p w:rsidR="00BA4EA8" w:rsidRDefault="00BA4EA8" w:rsidP="00BA4EA8">
            <w:pPr>
              <w:shd w:val="clear" w:color="auto" w:fill="FFFFFF"/>
              <w:autoSpaceDE w:val="0"/>
              <w:autoSpaceDN w:val="0"/>
              <w:adjustRightInd w:val="0"/>
              <w:jc w:val="center"/>
            </w:pPr>
          </w:p>
        </w:tc>
      </w:tr>
      <w:tr w:rsidR="00BA4EA8">
        <w:trPr>
          <w:trHeight w:val="269"/>
        </w:trPr>
        <w:tc>
          <w:tcPr>
            <w:tcW w:w="2160" w:type="dxa"/>
            <w:vMerge/>
            <w:tcBorders>
              <w:top w:val="nil"/>
              <w:left w:val="single" w:sz="6" w:space="0" w:color="auto"/>
              <w:bottom w:val="single" w:sz="6" w:space="0" w:color="auto"/>
              <w:right w:val="single" w:sz="6" w:space="0" w:color="auto"/>
            </w:tcBorders>
          </w:tcPr>
          <w:p w:rsidR="00BA4EA8" w:rsidRDefault="00BA4EA8" w:rsidP="00BA4EA8">
            <w:pPr>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1996р.</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1997р.</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1998р.</w:t>
            </w:r>
          </w:p>
          <w:p w:rsidR="00BA4EA8" w:rsidRDefault="00BA4EA8" w:rsidP="00BA4EA8">
            <w:pPr>
              <w:shd w:val="clear" w:color="auto" w:fill="FFFFFF"/>
              <w:autoSpaceDE w:val="0"/>
              <w:autoSpaceDN w:val="0"/>
              <w:adjustRightInd w:val="0"/>
              <w:jc w:val="center"/>
            </w:pPr>
          </w:p>
        </w:tc>
      </w:tr>
      <w:tr w:rsidR="00BA4EA8">
        <w:trPr>
          <w:trHeight w:val="240"/>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ПФТС</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3,12</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350,54</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338.54</w:t>
            </w:r>
          </w:p>
          <w:p w:rsidR="00BA4EA8" w:rsidRDefault="00BA4EA8" w:rsidP="00BA4EA8">
            <w:pPr>
              <w:shd w:val="clear" w:color="auto" w:fill="FFFFFF"/>
              <w:autoSpaceDE w:val="0"/>
              <w:autoSpaceDN w:val="0"/>
              <w:adjustRightInd w:val="0"/>
              <w:jc w:val="center"/>
            </w:pPr>
          </w:p>
        </w:tc>
      </w:tr>
      <w:tr w:rsidR="00BA4EA8">
        <w:trPr>
          <w:trHeight w:val="202"/>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УМВБ</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13,19</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381,44</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76,81</w:t>
            </w:r>
          </w:p>
          <w:p w:rsidR="00BA4EA8" w:rsidRDefault="00BA4EA8" w:rsidP="00BA4EA8">
            <w:pPr>
              <w:shd w:val="clear" w:color="auto" w:fill="FFFFFF"/>
              <w:autoSpaceDE w:val="0"/>
              <w:autoSpaceDN w:val="0"/>
              <w:adjustRightInd w:val="0"/>
              <w:jc w:val="center"/>
            </w:pPr>
          </w:p>
        </w:tc>
      </w:tr>
      <w:tr w:rsidR="00BA4EA8">
        <w:trPr>
          <w:trHeight w:val="211"/>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УФБ</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31.61</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23,11</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50.14</w:t>
            </w:r>
          </w:p>
          <w:p w:rsidR="00BA4EA8" w:rsidRDefault="00BA4EA8" w:rsidP="00BA4EA8">
            <w:pPr>
              <w:shd w:val="clear" w:color="auto" w:fill="FFFFFF"/>
              <w:autoSpaceDE w:val="0"/>
              <w:autoSpaceDN w:val="0"/>
              <w:adjustRightInd w:val="0"/>
              <w:jc w:val="center"/>
            </w:pPr>
          </w:p>
        </w:tc>
      </w:tr>
      <w:tr w:rsidR="00BA4EA8">
        <w:trPr>
          <w:trHeight w:val="202"/>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КМФБ</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0.09</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4,71</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27,78</w:t>
            </w:r>
          </w:p>
          <w:p w:rsidR="00BA4EA8" w:rsidRDefault="00BA4EA8" w:rsidP="00BA4EA8">
            <w:pPr>
              <w:shd w:val="clear" w:color="auto" w:fill="FFFFFF"/>
              <w:autoSpaceDE w:val="0"/>
              <w:autoSpaceDN w:val="0"/>
              <w:adjustRightInd w:val="0"/>
              <w:jc w:val="center"/>
            </w:pPr>
          </w:p>
        </w:tc>
      </w:tr>
      <w:tr w:rsidR="00BA4EA8">
        <w:trPr>
          <w:trHeight w:val="211"/>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ДФБ</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0,17</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2.15</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22.78</w:t>
            </w:r>
          </w:p>
          <w:p w:rsidR="00BA4EA8" w:rsidRDefault="00BA4EA8" w:rsidP="00BA4EA8">
            <w:pPr>
              <w:shd w:val="clear" w:color="auto" w:fill="FFFFFF"/>
              <w:autoSpaceDE w:val="0"/>
              <w:autoSpaceDN w:val="0"/>
              <w:adjustRightInd w:val="0"/>
              <w:jc w:val="center"/>
            </w:pPr>
          </w:p>
        </w:tc>
      </w:tr>
      <w:tr w:rsidR="00BA4EA8">
        <w:trPr>
          <w:trHeight w:val="192"/>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УЦСА</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6.87</w:t>
            </w:r>
          </w:p>
          <w:p w:rsidR="00BA4EA8" w:rsidRDefault="00BA4EA8" w:rsidP="00BA4EA8">
            <w:pPr>
              <w:shd w:val="clear" w:color="auto" w:fill="FFFFFF"/>
              <w:autoSpaceDE w:val="0"/>
              <w:autoSpaceDN w:val="0"/>
              <w:adjustRightInd w:val="0"/>
              <w:jc w:val="center"/>
            </w:pPr>
          </w:p>
        </w:tc>
      </w:tr>
      <w:tr w:rsidR="00BA4EA8">
        <w:trPr>
          <w:trHeight w:val="269"/>
        </w:trPr>
        <w:tc>
          <w:tcPr>
            <w:tcW w:w="216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Усього</w:t>
            </w:r>
          </w:p>
          <w:p w:rsidR="00BA4EA8" w:rsidRDefault="00BA4EA8" w:rsidP="00BA4EA8">
            <w:pPr>
              <w:shd w:val="clear" w:color="auto" w:fill="FFFFFF"/>
              <w:autoSpaceDE w:val="0"/>
              <w:autoSpaceDN w:val="0"/>
              <w:adjustRightInd w:val="0"/>
              <w:jc w:val="center"/>
            </w:pPr>
          </w:p>
        </w:tc>
        <w:tc>
          <w:tcPr>
            <w:tcW w:w="252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48,18</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761,95</w:t>
            </w:r>
          </w:p>
          <w:p w:rsidR="00BA4EA8" w:rsidRDefault="00BA4EA8" w:rsidP="00BA4EA8">
            <w:pPr>
              <w:shd w:val="clear" w:color="auto" w:fill="FFFFFF"/>
              <w:autoSpaceDE w:val="0"/>
              <w:autoSpaceDN w:val="0"/>
              <w:adjustRightInd w:val="0"/>
              <w:jc w:val="center"/>
            </w:pPr>
          </w:p>
        </w:tc>
        <w:tc>
          <w:tcPr>
            <w:tcW w:w="2340" w:type="dxa"/>
            <w:tcBorders>
              <w:top w:val="single" w:sz="6" w:space="0" w:color="auto"/>
              <w:left w:val="single" w:sz="6" w:space="0" w:color="auto"/>
              <w:bottom w:val="single" w:sz="6" w:space="0" w:color="auto"/>
              <w:right w:val="single" w:sz="6" w:space="0" w:color="auto"/>
            </w:tcBorders>
          </w:tcPr>
          <w:p w:rsidR="00BA4EA8" w:rsidRDefault="00BA4EA8" w:rsidP="00BA4EA8">
            <w:pPr>
              <w:shd w:val="clear" w:color="auto" w:fill="FFFFFF"/>
              <w:autoSpaceDE w:val="0"/>
              <w:autoSpaceDN w:val="0"/>
              <w:adjustRightInd w:val="0"/>
              <w:jc w:val="center"/>
            </w:pPr>
            <w:r>
              <w:rPr>
                <w:color w:val="000000"/>
                <w:sz w:val="20"/>
                <w:szCs w:val="20"/>
                <w:lang w:val="uk-UA"/>
              </w:rPr>
              <w:t>522.92</w:t>
            </w:r>
          </w:p>
          <w:p w:rsidR="00BA4EA8" w:rsidRDefault="00BA4EA8" w:rsidP="00BA4EA8">
            <w:pPr>
              <w:shd w:val="clear" w:color="auto" w:fill="FFFFFF"/>
              <w:autoSpaceDE w:val="0"/>
              <w:autoSpaceDN w:val="0"/>
              <w:adjustRightInd w:val="0"/>
              <w:jc w:val="center"/>
            </w:pPr>
          </w:p>
        </w:tc>
      </w:tr>
    </w:tbl>
    <w:p w:rsidR="00BA4EA8" w:rsidRDefault="00BA4EA8" w:rsidP="00BA4EA8">
      <w:pPr>
        <w:shd w:val="clear" w:color="auto" w:fill="FFFFFF"/>
        <w:autoSpaceDE w:val="0"/>
        <w:autoSpaceDN w:val="0"/>
        <w:adjustRightInd w:val="0"/>
        <w:ind w:firstLine="708"/>
      </w:pPr>
      <w:r>
        <w:rPr>
          <w:color w:val="000000"/>
          <w:sz w:val="25"/>
          <w:szCs w:val="25"/>
          <w:lang w:val="uk-UA"/>
        </w:rPr>
        <w:t>Велика різниця у грошовому обсязі торгів пояснюється значними коливаннями вартості однієї угоди (у середньому) на різних біржах. Так, вартість однієї угоди (у середньому) на УМВБ у 43 рази більша за вартість однієї угоди на ДФБ.</w:t>
      </w:r>
    </w:p>
    <w:p w:rsidR="00BA4EA8" w:rsidRDefault="00BA4EA8" w:rsidP="00BA4EA8">
      <w:pPr>
        <w:ind w:firstLine="708"/>
        <w:rPr>
          <w:color w:val="000000"/>
          <w:sz w:val="25"/>
          <w:szCs w:val="25"/>
          <w:lang w:val="uk-UA"/>
        </w:rPr>
      </w:pPr>
      <w:r>
        <w:rPr>
          <w:color w:val="000000"/>
          <w:sz w:val="25"/>
          <w:szCs w:val="25"/>
          <w:lang w:val="uk-UA"/>
        </w:rPr>
        <w:t>Протягом 1998 р. кількість організаторів торгівлі цінними папе</w:t>
      </w:r>
      <w:r>
        <w:rPr>
          <w:color w:val="000000"/>
          <w:sz w:val="25"/>
          <w:szCs w:val="25"/>
          <w:lang w:val="uk-UA"/>
        </w:rPr>
        <w:softHyphen/>
        <w:t>рами збільшилась: ліцензію фондової біржі було надано Придніп</w:t>
      </w:r>
      <w:r>
        <w:rPr>
          <w:color w:val="000000"/>
          <w:sz w:val="25"/>
          <w:szCs w:val="25"/>
          <w:lang w:val="uk-UA"/>
        </w:rPr>
        <w:softHyphen/>
        <w:t>ровській фондовій біржі (ПФБ), а статус торговельно-інформаційних систем отримав Український центр сертифікатних аукціонів (УЦСА).</w:t>
      </w:r>
    </w:p>
    <w:p w:rsidR="000A0C9B" w:rsidRDefault="00BA4EA8" w:rsidP="00BA4EA8">
      <w:pPr>
        <w:pStyle w:val="1"/>
        <w:rPr>
          <w:lang w:val="uk-UA"/>
        </w:rPr>
      </w:pPr>
      <w:r>
        <w:rPr>
          <w:lang w:val="uk-UA"/>
        </w:rPr>
        <w:br w:type="page"/>
      </w:r>
      <w:bookmarkStart w:id="2" w:name="_Toc10177600"/>
      <w:r>
        <w:rPr>
          <w:lang w:val="uk-UA"/>
        </w:rPr>
        <w:t>2. Котирування цінних паперів</w:t>
      </w:r>
      <w:bookmarkEnd w:id="2"/>
    </w:p>
    <w:p w:rsidR="00BA4EA8" w:rsidRDefault="00BA4EA8" w:rsidP="00BA4EA8">
      <w:pPr>
        <w:shd w:val="clear" w:color="auto" w:fill="FFFFFF"/>
        <w:autoSpaceDE w:val="0"/>
        <w:autoSpaceDN w:val="0"/>
        <w:adjustRightInd w:val="0"/>
        <w:ind w:firstLine="708"/>
      </w:pPr>
      <w:r>
        <w:rPr>
          <w:color w:val="000000"/>
          <w:sz w:val="25"/>
          <w:szCs w:val="25"/>
          <w:lang w:val="uk-UA"/>
        </w:rPr>
        <w:t>Термін «котирування» в основному застосо</w:t>
      </w:r>
      <w:r>
        <w:rPr>
          <w:color w:val="000000"/>
          <w:sz w:val="25"/>
          <w:szCs w:val="25"/>
          <w:lang w:val="uk-UA"/>
        </w:rPr>
        <w:softHyphen/>
        <w:t>вується на позначення дії або механізму встанов</w:t>
      </w:r>
      <w:r>
        <w:rPr>
          <w:color w:val="000000"/>
          <w:sz w:val="25"/>
          <w:szCs w:val="25"/>
          <w:lang w:val="uk-UA"/>
        </w:rPr>
        <w:softHyphen/>
        <w:t>лення ціни (ринкової вартості, біржового курсу) цінних паперів, валюти або товару (далі йтиме</w:t>
      </w:r>
      <w:r>
        <w:rPr>
          <w:color w:val="000000"/>
          <w:sz w:val="25"/>
          <w:szCs w:val="25"/>
          <w:lang w:val="uk-UA"/>
        </w:rPr>
        <w:softHyphen/>
        <w:t>ться про котирування тільки цінних паперів). Крім того, цим терміном позначають можли</w:t>
      </w:r>
      <w:r>
        <w:rPr>
          <w:color w:val="000000"/>
          <w:sz w:val="25"/>
          <w:szCs w:val="25"/>
          <w:lang w:val="uk-UA"/>
        </w:rPr>
        <w:softHyphen/>
        <w:t>вість обігу цінних паперів (коли цінні папери</w:t>
      </w:r>
    </w:p>
    <w:p w:rsidR="00BA4EA8" w:rsidRDefault="00BA4EA8" w:rsidP="00BA4EA8">
      <w:pPr>
        <w:shd w:val="clear" w:color="auto" w:fill="FFFFFF"/>
        <w:autoSpaceDE w:val="0"/>
        <w:autoSpaceDN w:val="0"/>
        <w:adjustRightInd w:val="0"/>
      </w:pPr>
      <w:r>
        <w:rPr>
          <w:color w:val="000000"/>
          <w:sz w:val="25"/>
          <w:szCs w:val="25"/>
          <w:lang w:val="uk-UA"/>
        </w:rPr>
        <w:t>обертаються на біржі, то кажуть, що вони «котируються»), а також офіційну публікацію про біржові курси в спеціальних бюлетенях.</w:t>
      </w:r>
    </w:p>
    <w:p w:rsidR="00BA4EA8" w:rsidRDefault="00BA4EA8" w:rsidP="00BA4EA8">
      <w:pPr>
        <w:shd w:val="clear" w:color="auto" w:fill="FFFFFF"/>
        <w:autoSpaceDE w:val="0"/>
        <w:autoSpaceDN w:val="0"/>
        <w:adjustRightInd w:val="0"/>
        <w:ind w:firstLine="708"/>
      </w:pPr>
      <w:r>
        <w:rPr>
          <w:color w:val="000000"/>
          <w:sz w:val="25"/>
          <w:szCs w:val="25"/>
          <w:lang w:val="uk-UA"/>
        </w:rPr>
        <w:t>Термін «котирування» французького походження — «со</w:t>
      </w:r>
      <w:r>
        <w:rPr>
          <w:color w:val="000000"/>
          <w:sz w:val="25"/>
          <w:szCs w:val="25"/>
          <w:lang w:val="en-US"/>
        </w:rPr>
        <w:t>ter</w:t>
      </w:r>
      <w:r>
        <w:rPr>
          <w:color w:val="000000"/>
          <w:sz w:val="25"/>
          <w:szCs w:val="25"/>
          <w:lang w:val="uk-UA"/>
        </w:rPr>
        <w:t>». Ан</w:t>
      </w:r>
      <w:r>
        <w:rPr>
          <w:color w:val="000000"/>
          <w:sz w:val="25"/>
          <w:szCs w:val="25"/>
          <w:lang w:val="uk-UA"/>
        </w:rPr>
        <w:softHyphen/>
        <w:t>глійська мова користується словом «</w:t>
      </w:r>
      <w:r>
        <w:rPr>
          <w:color w:val="000000"/>
          <w:sz w:val="25"/>
          <w:szCs w:val="25"/>
          <w:lang w:val="en-US"/>
        </w:rPr>
        <w:t>quotation</w:t>
      </w:r>
      <w:r>
        <w:rPr>
          <w:color w:val="000000"/>
          <w:sz w:val="25"/>
          <w:szCs w:val="25"/>
          <w:lang w:val="uk-UA"/>
        </w:rPr>
        <w:t>», що має таке саме значення.</w:t>
      </w:r>
    </w:p>
    <w:p w:rsidR="00BA4EA8" w:rsidRPr="00874085" w:rsidRDefault="00BA4EA8" w:rsidP="00874085">
      <w:pPr>
        <w:shd w:val="clear" w:color="auto" w:fill="FFFFFF"/>
        <w:autoSpaceDE w:val="0"/>
        <w:autoSpaceDN w:val="0"/>
        <w:adjustRightInd w:val="0"/>
        <w:ind w:firstLine="708"/>
        <w:rPr>
          <w:lang w:val="uk-UA"/>
        </w:rPr>
      </w:pPr>
      <w:r>
        <w:rPr>
          <w:color w:val="000000"/>
          <w:sz w:val="25"/>
          <w:szCs w:val="25"/>
          <w:lang w:val="uk-UA"/>
        </w:rPr>
        <w:t>Котирування здійснюється на фондовій біржі, але біржовим курсом (як орієнтиром) користуються і на позабіржовому ринку цінних паперів.</w:t>
      </w:r>
    </w:p>
    <w:p w:rsidR="00BA4EA8" w:rsidRDefault="00BA4EA8" w:rsidP="00874085">
      <w:pPr>
        <w:shd w:val="clear" w:color="auto" w:fill="FFFFFF"/>
        <w:autoSpaceDE w:val="0"/>
        <w:autoSpaceDN w:val="0"/>
        <w:adjustRightInd w:val="0"/>
        <w:ind w:firstLine="708"/>
      </w:pPr>
      <w:r>
        <w:rPr>
          <w:color w:val="000000"/>
          <w:sz w:val="25"/>
          <w:szCs w:val="25"/>
          <w:lang w:val="uk-UA"/>
        </w:rPr>
        <w:t>Котирування цінних паперів відбувається:</w:t>
      </w:r>
    </w:p>
    <w:p w:rsidR="00BA4EA8" w:rsidRDefault="00BA4EA8" w:rsidP="00874085">
      <w:pPr>
        <w:shd w:val="clear" w:color="auto" w:fill="FFFFFF"/>
        <w:autoSpaceDE w:val="0"/>
        <w:autoSpaceDN w:val="0"/>
        <w:adjustRightInd w:val="0"/>
        <w:ind w:firstLine="708"/>
      </w:pPr>
      <w:r>
        <w:rPr>
          <w:color w:val="000000"/>
          <w:sz w:val="25"/>
          <w:szCs w:val="25"/>
          <w:lang w:val="uk-UA"/>
        </w:rPr>
        <w:t>а) методом реєстрації;</w:t>
      </w:r>
    </w:p>
    <w:p w:rsidR="00BA4EA8" w:rsidRDefault="00BA4EA8" w:rsidP="00874085">
      <w:pPr>
        <w:shd w:val="clear" w:color="auto" w:fill="FFFFFF"/>
        <w:autoSpaceDE w:val="0"/>
        <w:autoSpaceDN w:val="0"/>
        <w:adjustRightInd w:val="0"/>
        <w:ind w:firstLine="708"/>
      </w:pPr>
      <w:r>
        <w:rPr>
          <w:color w:val="000000"/>
          <w:sz w:val="25"/>
          <w:szCs w:val="25"/>
          <w:lang w:val="uk-UA"/>
        </w:rPr>
        <w:t>б) методом встановлення єдиного курсу.</w:t>
      </w:r>
    </w:p>
    <w:p w:rsidR="00BA4EA8" w:rsidRPr="00BA4EA8" w:rsidRDefault="00BA4EA8" w:rsidP="00874085">
      <w:pPr>
        <w:shd w:val="clear" w:color="auto" w:fill="FFFFFF"/>
        <w:autoSpaceDE w:val="0"/>
        <w:autoSpaceDN w:val="0"/>
        <w:adjustRightInd w:val="0"/>
        <w:ind w:firstLine="708"/>
        <w:rPr>
          <w:lang w:val="uk-UA"/>
        </w:rPr>
      </w:pPr>
      <w:r>
        <w:rPr>
          <w:color w:val="000000"/>
          <w:sz w:val="25"/>
          <w:szCs w:val="25"/>
          <w:lang w:val="uk-UA"/>
        </w:rPr>
        <w:t>Метод реєстрації передбачає аналіз даних про фактичні угоди, що зареєстровані на фондовій біржі. У результаті аналізу виявляю</w:t>
      </w:r>
      <w:r>
        <w:rPr>
          <w:color w:val="000000"/>
          <w:sz w:val="25"/>
          <w:szCs w:val="25"/>
          <w:lang w:val="uk-UA"/>
        </w:rPr>
        <w:softHyphen/>
        <w:t>ться найбільш характерні (типові) рівні цін, котрі складаються на біржі і є показовими для ринкової кон'юнктури. Предметом реєст</w:t>
      </w:r>
      <w:r>
        <w:rPr>
          <w:color w:val="000000"/>
          <w:sz w:val="25"/>
          <w:szCs w:val="25"/>
          <w:lang w:val="uk-UA"/>
        </w:rPr>
        <w:softHyphen/>
        <w:t>рації є граничні ціни — за верхнім і нижнім рівнем щоденного бір</w:t>
      </w:r>
      <w:r>
        <w:rPr>
          <w:color w:val="000000"/>
          <w:sz w:val="25"/>
          <w:szCs w:val="25"/>
          <w:lang w:val="uk-UA"/>
        </w:rPr>
        <w:softHyphen/>
        <w:t>жового курсу цінних паперів. При цьому показується біржова ціна, що визначається найвищим курсом покупця цінних паперів даного виду і найнижчим курсом продавця. Фіксується також ціна в перші хвилини біржового дня і ціна, що складається в кінці дня. У світі на</w:t>
      </w:r>
      <w:r>
        <w:rPr>
          <w:color w:val="000000"/>
          <w:sz w:val="25"/>
          <w:szCs w:val="25"/>
          <w:lang w:val="uk-UA"/>
        </w:rPr>
        <w:softHyphen/>
        <w:t>копичено вже величезний досвід публікацій біржових курсів обліга</w:t>
      </w:r>
      <w:r>
        <w:rPr>
          <w:color w:val="000000"/>
          <w:sz w:val="25"/>
          <w:szCs w:val="25"/>
          <w:lang w:val="uk-UA"/>
        </w:rPr>
        <w:softHyphen/>
        <w:t>цій у котирувальних бюлетенях, де вказуються не тільки максимальні й мінімальні рівні цін, а й середній рівень ціни на даний день.</w:t>
      </w:r>
    </w:p>
    <w:p w:rsidR="00BA4EA8" w:rsidRDefault="00BA4EA8" w:rsidP="00874085">
      <w:pPr>
        <w:shd w:val="clear" w:color="auto" w:fill="FFFFFF"/>
        <w:autoSpaceDE w:val="0"/>
        <w:autoSpaceDN w:val="0"/>
        <w:adjustRightInd w:val="0"/>
        <w:ind w:firstLine="708"/>
      </w:pPr>
      <w:r>
        <w:rPr>
          <w:color w:val="000000"/>
          <w:sz w:val="25"/>
          <w:szCs w:val="25"/>
          <w:lang w:val="uk-UA"/>
        </w:rPr>
        <w:t>Котирувальний аналіз реєстраційним методом дуже швидко ви</w:t>
      </w:r>
      <w:r>
        <w:rPr>
          <w:color w:val="000000"/>
          <w:sz w:val="25"/>
          <w:szCs w:val="25"/>
          <w:lang w:val="uk-UA"/>
        </w:rPr>
        <w:softHyphen/>
        <w:t>конується з використанням сучасних біржових автоматизованих си</w:t>
      </w:r>
      <w:r>
        <w:rPr>
          <w:color w:val="000000"/>
          <w:sz w:val="25"/>
          <w:szCs w:val="25"/>
          <w:lang w:val="uk-UA"/>
        </w:rPr>
        <w:softHyphen/>
        <w:t>стем. Такі самі системи застосовуються і за здійснення іншого мето</w:t>
      </w:r>
      <w:r>
        <w:rPr>
          <w:color w:val="000000"/>
          <w:sz w:val="25"/>
          <w:szCs w:val="25"/>
          <w:lang w:val="uk-UA"/>
        </w:rPr>
        <w:softHyphen/>
        <w:t>ду котирування — встановлення єдиного курсу, про який варто розповісти докладніше.</w:t>
      </w:r>
    </w:p>
    <w:p w:rsidR="00BA4EA8" w:rsidRDefault="00BA4EA8" w:rsidP="00874085">
      <w:pPr>
        <w:shd w:val="clear" w:color="auto" w:fill="FFFFFF"/>
        <w:autoSpaceDE w:val="0"/>
        <w:autoSpaceDN w:val="0"/>
        <w:adjustRightInd w:val="0"/>
        <w:ind w:firstLine="708"/>
      </w:pPr>
      <w:r>
        <w:rPr>
          <w:color w:val="000000"/>
          <w:sz w:val="25"/>
          <w:szCs w:val="25"/>
          <w:lang w:val="uk-UA"/>
        </w:rPr>
        <w:t>Єдиний (типовий) курс цінних паперів того чи іншого виду вста</w:t>
      </w:r>
      <w:r>
        <w:rPr>
          <w:color w:val="000000"/>
          <w:sz w:val="25"/>
          <w:szCs w:val="25"/>
          <w:lang w:val="uk-UA"/>
        </w:rPr>
        <w:softHyphen/>
        <w:t>новлюється на підставі відомостей про кількість паперів, котрі ба</w:t>
      </w:r>
      <w:r>
        <w:rPr>
          <w:color w:val="000000"/>
          <w:sz w:val="25"/>
          <w:szCs w:val="25"/>
          <w:lang w:val="uk-UA"/>
        </w:rPr>
        <w:softHyphen/>
        <w:t>жає продати продавець, і про кількість паперів, які бажає купити по</w:t>
      </w:r>
      <w:r>
        <w:rPr>
          <w:color w:val="000000"/>
          <w:sz w:val="25"/>
          <w:szCs w:val="25"/>
          <w:lang w:val="uk-UA"/>
        </w:rPr>
        <w:softHyphen/>
        <w:t>купець. Але ще важливішими є відомості про ціни, що їх просить продавець і котрі пропонує покупець. На підставі порівнювання цих відомостей складається певний баланс, який розглянемо на прикладі.</w:t>
      </w:r>
    </w:p>
    <w:p w:rsidR="00BA4EA8" w:rsidRPr="00BA4EA8" w:rsidRDefault="00BA4EA8" w:rsidP="00874085">
      <w:pPr>
        <w:shd w:val="clear" w:color="auto" w:fill="FFFFFF"/>
        <w:autoSpaceDE w:val="0"/>
        <w:autoSpaceDN w:val="0"/>
        <w:adjustRightInd w:val="0"/>
        <w:ind w:firstLine="708"/>
        <w:rPr>
          <w:lang w:val="uk-UA"/>
        </w:rPr>
      </w:pPr>
      <w:r>
        <w:rPr>
          <w:color w:val="000000"/>
          <w:sz w:val="25"/>
          <w:szCs w:val="25"/>
          <w:lang w:val="uk-UA"/>
        </w:rPr>
        <w:t>Але спочатку візьмімо до уваги, що зміна ринкової ціни на цінні папери зумовлює міру заінтересованості продавця й покупця у здій</w:t>
      </w:r>
      <w:r>
        <w:rPr>
          <w:color w:val="000000"/>
          <w:sz w:val="25"/>
          <w:szCs w:val="25"/>
          <w:lang w:val="uk-UA"/>
        </w:rPr>
        <w:softHyphen/>
        <w:t>сненні купівлі-продажу. За зростання ціни заінтересованість прода</w:t>
      </w:r>
      <w:r>
        <w:rPr>
          <w:color w:val="000000"/>
          <w:sz w:val="25"/>
          <w:szCs w:val="25"/>
          <w:lang w:val="uk-UA"/>
        </w:rPr>
        <w:softHyphen/>
        <w:t>вця збільшується, а покупця — навпаки. Існують рівні ціни, коли заінтересованість і продавця і покупця дорівнює нулю: це — межа ціни, пропонованої продавцем (П), і межа ціни, що її просить поку</w:t>
      </w:r>
      <w:r>
        <w:rPr>
          <w:color w:val="000000"/>
          <w:sz w:val="25"/>
          <w:szCs w:val="25"/>
          <w:lang w:val="uk-UA"/>
        </w:rPr>
        <w:softHyphen/>
        <w:t>пець (І). Звідси визначається прийнятний рівень ціни (Ц). Продавець готовий продати цінні папери тільки за Ц &gt; П, а покупець — купити їх тільки за Ц &lt; І. Операція відбувається в діапазоні П &lt; Ц &lt; І.</w:t>
      </w:r>
    </w:p>
    <w:p w:rsidR="00BA4EA8" w:rsidRDefault="00BA4EA8" w:rsidP="00874085">
      <w:pPr>
        <w:shd w:val="clear" w:color="auto" w:fill="FFFFFF"/>
        <w:autoSpaceDE w:val="0"/>
        <w:autoSpaceDN w:val="0"/>
        <w:adjustRightInd w:val="0"/>
        <w:ind w:firstLine="708"/>
      </w:pPr>
      <w:r>
        <w:rPr>
          <w:color w:val="000000"/>
          <w:sz w:val="25"/>
          <w:szCs w:val="25"/>
          <w:lang w:val="uk-UA"/>
        </w:rPr>
        <w:t>З цієї аксіоми випливають два біржові правила котирування цін</w:t>
      </w:r>
      <w:r>
        <w:rPr>
          <w:color w:val="000000"/>
          <w:sz w:val="25"/>
          <w:szCs w:val="25"/>
          <w:lang w:val="uk-UA"/>
        </w:rPr>
        <w:softHyphen/>
        <w:t>них паперів.</w:t>
      </w:r>
    </w:p>
    <w:p w:rsidR="00BA4EA8" w:rsidRDefault="00BA4EA8" w:rsidP="00874085">
      <w:pPr>
        <w:ind w:firstLine="708"/>
        <w:rPr>
          <w:color w:val="000000"/>
          <w:sz w:val="25"/>
          <w:szCs w:val="25"/>
          <w:lang w:val="uk-UA"/>
        </w:rPr>
      </w:pPr>
      <w:r>
        <w:rPr>
          <w:color w:val="000000"/>
          <w:sz w:val="25"/>
          <w:szCs w:val="25"/>
          <w:lang w:val="uk-UA"/>
        </w:rPr>
        <w:t>а) заявки, у котрих є максимальні рівні цін на купівлю й міні</w:t>
      </w:r>
      <w:r>
        <w:rPr>
          <w:color w:val="000000"/>
          <w:sz w:val="25"/>
          <w:szCs w:val="25"/>
          <w:lang w:val="uk-UA"/>
        </w:rPr>
        <w:softHyphen/>
        <w:t>мальні — на продаж, мають виконуватися повністю (якщо немає впливу зовнішніх факторів);</w:t>
      </w:r>
    </w:p>
    <w:p w:rsidR="00874085" w:rsidRDefault="00874085" w:rsidP="00874085">
      <w:pPr>
        <w:shd w:val="clear" w:color="auto" w:fill="FFFFFF"/>
        <w:autoSpaceDE w:val="0"/>
        <w:autoSpaceDN w:val="0"/>
        <w:adjustRightInd w:val="0"/>
        <w:ind w:firstLine="708"/>
      </w:pPr>
      <w:r>
        <w:rPr>
          <w:color w:val="000000"/>
          <w:lang w:val="uk-UA"/>
        </w:rPr>
        <w:t>б) заявки, у котрих зазначаються ціни, що наближаються до мак</w:t>
      </w:r>
      <w:r>
        <w:rPr>
          <w:color w:val="000000"/>
          <w:lang w:val="uk-UA"/>
        </w:rPr>
        <w:softHyphen/>
        <w:t>симальних на купівлю і мінімальних на продаж, можуть виконува</w:t>
      </w:r>
      <w:r>
        <w:rPr>
          <w:color w:val="000000"/>
          <w:lang w:val="uk-UA"/>
        </w:rPr>
        <w:softHyphen/>
        <w:t>тися частково.</w:t>
      </w:r>
    </w:p>
    <w:p w:rsidR="00874085" w:rsidRDefault="00874085" w:rsidP="00874085">
      <w:pPr>
        <w:shd w:val="clear" w:color="auto" w:fill="FFFFFF"/>
        <w:autoSpaceDE w:val="0"/>
        <w:autoSpaceDN w:val="0"/>
        <w:adjustRightInd w:val="0"/>
        <w:ind w:firstLine="708"/>
      </w:pPr>
      <w:r>
        <w:rPr>
          <w:color w:val="000000"/>
          <w:lang w:val="uk-UA"/>
        </w:rPr>
        <w:t>Припустімо, що з кількості всіх заявок (наказів) на продаж цін</w:t>
      </w:r>
      <w:r>
        <w:rPr>
          <w:color w:val="000000"/>
          <w:lang w:val="uk-UA"/>
        </w:rPr>
        <w:softHyphen/>
        <w:t>них паперів певного виду є група заявок на продаж 50 цінних папе</w:t>
      </w:r>
      <w:r>
        <w:rPr>
          <w:color w:val="000000"/>
          <w:lang w:val="uk-UA"/>
        </w:rPr>
        <w:softHyphen/>
        <w:t>рів «за будь-якою ціною», тобто за ціною, що може скластися на фондовому ринку певного дня (зрозуміло, за найліпшим курсом). Припустімо також, що друга група заявок містить наказ продати 40 цінних паперів за ціною не нижче 550 грн. за кожний папір (вище можна, оскільки йдеться тільки про граничну ціну). Постає питання, скільки цінних паперів може бути продано за ціною 550 грн.? Від</w:t>
      </w:r>
      <w:r>
        <w:rPr>
          <w:color w:val="000000"/>
          <w:lang w:val="uk-UA"/>
        </w:rPr>
        <w:softHyphen/>
        <w:t>повідь очевидна: 50 + 40 = 90 цінних паперів, тому що продавці, ко</w:t>
      </w:r>
      <w:r>
        <w:rPr>
          <w:color w:val="000000"/>
          <w:lang w:val="uk-UA"/>
        </w:rPr>
        <w:softHyphen/>
        <w:t>трі були згодні продати свої 50 цінних паперів за будь-якою ціною, тим більше погодяться продати їх за 550 грн.</w:t>
      </w:r>
    </w:p>
    <w:p w:rsidR="00874085" w:rsidRDefault="00874085" w:rsidP="00874085">
      <w:pPr>
        <w:shd w:val="clear" w:color="auto" w:fill="FFFFFF"/>
        <w:autoSpaceDE w:val="0"/>
        <w:autoSpaceDN w:val="0"/>
        <w:adjustRightInd w:val="0"/>
        <w:ind w:firstLine="708"/>
      </w:pPr>
      <w:r>
        <w:rPr>
          <w:color w:val="000000"/>
          <w:lang w:val="uk-UA"/>
        </w:rPr>
        <w:t>Якщо третя група заявок міститиме наказ продати, наприклад, 60 цінних паперів за ціною 551 грн., то за цією ж ціною із задоволен</w:t>
      </w:r>
      <w:r>
        <w:rPr>
          <w:color w:val="000000"/>
          <w:lang w:val="uk-UA"/>
        </w:rPr>
        <w:softHyphen/>
        <w:t>ням продадуть свої папери і продавці перших двох груп. Отже, всьо</w:t>
      </w:r>
      <w:r>
        <w:rPr>
          <w:color w:val="000000"/>
          <w:lang w:val="uk-UA"/>
        </w:rPr>
        <w:softHyphen/>
        <w:t>го цінних паперів, що можуть бути продані за ціною 551 грн., буде вже 90+ 60= 150.</w:t>
      </w:r>
    </w:p>
    <w:p w:rsidR="00874085" w:rsidRDefault="00874085" w:rsidP="00874085">
      <w:pPr>
        <w:shd w:val="clear" w:color="auto" w:fill="FFFFFF"/>
        <w:autoSpaceDE w:val="0"/>
        <w:autoSpaceDN w:val="0"/>
        <w:adjustRightInd w:val="0"/>
        <w:ind w:firstLine="708"/>
      </w:pPr>
      <w:r>
        <w:rPr>
          <w:color w:val="000000"/>
          <w:lang w:val="uk-UA"/>
        </w:rPr>
        <w:t>Четверта група заявок містить наказ продати 55 цінних паперів за ціною 552 грн. Тоді всього паперів, що можуть бути продані за цією ціною, буде 150 + 55 = 205. І так далі, поки ціна не підніметься, на</w:t>
      </w:r>
      <w:r>
        <w:rPr>
          <w:color w:val="000000"/>
          <w:lang w:val="uk-UA"/>
        </w:rPr>
        <w:softHyphen/>
        <w:t>приклад, до рівня 556 грн. Вище продавці в нашому прикладі ціну не підніматимуть, розуміючи нереальність такого продажу.</w:t>
      </w:r>
    </w:p>
    <w:p w:rsidR="00874085" w:rsidRDefault="00874085" w:rsidP="00874085">
      <w:pPr>
        <w:ind w:firstLine="708"/>
        <w:rPr>
          <w:color w:val="000000"/>
          <w:lang w:val="uk-UA"/>
        </w:rPr>
      </w:pPr>
      <w:r>
        <w:rPr>
          <w:color w:val="000000"/>
          <w:lang w:val="uk-UA"/>
        </w:rPr>
        <w:t>Як бачимо, загальна кількість цінних паперів, котрі можуть бути продані за певною ціною, визначається з нарощуванням підсумку (табл. 2).</w:t>
      </w:r>
    </w:p>
    <w:p w:rsidR="00874085" w:rsidRDefault="00874085" w:rsidP="00874085">
      <w:pPr>
        <w:ind w:firstLine="708"/>
        <w:rPr>
          <w:color w:val="000000"/>
          <w:lang w:val="uk-UA"/>
        </w:rPr>
      </w:pPr>
    </w:p>
    <w:p w:rsidR="00874085" w:rsidRDefault="00874085" w:rsidP="00874085">
      <w:pPr>
        <w:pStyle w:val="2"/>
        <w:rPr>
          <w:lang w:val="uk-UA"/>
        </w:rPr>
      </w:pPr>
      <w:bookmarkStart w:id="3" w:name="_Toc10177601"/>
      <w:r>
        <w:rPr>
          <w:lang w:val="uk-UA"/>
        </w:rPr>
        <w:t>Таблиця 2</w:t>
      </w:r>
      <w:bookmarkEnd w:id="3"/>
    </w:p>
    <w:p w:rsidR="00874085" w:rsidRDefault="00874085" w:rsidP="00874085">
      <w:pPr>
        <w:rPr>
          <w:lang w:val="uk-UA"/>
        </w:rPr>
      </w:pPr>
    </w:p>
    <w:p w:rsidR="00874085" w:rsidRPr="00CB6593" w:rsidRDefault="00874085" w:rsidP="00874085">
      <w:pPr>
        <w:shd w:val="clear" w:color="auto" w:fill="FFFFFF"/>
        <w:autoSpaceDE w:val="0"/>
        <w:autoSpaceDN w:val="0"/>
        <w:adjustRightInd w:val="0"/>
      </w:pPr>
      <w:r w:rsidRPr="00CB6593">
        <w:rPr>
          <w:b/>
          <w:bCs/>
          <w:color w:val="000000"/>
          <w:lang w:val="uk-UA"/>
        </w:rPr>
        <w:t>СТРУКТУРА МАСИВУ ЦІННИХ ПАПЕРІВ У ЗАЯВКАХ ПА ПРОДАЖ</w:t>
      </w:r>
    </w:p>
    <w:tbl>
      <w:tblPr>
        <w:tblW w:w="0" w:type="auto"/>
        <w:jc w:val="center"/>
        <w:tblLayout w:type="fixed"/>
        <w:tblCellMar>
          <w:left w:w="40" w:type="dxa"/>
          <w:right w:w="40" w:type="dxa"/>
        </w:tblCellMar>
        <w:tblLook w:val="0000" w:firstRow="0" w:lastRow="0" w:firstColumn="0" w:lastColumn="0" w:noHBand="0" w:noVBand="0"/>
      </w:tblPr>
      <w:tblGrid>
        <w:gridCol w:w="1248"/>
        <w:gridCol w:w="2822"/>
        <w:gridCol w:w="2230"/>
        <w:gridCol w:w="2340"/>
      </w:tblGrid>
      <w:tr w:rsidR="00874085">
        <w:trPr>
          <w:trHeight w:val="326"/>
          <w:jc w:val="center"/>
        </w:trPr>
        <w:tc>
          <w:tcPr>
            <w:tcW w:w="1248" w:type="dxa"/>
            <w:vMerge w:val="restart"/>
            <w:tcBorders>
              <w:top w:val="single" w:sz="6" w:space="0" w:color="auto"/>
              <w:left w:val="single" w:sz="6" w:space="0" w:color="auto"/>
              <w:bottom w:val="nil"/>
              <w:right w:val="single" w:sz="6" w:space="0" w:color="auto"/>
            </w:tcBorders>
          </w:tcPr>
          <w:p w:rsidR="00874085" w:rsidRPr="00CB6593" w:rsidRDefault="00874085">
            <w:pPr>
              <w:shd w:val="clear" w:color="auto" w:fill="FFFFFF"/>
              <w:autoSpaceDE w:val="0"/>
              <w:autoSpaceDN w:val="0"/>
              <w:adjustRightInd w:val="0"/>
              <w:rPr>
                <w:sz w:val="22"/>
                <w:szCs w:val="22"/>
              </w:rPr>
            </w:pPr>
            <w:r w:rsidRPr="00CB6593">
              <w:rPr>
                <w:rFonts w:ascii="Arial" w:hAnsi="Arial"/>
                <w:color w:val="000000"/>
                <w:sz w:val="22"/>
                <w:szCs w:val="22"/>
                <w:lang w:val="uk-UA"/>
              </w:rPr>
              <w:t>№</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груп заявок</w:t>
            </w:r>
          </w:p>
          <w:p w:rsidR="00874085" w:rsidRPr="00CB6593" w:rsidRDefault="00874085">
            <w:pPr>
              <w:shd w:val="clear" w:color="auto" w:fill="FFFFFF"/>
              <w:autoSpaceDE w:val="0"/>
              <w:autoSpaceDN w:val="0"/>
              <w:adjustRightInd w:val="0"/>
              <w:rPr>
                <w:sz w:val="22"/>
                <w:szCs w:val="22"/>
              </w:rPr>
            </w:pPr>
          </w:p>
        </w:tc>
        <w:tc>
          <w:tcPr>
            <w:tcW w:w="2822" w:type="dxa"/>
            <w:vMerge w:val="restart"/>
            <w:tcBorders>
              <w:top w:val="single" w:sz="6" w:space="0" w:color="auto"/>
              <w:left w:val="single" w:sz="6" w:space="0" w:color="auto"/>
              <w:bottom w:val="nil"/>
              <w:right w:val="single" w:sz="6" w:space="0" w:color="auto"/>
            </w:tcBorders>
          </w:tcPr>
          <w:p w:rsidR="00874085" w:rsidRPr="00CB6593" w:rsidRDefault="00874085">
            <w:pPr>
              <w:shd w:val="clear" w:color="auto" w:fill="FFFFFF"/>
              <w:autoSpaceDE w:val="0"/>
              <w:autoSpaceDN w:val="0"/>
              <w:adjustRightInd w:val="0"/>
              <w:rPr>
                <w:sz w:val="22"/>
                <w:szCs w:val="22"/>
              </w:rPr>
            </w:pPr>
            <w:r w:rsidRPr="00CB6593">
              <w:rPr>
                <w:rFonts w:ascii="Arial" w:hAnsi="Arial"/>
                <w:color w:val="000000"/>
                <w:sz w:val="22"/>
                <w:szCs w:val="22"/>
                <w:lang w:val="uk-UA"/>
              </w:rPr>
              <w:t>Пропоновані</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граничні</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ціни</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грн</w:t>
            </w:r>
            <w:r w:rsidRPr="00CB6593">
              <w:rPr>
                <w:rFonts w:ascii="Arial" w:hAnsi="Arial" w:cs="Arial"/>
                <w:color w:val="000000"/>
                <w:sz w:val="22"/>
                <w:szCs w:val="22"/>
                <w:lang w:val="uk-UA"/>
              </w:rPr>
              <w:t>.</w:t>
            </w:r>
          </w:p>
          <w:p w:rsidR="00874085" w:rsidRPr="00CB6593" w:rsidRDefault="00874085">
            <w:pPr>
              <w:shd w:val="clear" w:color="auto" w:fill="FFFFFF"/>
              <w:autoSpaceDE w:val="0"/>
              <w:autoSpaceDN w:val="0"/>
              <w:adjustRightInd w:val="0"/>
              <w:rPr>
                <w:sz w:val="22"/>
                <w:szCs w:val="22"/>
              </w:rPr>
            </w:pPr>
          </w:p>
        </w:tc>
        <w:tc>
          <w:tcPr>
            <w:tcW w:w="4570" w:type="dxa"/>
            <w:gridSpan w:val="2"/>
            <w:tcBorders>
              <w:top w:val="single" w:sz="6" w:space="0" w:color="auto"/>
              <w:left w:val="single" w:sz="6" w:space="0" w:color="auto"/>
              <w:bottom w:val="single" w:sz="6" w:space="0" w:color="auto"/>
              <w:right w:val="single" w:sz="6" w:space="0" w:color="auto"/>
            </w:tcBorders>
          </w:tcPr>
          <w:p w:rsidR="00874085" w:rsidRPr="00CB6593" w:rsidRDefault="00874085">
            <w:pPr>
              <w:shd w:val="clear" w:color="auto" w:fill="FFFFFF"/>
              <w:autoSpaceDE w:val="0"/>
              <w:autoSpaceDN w:val="0"/>
              <w:adjustRightInd w:val="0"/>
              <w:rPr>
                <w:sz w:val="22"/>
                <w:szCs w:val="22"/>
              </w:rPr>
            </w:pPr>
            <w:r w:rsidRPr="00CB6593">
              <w:rPr>
                <w:rFonts w:ascii="Arial" w:hAnsi="Arial"/>
                <w:color w:val="000000"/>
                <w:sz w:val="22"/>
                <w:szCs w:val="22"/>
                <w:lang w:val="uk-UA"/>
              </w:rPr>
              <w:t>Кількість</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цінних</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паперів</w:t>
            </w:r>
          </w:p>
          <w:p w:rsidR="00874085" w:rsidRPr="00CB6593" w:rsidRDefault="00874085">
            <w:pPr>
              <w:shd w:val="clear" w:color="auto" w:fill="FFFFFF"/>
              <w:autoSpaceDE w:val="0"/>
              <w:autoSpaceDN w:val="0"/>
              <w:adjustRightInd w:val="0"/>
              <w:rPr>
                <w:sz w:val="22"/>
                <w:szCs w:val="22"/>
              </w:rPr>
            </w:pPr>
          </w:p>
        </w:tc>
      </w:tr>
      <w:tr w:rsidR="00874085">
        <w:trPr>
          <w:trHeight w:val="403"/>
          <w:jc w:val="center"/>
        </w:trPr>
        <w:tc>
          <w:tcPr>
            <w:tcW w:w="1248" w:type="dxa"/>
            <w:vMerge/>
            <w:tcBorders>
              <w:top w:val="nil"/>
              <w:left w:val="single" w:sz="6" w:space="0" w:color="auto"/>
              <w:bottom w:val="single" w:sz="6" w:space="0" w:color="auto"/>
              <w:right w:val="single" w:sz="6" w:space="0" w:color="auto"/>
            </w:tcBorders>
          </w:tcPr>
          <w:p w:rsidR="00874085" w:rsidRPr="00CB6593" w:rsidRDefault="00874085">
            <w:pPr>
              <w:autoSpaceDE w:val="0"/>
              <w:autoSpaceDN w:val="0"/>
              <w:adjustRightInd w:val="0"/>
              <w:rPr>
                <w:sz w:val="22"/>
                <w:szCs w:val="22"/>
              </w:rPr>
            </w:pPr>
          </w:p>
        </w:tc>
        <w:tc>
          <w:tcPr>
            <w:tcW w:w="2822" w:type="dxa"/>
            <w:vMerge/>
            <w:tcBorders>
              <w:top w:val="nil"/>
              <w:left w:val="single" w:sz="6" w:space="0" w:color="auto"/>
              <w:bottom w:val="single" w:sz="6" w:space="0" w:color="auto"/>
              <w:right w:val="single" w:sz="6" w:space="0" w:color="auto"/>
            </w:tcBorders>
          </w:tcPr>
          <w:p w:rsidR="00874085" w:rsidRPr="00CB6593" w:rsidRDefault="00874085">
            <w:pPr>
              <w:autoSpaceDE w:val="0"/>
              <w:autoSpaceDN w:val="0"/>
              <w:adjustRightInd w:val="0"/>
              <w:rPr>
                <w:sz w:val="22"/>
                <w:szCs w:val="22"/>
              </w:rPr>
            </w:pPr>
          </w:p>
        </w:tc>
        <w:tc>
          <w:tcPr>
            <w:tcW w:w="2230" w:type="dxa"/>
            <w:tcBorders>
              <w:top w:val="single" w:sz="6" w:space="0" w:color="auto"/>
              <w:left w:val="single" w:sz="6" w:space="0" w:color="auto"/>
              <w:bottom w:val="single" w:sz="6" w:space="0" w:color="auto"/>
              <w:right w:val="single" w:sz="6" w:space="0" w:color="auto"/>
            </w:tcBorders>
          </w:tcPr>
          <w:p w:rsidR="00874085" w:rsidRPr="00CB6593" w:rsidRDefault="00874085">
            <w:pPr>
              <w:shd w:val="clear" w:color="auto" w:fill="FFFFFF"/>
              <w:autoSpaceDE w:val="0"/>
              <w:autoSpaceDN w:val="0"/>
              <w:adjustRightInd w:val="0"/>
              <w:rPr>
                <w:sz w:val="22"/>
                <w:szCs w:val="22"/>
              </w:rPr>
            </w:pPr>
            <w:r w:rsidRPr="00CB6593">
              <w:rPr>
                <w:rFonts w:ascii="Arial" w:hAnsi="Arial"/>
                <w:color w:val="000000"/>
                <w:sz w:val="22"/>
                <w:szCs w:val="22"/>
                <w:lang w:val="uk-UA"/>
              </w:rPr>
              <w:t>за</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кожною групою</w:t>
            </w:r>
          </w:p>
          <w:p w:rsidR="00874085" w:rsidRPr="00CB6593" w:rsidRDefault="00874085">
            <w:pPr>
              <w:shd w:val="clear" w:color="auto" w:fill="FFFFFF"/>
              <w:autoSpaceDE w:val="0"/>
              <w:autoSpaceDN w:val="0"/>
              <w:adjustRightInd w:val="0"/>
              <w:rPr>
                <w:sz w:val="22"/>
                <w:szCs w:val="22"/>
              </w:rPr>
            </w:pPr>
          </w:p>
        </w:tc>
        <w:tc>
          <w:tcPr>
            <w:tcW w:w="2340" w:type="dxa"/>
            <w:tcBorders>
              <w:top w:val="single" w:sz="6" w:space="0" w:color="auto"/>
              <w:left w:val="single" w:sz="6" w:space="0" w:color="auto"/>
              <w:bottom w:val="single" w:sz="6" w:space="0" w:color="auto"/>
              <w:right w:val="single" w:sz="6" w:space="0" w:color="auto"/>
            </w:tcBorders>
          </w:tcPr>
          <w:p w:rsidR="00874085" w:rsidRPr="00CB6593" w:rsidRDefault="00874085">
            <w:pPr>
              <w:shd w:val="clear" w:color="auto" w:fill="FFFFFF"/>
              <w:autoSpaceDE w:val="0"/>
              <w:autoSpaceDN w:val="0"/>
              <w:adjustRightInd w:val="0"/>
              <w:rPr>
                <w:sz w:val="22"/>
                <w:szCs w:val="22"/>
              </w:rPr>
            </w:pPr>
            <w:r w:rsidRPr="00CB6593">
              <w:rPr>
                <w:rFonts w:ascii="Arial" w:hAnsi="Arial"/>
                <w:color w:val="000000"/>
                <w:sz w:val="22"/>
                <w:szCs w:val="22"/>
                <w:lang w:val="uk-UA"/>
              </w:rPr>
              <w:t>з</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нарощуванням підсумку</w:t>
            </w:r>
          </w:p>
          <w:p w:rsidR="00874085" w:rsidRPr="00CB6593" w:rsidRDefault="00874085">
            <w:pPr>
              <w:shd w:val="clear" w:color="auto" w:fill="FFFFFF"/>
              <w:autoSpaceDE w:val="0"/>
              <w:autoSpaceDN w:val="0"/>
              <w:adjustRightInd w:val="0"/>
              <w:rPr>
                <w:sz w:val="22"/>
                <w:szCs w:val="22"/>
              </w:rPr>
            </w:pPr>
          </w:p>
        </w:tc>
      </w:tr>
      <w:tr w:rsidR="00874085">
        <w:trPr>
          <w:trHeight w:val="288"/>
          <w:jc w:val="center"/>
        </w:trPr>
        <w:tc>
          <w:tcPr>
            <w:tcW w:w="1248" w:type="dxa"/>
            <w:vMerge w:val="restart"/>
            <w:tcBorders>
              <w:top w:val="single" w:sz="6" w:space="0" w:color="auto"/>
              <w:left w:val="single" w:sz="6" w:space="0" w:color="auto"/>
              <w:bottom w:val="nil"/>
              <w:right w:val="single" w:sz="6" w:space="0" w:color="auto"/>
            </w:tcBorders>
          </w:tcPr>
          <w:p w:rsidR="00CB6593" w:rsidRDefault="00CB6593" w:rsidP="00874085">
            <w:pPr>
              <w:shd w:val="clear" w:color="auto" w:fill="FFFFFF"/>
              <w:autoSpaceDE w:val="0"/>
              <w:autoSpaceDN w:val="0"/>
              <w:adjustRightInd w:val="0"/>
              <w:rPr>
                <w:lang w:val="uk-UA"/>
              </w:rPr>
            </w:pPr>
            <w:r>
              <w:rPr>
                <w:lang w:val="uk-UA"/>
              </w:rPr>
              <w:t>8</w:t>
            </w:r>
          </w:p>
          <w:p w:rsidR="00CB6593" w:rsidRDefault="00CB6593" w:rsidP="00874085">
            <w:pPr>
              <w:shd w:val="clear" w:color="auto" w:fill="FFFFFF"/>
              <w:autoSpaceDE w:val="0"/>
              <w:autoSpaceDN w:val="0"/>
              <w:adjustRightInd w:val="0"/>
              <w:rPr>
                <w:lang w:val="uk-UA"/>
              </w:rPr>
            </w:pPr>
          </w:p>
          <w:p w:rsidR="00CB6593" w:rsidRDefault="00CB6593" w:rsidP="00874085">
            <w:pPr>
              <w:shd w:val="clear" w:color="auto" w:fill="FFFFFF"/>
              <w:autoSpaceDE w:val="0"/>
              <w:autoSpaceDN w:val="0"/>
              <w:adjustRightInd w:val="0"/>
              <w:rPr>
                <w:lang w:val="uk-UA"/>
              </w:rPr>
            </w:pPr>
            <w:r>
              <w:rPr>
                <w:lang w:val="uk-UA"/>
              </w:rPr>
              <w:t>7</w:t>
            </w:r>
          </w:p>
          <w:p w:rsidR="00CB6593" w:rsidRDefault="00CB6593" w:rsidP="00874085">
            <w:pPr>
              <w:shd w:val="clear" w:color="auto" w:fill="FFFFFF"/>
              <w:autoSpaceDE w:val="0"/>
              <w:autoSpaceDN w:val="0"/>
              <w:adjustRightInd w:val="0"/>
              <w:rPr>
                <w:lang w:val="uk-UA"/>
              </w:rPr>
            </w:pPr>
          </w:p>
          <w:p w:rsidR="00CB6593" w:rsidRDefault="00CB6593" w:rsidP="00874085">
            <w:pPr>
              <w:shd w:val="clear" w:color="auto" w:fill="FFFFFF"/>
              <w:autoSpaceDE w:val="0"/>
              <w:autoSpaceDN w:val="0"/>
              <w:adjustRightInd w:val="0"/>
              <w:rPr>
                <w:lang w:val="uk-UA"/>
              </w:rPr>
            </w:pPr>
            <w:r>
              <w:rPr>
                <w:lang w:val="uk-UA"/>
              </w:rPr>
              <w:t>6</w:t>
            </w:r>
          </w:p>
          <w:p w:rsidR="00CB6593" w:rsidRDefault="00CB6593" w:rsidP="00874085">
            <w:pPr>
              <w:shd w:val="clear" w:color="auto" w:fill="FFFFFF"/>
              <w:autoSpaceDE w:val="0"/>
              <w:autoSpaceDN w:val="0"/>
              <w:adjustRightInd w:val="0"/>
              <w:rPr>
                <w:lang w:val="uk-UA"/>
              </w:rPr>
            </w:pPr>
          </w:p>
          <w:p w:rsidR="00CB6593" w:rsidRDefault="00CB6593" w:rsidP="00874085">
            <w:pPr>
              <w:shd w:val="clear" w:color="auto" w:fill="FFFFFF"/>
              <w:autoSpaceDE w:val="0"/>
              <w:autoSpaceDN w:val="0"/>
              <w:adjustRightInd w:val="0"/>
              <w:rPr>
                <w:lang w:val="uk-UA"/>
              </w:rPr>
            </w:pPr>
            <w:r>
              <w:rPr>
                <w:lang w:val="uk-UA"/>
              </w:rPr>
              <w:t>5</w:t>
            </w:r>
          </w:p>
          <w:p w:rsidR="00CB6593" w:rsidRDefault="00CB6593" w:rsidP="00874085">
            <w:pPr>
              <w:shd w:val="clear" w:color="auto" w:fill="FFFFFF"/>
              <w:autoSpaceDE w:val="0"/>
              <w:autoSpaceDN w:val="0"/>
              <w:adjustRightInd w:val="0"/>
              <w:rPr>
                <w:lang w:val="uk-UA"/>
              </w:rPr>
            </w:pPr>
          </w:p>
          <w:p w:rsidR="00CB6593" w:rsidRDefault="00CB6593" w:rsidP="00874085">
            <w:pPr>
              <w:shd w:val="clear" w:color="auto" w:fill="FFFFFF"/>
              <w:autoSpaceDE w:val="0"/>
              <w:autoSpaceDN w:val="0"/>
              <w:adjustRightInd w:val="0"/>
              <w:rPr>
                <w:lang w:val="uk-UA"/>
              </w:rPr>
            </w:pPr>
            <w:r>
              <w:rPr>
                <w:lang w:val="uk-UA"/>
              </w:rPr>
              <w:t>4</w:t>
            </w:r>
          </w:p>
          <w:p w:rsidR="00CB6593" w:rsidRDefault="00CB6593" w:rsidP="00874085">
            <w:pPr>
              <w:shd w:val="clear" w:color="auto" w:fill="FFFFFF"/>
              <w:autoSpaceDE w:val="0"/>
              <w:autoSpaceDN w:val="0"/>
              <w:adjustRightInd w:val="0"/>
              <w:rPr>
                <w:lang w:val="uk-UA"/>
              </w:rPr>
            </w:pPr>
            <w:r>
              <w:rPr>
                <w:lang w:val="uk-UA"/>
              </w:rPr>
              <w:t>3</w:t>
            </w:r>
          </w:p>
          <w:p w:rsidR="00CB6593" w:rsidRDefault="00CB6593" w:rsidP="00874085">
            <w:pPr>
              <w:shd w:val="clear" w:color="auto" w:fill="FFFFFF"/>
              <w:autoSpaceDE w:val="0"/>
              <w:autoSpaceDN w:val="0"/>
              <w:adjustRightInd w:val="0"/>
              <w:rPr>
                <w:lang w:val="uk-UA"/>
              </w:rPr>
            </w:pPr>
          </w:p>
          <w:p w:rsidR="00CB6593" w:rsidRDefault="00CB6593" w:rsidP="00874085">
            <w:pPr>
              <w:shd w:val="clear" w:color="auto" w:fill="FFFFFF"/>
              <w:autoSpaceDE w:val="0"/>
              <w:autoSpaceDN w:val="0"/>
              <w:adjustRightInd w:val="0"/>
              <w:rPr>
                <w:lang w:val="uk-UA"/>
              </w:rPr>
            </w:pPr>
            <w:r>
              <w:rPr>
                <w:lang w:val="uk-UA"/>
              </w:rPr>
              <w:t>2</w:t>
            </w:r>
          </w:p>
          <w:p w:rsidR="00CB6593" w:rsidRDefault="00CB6593" w:rsidP="00874085">
            <w:pPr>
              <w:shd w:val="clear" w:color="auto" w:fill="FFFFFF"/>
              <w:autoSpaceDE w:val="0"/>
              <w:autoSpaceDN w:val="0"/>
              <w:adjustRightInd w:val="0"/>
              <w:rPr>
                <w:lang w:val="uk-UA"/>
              </w:rPr>
            </w:pPr>
          </w:p>
          <w:p w:rsidR="00874085" w:rsidRPr="00CB6593" w:rsidRDefault="00CB6593" w:rsidP="00874085">
            <w:pPr>
              <w:shd w:val="clear" w:color="auto" w:fill="FFFFFF"/>
              <w:autoSpaceDE w:val="0"/>
              <w:autoSpaceDN w:val="0"/>
              <w:adjustRightInd w:val="0"/>
              <w:rPr>
                <w:lang w:val="uk-UA"/>
              </w:rPr>
            </w:pPr>
            <w:r>
              <w:rPr>
                <w:lang w:val="uk-UA"/>
              </w:rPr>
              <w:t>1</w:t>
            </w: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556</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20</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325 + 20 = 345</w:t>
            </w:r>
          </w:p>
          <w:p w:rsidR="00874085" w:rsidRDefault="00874085">
            <w:pPr>
              <w:shd w:val="clear" w:color="auto" w:fill="FFFFFF"/>
              <w:autoSpaceDE w:val="0"/>
              <w:autoSpaceDN w:val="0"/>
              <w:adjustRightInd w:val="0"/>
            </w:pPr>
          </w:p>
        </w:tc>
      </w:tr>
      <w:tr w:rsidR="00874085">
        <w:trPr>
          <w:trHeight w:val="278"/>
          <w:jc w:val="center"/>
        </w:trPr>
        <w:tc>
          <w:tcPr>
            <w:tcW w:w="1248" w:type="dxa"/>
            <w:vMerge/>
            <w:tcBorders>
              <w:top w:val="nil"/>
              <w:left w:val="single" w:sz="6" w:space="0" w:color="auto"/>
              <w:bottom w:val="nil"/>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555</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olor w:val="000000"/>
                <w:sz w:val="17"/>
                <w:szCs w:val="17"/>
                <w:lang w:val="uk-UA"/>
              </w:rPr>
              <w:t>ЗО</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 xml:space="preserve">295 + </w:t>
            </w:r>
            <w:r>
              <w:rPr>
                <w:rFonts w:ascii="Arial" w:hAnsi="Arial"/>
                <w:color w:val="000000"/>
                <w:sz w:val="17"/>
                <w:szCs w:val="17"/>
                <w:lang w:val="uk-UA"/>
              </w:rPr>
              <w:t>ЗО</w:t>
            </w:r>
            <w:r>
              <w:rPr>
                <w:rFonts w:ascii="Arial" w:hAnsi="Arial" w:cs="Arial"/>
                <w:color w:val="000000"/>
                <w:sz w:val="17"/>
                <w:szCs w:val="17"/>
                <w:lang w:val="uk-UA"/>
              </w:rPr>
              <w:t xml:space="preserve"> = 325</w:t>
            </w:r>
          </w:p>
          <w:p w:rsidR="00874085" w:rsidRDefault="00874085">
            <w:pPr>
              <w:shd w:val="clear" w:color="auto" w:fill="FFFFFF"/>
              <w:autoSpaceDE w:val="0"/>
              <w:autoSpaceDN w:val="0"/>
              <w:adjustRightInd w:val="0"/>
            </w:pPr>
          </w:p>
        </w:tc>
      </w:tr>
      <w:tr w:rsidR="00874085">
        <w:trPr>
          <w:trHeight w:val="288"/>
          <w:jc w:val="center"/>
        </w:trPr>
        <w:tc>
          <w:tcPr>
            <w:tcW w:w="1248" w:type="dxa"/>
            <w:vMerge/>
            <w:tcBorders>
              <w:top w:val="nil"/>
              <w:left w:val="single" w:sz="6" w:space="0" w:color="auto"/>
              <w:bottom w:val="nil"/>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554</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40</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255 + 40 = 295</w:t>
            </w:r>
          </w:p>
          <w:p w:rsidR="00874085" w:rsidRDefault="00874085">
            <w:pPr>
              <w:shd w:val="clear" w:color="auto" w:fill="FFFFFF"/>
              <w:autoSpaceDE w:val="0"/>
              <w:autoSpaceDN w:val="0"/>
              <w:adjustRightInd w:val="0"/>
            </w:pPr>
          </w:p>
        </w:tc>
      </w:tr>
      <w:tr w:rsidR="00874085">
        <w:trPr>
          <w:trHeight w:val="278"/>
          <w:jc w:val="center"/>
        </w:trPr>
        <w:tc>
          <w:tcPr>
            <w:tcW w:w="1248" w:type="dxa"/>
            <w:vMerge/>
            <w:tcBorders>
              <w:top w:val="nil"/>
              <w:left w:val="single" w:sz="6" w:space="0" w:color="auto"/>
              <w:bottom w:val="nil"/>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553</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50</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205 + 50 = 255</w:t>
            </w:r>
          </w:p>
          <w:p w:rsidR="00874085" w:rsidRDefault="00874085">
            <w:pPr>
              <w:shd w:val="clear" w:color="auto" w:fill="FFFFFF"/>
              <w:autoSpaceDE w:val="0"/>
              <w:autoSpaceDN w:val="0"/>
              <w:adjustRightInd w:val="0"/>
            </w:pPr>
          </w:p>
        </w:tc>
      </w:tr>
      <w:tr w:rsidR="00874085">
        <w:trPr>
          <w:trHeight w:val="278"/>
          <w:jc w:val="center"/>
        </w:trPr>
        <w:tc>
          <w:tcPr>
            <w:tcW w:w="1248" w:type="dxa"/>
            <w:vMerge/>
            <w:tcBorders>
              <w:top w:val="nil"/>
              <w:left w:val="single" w:sz="6" w:space="0" w:color="auto"/>
              <w:bottom w:val="nil"/>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552</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155 + 55 = 210</w:t>
            </w:r>
          </w:p>
          <w:p w:rsidR="00874085" w:rsidRDefault="00874085">
            <w:pPr>
              <w:shd w:val="clear" w:color="auto" w:fill="FFFFFF"/>
              <w:autoSpaceDE w:val="0"/>
              <w:autoSpaceDN w:val="0"/>
              <w:adjustRightInd w:val="0"/>
            </w:pPr>
          </w:p>
        </w:tc>
      </w:tr>
      <w:tr w:rsidR="00874085">
        <w:trPr>
          <w:trHeight w:val="288"/>
          <w:jc w:val="center"/>
        </w:trPr>
        <w:tc>
          <w:tcPr>
            <w:tcW w:w="1248" w:type="dxa"/>
            <w:vMerge/>
            <w:tcBorders>
              <w:top w:val="nil"/>
              <w:left w:val="single" w:sz="6" w:space="0" w:color="auto"/>
              <w:bottom w:val="nil"/>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551</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60</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90 + 60=150</w:t>
            </w:r>
          </w:p>
          <w:p w:rsidR="00874085" w:rsidRDefault="00874085">
            <w:pPr>
              <w:shd w:val="clear" w:color="auto" w:fill="FFFFFF"/>
              <w:autoSpaceDE w:val="0"/>
              <w:autoSpaceDN w:val="0"/>
              <w:adjustRightInd w:val="0"/>
            </w:pPr>
          </w:p>
        </w:tc>
      </w:tr>
      <w:tr w:rsidR="00874085">
        <w:trPr>
          <w:trHeight w:val="278"/>
          <w:jc w:val="center"/>
        </w:trPr>
        <w:tc>
          <w:tcPr>
            <w:tcW w:w="1248" w:type="dxa"/>
            <w:vMerge/>
            <w:tcBorders>
              <w:top w:val="nil"/>
              <w:left w:val="single" w:sz="6" w:space="0" w:color="auto"/>
              <w:bottom w:val="nil"/>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550</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40</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50 + 40 = 90</w:t>
            </w:r>
          </w:p>
          <w:p w:rsidR="00874085" w:rsidRDefault="00874085">
            <w:pPr>
              <w:shd w:val="clear" w:color="auto" w:fill="FFFFFF"/>
              <w:autoSpaceDE w:val="0"/>
              <w:autoSpaceDN w:val="0"/>
              <w:adjustRightInd w:val="0"/>
            </w:pPr>
          </w:p>
        </w:tc>
      </w:tr>
      <w:tr w:rsidR="00874085">
        <w:trPr>
          <w:trHeight w:val="336"/>
          <w:jc w:val="center"/>
        </w:trPr>
        <w:tc>
          <w:tcPr>
            <w:tcW w:w="1248" w:type="dxa"/>
            <w:vMerge/>
            <w:tcBorders>
              <w:top w:val="nil"/>
              <w:left w:val="single" w:sz="6" w:space="0" w:color="auto"/>
              <w:bottom w:val="single" w:sz="6" w:space="0" w:color="auto"/>
              <w:right w:val="single" w:sz="6" w:space="0" w:color="auto"/>
            </w:tcBorders>
          </w:tcPr>
          <w:p w:rsidR="00874085" w:rsidRDefault="00874085">
            <w:pPr>
              <w:autoSpaceDE w:val="0"/>
              <w:autoSpaceDN w:val="0"/>
              <w:adjustRightInd w:val="0"/>
            </w:pPr>
          </w:p>
        </w:tc>
        <w:tc>
          <w:tcPr>
            <w:tcW w:w="2822" w:type="dxa"/>
            <w:tcBorders>
              <w:top w:val="single" w:sz="6" w:space="0" w:color="auto"/>
              <w:left w:val="single" w:sz="6" w:space="0" w:color="auto"/>
              <w:bottom w:val="single" w:sz="6" w:space="0" w:color="auto"/>
              <w:right w:val="single" w:sz="6" w:space="0" w:color="auto"/>
            </w:tcBorders>
          </w:tcPr>
          <w:p w:rsidR="00874085" w:rsidRPr="00CB6593" w:rsidRDefault="00874085">
            <w:pPr>
              <w:shd w:val="clear" w:color="auto" w:fill="FFFFFF"/>
              <w:autoSpaceDE w:val="0"/>
              <w:autoSpaceDN w:val="0"/>
              <w:adjustRightInd w:val="0"/>
              <w:rPr>
                <w:sz w:val="22"/>
                <w:szCs w:val="22"/>
              </w:rPr>
            </w:pPr>
            <w:r w:rsidRPr="00CB6593">
              <w:rPr>
                <w:rFonts w:ascii="Arial" w:hAnsi="Arial"/>
                <w:color w:val="000000"/>
                <w:sz w:val="22"/>
                <w:szCs w:val="22"/>
                <w:lang w:val="uk-UA"/>
              </w:rPr>
              <w:t>продати</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за</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будь</w:t>
            </w:r>
            <w:r w:rsidRPr="00CB6593">
              <w:rPr>
                <w:rFonts w:ascii="Arial" w:hAnsi="Arial" w:cs="Arial"/>
                <w:color w:val="000000"/>
                <w:sz w:val="22"/>
                <w:szCs w:val="22"/>
                <w:lang w:val="uk-UA"/>
              </w:rPr>
              <w:t>-</w:t>
            </w:r>
            <w:r w:rsidRPr="00CB6593">
              <w:rPr>
                <w:rFonts w:ascii="Arial" w:hAnsi="Arial"/>
                <w:color w:val="000000"/>
                <w:sz w:val="22"/>
                <w:szCs w:val="22"/>
                <w:lang w:val="uk-UA"/>
              </w:rPr>
              <w:t>якою</w:t>
            </w:r>
            <w:r w:rsidRPr="00CB6593">
              <w:rPr>
                <w:rFonts w:ascii="Arial" w:hAnsi="Arial" w:cs="Arial"/>
                <w:color w:val="000000"/>
                <w:sz w:val="22"/>
                <w:szCs w:val="22"/>
                <w:lang w:val="uk-UA"/>
              </w:rPr>
              <w:t xml:space="preserve"> </w:t>
            </w:r>
            <w:r w:rsidRPr="00CB6593">
              <w:rPr>
                <w:rFonts w:ascii="Arial" w:hAnsi="Arial"/>
                <w:color w:val="000000"/>
                <w:sz w:val="22"/>
                <w:szCs w:val="22"/>
                <w:lang w:val="uk-UA"/>
              </w:rPr>
              <w:t>ціною</w:t>
            </w:r>
          </w:p>
          <w:p w:rsidR="00874085" w:rsidRDefault="00874085">
            <w:pPr>
              <w:shd w:val="clear" w:color="auto" w:fill="FFFFFF"/>
              <w:autoSpaceDE w:val="0"/>
              <w:autoSpaceDN w:val="0"/>
              <w:adjustRightInd w:val="0"/>
            </w:pPr>
          </w:p>
        </w:tc>
        <w:tc>
          <w:tcPr>
            <w:tcW w:w="223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50</w:t>
            </w:r>
          </w:p>
          <w:p w:rsidR="00874085" w:rsidRDefault="00874085">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874085" w:rsidRDefault="00874085">
            <w:pPr>
              <w:shd w:val="clear" w:color="auto" w:fill="FFFFFF"/>
              <w:autoSpaceDE w:val="0"/>
              <w:autoSpaceDN w:val="0"/>
              <w:adjustRightInd w:val="0"/>
            </w:pPr>
            <w:r>
              <w:rPr>
                <w:rFonts w:ascii="Arial" w:hAnsi="Arial" w:cs="Arial"/>
                <w:color w:val="000000"/>
                <w:sz w:val="17"/>
                <w:szCs w:val="17"/>
                <w:lang w:val="uk-UA"/>
              </w:rPr>
              <w:t>50</w:t>
            </w:r>
          </w:p>
          <w:p w:rsidR="00874085" w:rsidRDefault="00874085">
            <w:pPr>
              <w:shd w:val="clear" w:color="auto" w:fill="FFFFFF"/>
              <w:autoSpaceDE w:val="0"/>
              <w:autoSpaceDN w:val="0"/>
              <w:adjustRightInd w:val="0"/>
            </w:pPr>
          </w:p>
        </w:tc>
      </w:tr>
    </w:tbl>
    <w:p w:rsidR="00874085" w:rsidRDefault="00874085" w:rsidP="00874085">
      <w:pPr>
        <w:rPr>
          <w:lang w:val="uk-UA"/>
        </w:rPr>
      </w:pPr>
    </w:p>
    <w:p w:rsidR="00CB6593" w:rsidRPr="00CB6593" w:rsidRDefault="00CB6593" w:rsidP="00CB6593">
      <w:pPr>
        <w:shd w:val="clear" w:color="auto" w:fill="FFFFFF"/>
        <w:autoSpaceDE w:val="0"/>
        <w:autoSpaceDN w:val="0"/>
        <w:adjustRightInd w:val="0"/>
        <w:ind w:firstLine="708"/>
        <w:rPr>
          <w:lang w:val="uk-UA"/>
        </w:rPr>
      </w:pPr>
      <w:r>
        <w:rPr>
          <w:color w:val="000000"/>
          <w:lang w:val="uk-UA"/>
        </w:rPr>
        <w:t>Оскільки інтереси продавця й покупця щодо ціни протилежні (продавця цікавить вища ціна, а покупця — нижча), то підсумову</w:t>
      </w:r>
      <w:r>
        <w:rPr>
          <w:color w:val="000000"/>
          <w:lang w:val="uk-UA"/>
        </w:rPr>
        <w:softHyphen/>
        <w:t>вання кількості куплених цінних паперів відбуватиметься у зворот</w:t>
      </w:r>
      <w:r>
        <w:rPr>
          <w:color w:val="000000"/>
          <w:lang w:val="uk-UA"/>
        </w:rPr>
        <w:softHyphen/>
        <w:t>ному порядку — від найбільшої ціни до найменшої (табл. 3).</w:t>
      </w:r>
    </w:p>
    <w:p w:rsidR="00CB6593" w:rsidRDefault="00CB6593" w:rsidP="00CB6593">
      <w:pPr>
        <w:ind w:firstLine="708"/>
        <w:rPr>
          <w:color w:val="000000"/>
          <w:lang w:val="uk-UA"/>
        </w:rPr>
      </w:pPr>
      <w:r>
        <w:rPr>
          <w:color w:val="000000"/>
          <w:lang w:val="uk-UA"/>
        </w:rPr>
        <w:t>Продовжуючи думку (але вже з позиції покупця), зазначимо, що серед заявок на купівлю цінних паперів є група заявок на купівлю 70 цінних паперів «за будь-якою ціною» (за найліпшим курсом, який просять), що може скластися на даній біржі в даний день. Припусті</w:t>
      </w:r>
      <w:r>
        <w:rPr>
          <w:color w:val="000000"/>
          <w:lang w:val="uk-UA"/>
        </w:rPr>
        <w:softHyphen/>
        <w:t>мо також, що друга група заявок покупців містить наказ на купівлю 60 цінних паперів за ціною не вище 556 грн. за кожний цінний папір (нижче, зрозуміло, можна). Отже, за ціною 556 грн. можна купити 70 + 60 = 130 цінних паперів, оскільки покупці першої групи з раді</w:t>
      </w:r>
      <w:r>
        <w:rPr>
          <w:color w:val="000000"/>
          <w:lang w:val="uk-UA"/>
        </w:rPr>
        <w:softHyphen/>
        <w:t>стю приєднаються до покупців другої групи (так само, як це раніше зробили продавці).</w:t>
      </w:r>
    </w:p>
    <w:p w:rsidR="00CB6593" w:rsidRDefault="00CB6593" w:rsidP="00CB6593">
      <w:pPr>
        <w:shd w:val="clear" w:color="auto" w:fill="FFFFFF"/>
        <w:autoSpaceDE w:val="0"/>
        <w:autoSpaceDN w:val="0"/>
        <w:adjustRightInd w:val="0"/>
        <w:rPr>
          <w:color w:val="000000"/>
          <w:sz w:val="21"/>
          <w:szCs w:val="21"/>
          <w:lang w:val="uk-UA"/>
        </w:rPr>
      </w:pPr>
    </w:p>
    <w:p w:rsidR="00CB6593" w:rsidRDefault="00CB6593" w:rsidP="00CB6593">
      <w:pPr>
        <w:pStyle w:val="2"/>
        <w:rPr>
          <w:lang w:val="uk-UA"/>
        </w:rPr>
      </w:pPr>
      <w:bookmarkStart w:id="4" w:name="_Toc10177602"/>
      <w:r>
        <w:rPr>
          <w:lang w:val="uk-UA"/>
        </w:rPr>
        <w:t>Таблиця 3</w:t>
      </w:r>
      <w:bookmarkEnd w:id="4"/>
    </w:p>
    <w:p w:rsidR="00CB6593" w:rsidRDefault="00CB6593" w:rsidP="00CB6593">
      <w:pPr>
        <w:shd w:val="clear" w:color="auto" w:fill="FFFFFF"/>
        <w:autoSpaceDE w:val="0"/>
        <w:autoSpaceDN w:val="0"/>
        <w:adjustRightInd w:val="0"/>
      </w:pPr>
    </w:p>
    <w:p w:rsidR="00CB6593" w:rsidRPr="00CB6593" w:rsidRDefault="00CB6593" w:rsidP="00CB6593">
      <w:pPr>
        <w:shd w:val="clear" w:color="auto" w:fill="FFFFFF"/>
        <w:autoSpaceDE w:val="0"/>
        <w:autoSpaceDN w:val="0"/>
        <w:adjustRightInd w:val="0"/>
      </w:pPr>
      <w:r w:rsidRPr="00CB6593">
        <w:rPr>
          <w:b/>
          <w:bCs/>
          <w:color w:val="000000"/>
          <w:lang w:val="uk-UA"/>
        </w:rPr>
        <w:t>СТРУКТУРА МАСИВУ ЦІННИХ ПАПЕРІВ У ЗАЯВКАХ НА КУПІВЛЮ</w:t>
      </w:r>
    </w:p>
    <w:tbl>
      <w:tblPr>
        <w:tblW w:w="0" w:type="auto"/>
        <w:tblInd w:w="40" w:type="dxa"/>
        <w:tblLayout w:type="fixed"/>
        <w:tblCellMar>
          <w:left w:w="40" w:type="dxa"/>
          <w:right w:w="40" w:type="dxa"/>
        </w:tblCellMar>
        <w:tblLook w:val="0000" w:firstRow="0" w:lastRow="0" w:firstColumn="0" w:lastColumn="0" w:noHBand="0" w:noVBand="0"/>
      </w:tblPr>
      <w:tblGrid>
        <w:gridCol w:w="1260"/>
        <w:gridCol w:w="3240"/>
        <w:gridCol w:w="2340"/>
        <w:gridCol w:w="2340"/>
      </w:tblGrid>
      <w:tr w:rsidR="00CB6593">
        <w:trPr>
          <w:trHeight w:val="298"/>
        </w:trPr>
        <w:tc>
          <w:tcPr>
            <w:tcW w:w="1260" w:type="dxa"/>
            <w:vMerge w:val="restart"/>
            <w:tcBorders>
              <w:top w:val="single" w:sz="6" w:space="0" w:color="auto"/>
              <w:left w:val="single" w:sz="6" w:space="0" w:color="auto"/>
              <w:bottom w:val="nil"/>
              <w:right w:val="single" w:sz="6" w:space="0" w:color="auto"/>
            </w:tcBorders>
          </w:tcPr>
          <w:p w:rsidR="00CB6593" w:rsidRPr="00CB6593" w:rsidRDefault="00CB6593">
            <w:pPr>
              <w:shd w:val="clear" w:color="auto" w:fill="FFFFFF"/>
              <w:autoSpaceDE w:val="0"/>
              <w:autoSpaceDN w:val="0"/>
              <w:adjustRightInd w:val="0"/>
              <w:rPr>
                <w:sz w:val="22"/>
                <w:szCs w:val="22"/>
              </w:rPr>
            </w:pPr>
            <w:r w:rsidRPr="00CB6593">
              <w:rPr>
                <w:color w:val="000000"/>
                <w:sz w:val="22"/>
                <w:szCs w:val="22"/>
                <w:lang w:val="uk-UA"/>
              </w:rPr>
              <w:t>№ груп заявок</w:t>
            </w:r>
          </w:p>
          <w:p w:rsidR="00CB6593" w:rsidRPr="00CB6593" w:rsidRDefault="00CB6593">
            <w:pPr>
              <w:shd w:val="clear" w:color="auto" w:fill="FFFFFF"/>
              <w:autoSpaceDE w:val="0"/>
              <w:autoSpaceDN w:val="0"/>
              <w:adjustRightInd w:val="0"/>
              <w:rPr>
                <w:sz w:val="22"/>
                <w:szCs w:val="22"/>
              </w:rPr>
            </w:pPr>
          </w:p>
        </w:tc>
        <w:tc>
          <w:tcPr>
            <w:tcW w:w="3240" w:type="dxa"/>
            <w:vMerge w:val="restart"/>
            <w:tcBorders>
              <w:top w:val="single" w:sz="6" w:space="0" w:color="auto"/>
              <w:left w:val="single" w:sz="6" w:space="0" w:color="auto"/>
              <w:bottom w:val="nil"/>
              <w:right w:val="single" w:sz="6" w:space="0" w:color="auto"/>
            </w:tcBorders>
          </w:tcPr>
          <w:p w:rsidR="00CB6593" w:rsidRPr="00CB6593" w:rsidRDefault="00CB6593">
            <w:pPr>
              <w:shd w:val="clear" w:color="auto" w:fill="FFFFFF"/>
              <w:autoSpaceDE w:val="0"/>
              <w:autoSpaceDN w:val="0"/>
              <w:adjustRightInd w:val="0"/>
              <w:rPr>
                <w:sz w:val="22"/>
                <w:szCs w:val="22"/>
              </w:rPr>
            </w:pPr>
            <w:r w:rsidRPr="00CB6593">
              <w:rPr>
                <w:color w:val="000000"/>
                <w:sz w:val="22"/>
                <w:szCs w:val="22"/>
                <w:lang w:val="uk-UA"/>
              </w:rPr>
              <w:t>Пропоновані граничні ціни. гри.</w:t>
            </w:r>
          </w:p>
          <w:p w:rsidR="00CB6593" w:rsidRPr="00CB6593" w:rsidRDefault="00CB6593">
            <w:pPr>
              <w:shd w:val="clear" w:color="auto" w:fill="FFFFFF"/>
              <w:autoSpaceDE w:val="0"/>
              <w:autoSpaceDN w:val="0"/>
              <w:adjustRightInd w:val="0"/>
              <w:rPr>
                <w:sz w:val="22"/>
                <w:szCs w:val="22"/>
              </w:rPr>
            </w:pPr>
          </w:p>
        </w:tc>
        <w:tc>
          <w:tcPr>
            <w:tcW w:w="4680" w:type="dxa"/>
            <w:gridSpan w:val="2"/>
            <w:tcBorders>
              <w:top w:val="single" w:sz="6" w:space="0" w:color="auto"/>
              <w:left w:val="single" w:sz="6" w:space="0" w:color="auto"/>
              <w:bottom w:val="single" w:sz="6" w:space="0" w:color="auto"/>
              <w:right w:val="single" w:sz="6" w:space="0" w:color="auto"/>
            </w:tcBorders>
          </w:tcPr>
          <w:p w:rsidR="00CB6593" w:rsidRPr="00CB6593" w:rsidRDefault="00CB6593">
            <w:pPr>
              <w:shd w:val="clear" w:color="auto" w:fill="FFFFFF"/>
              <w:autoSpaceDE w:val="0"/>
              <w:autoSpaceDN w:val="0"/>
              <w:adjustRightInd w:val="0"/>
              <w:rPr>
                <w:sz w:val="22"/>
                <w:szCs w:val="22"/>
              </w:rPr>
            </w:pPr>
            <w:r w:rsidRPr="00CB6593">
              <w:rPr>
                <w:color w:val="000000"/>
                <w:sz w:val="22"/>
                <w:szCs w:val="22"/>
                <w:lang w:val="uk-UA"/>
              </w:rPr>
              <w:t>Кількість цінних паперів</w:t>
            </w:r>
          </w:p>
          <w:p w:rsidR="00CB6593" w:rsidRPr="00CB6593" w:rsidRDefault="00CB6593">
            <w:pPr>
              <w:shd w:val="clear" w:color="auto" w:fill="FFFFFF"/>
              <w:autoSpaceDE w:val="0"/>
              <w:autoSpaceDN w:val="0"/>
              <w:adjustRightInd w:val="0"/>
              <w:rPr>
                <w:sz w:val="22"/>
                <w:szCs w:val="22"/>
              </w:rPr>
            </w:pPr>
          </w:p>
        </w:tc>
      </w:tr>
      <w:tr w:rsidR="00CB6593">
        <w:trPr>
          <w:trHeight w:val="432"/>
        </w:trPr>
        <w:tc>
          <w:tcPr>
            <w:tcW w:w="1260" w:type="dxa"/>
            <w:vMerge/>
            <w:tcBorders>
              <w:top w:val="nil"/>
              <w:left w:val="single" w:sz="6" w:space="0" w:color="auto"/>
              <w:bottom w:val="single" w:sz="6" w:space="0" w:color="auto"/>
              <w:right w:val="single" w:sz="6" w:space="0" w:color="auto"/>
            </w:tcBorders>
          </w:tcPr>
          <w:p w:rsidR="00CB6593" w:rsidRPr="00CB6593" w:rsidRDefault="00CB6593">
            <w:pPr>
              <w:autoSpaceDE w:val="0"/>
              <w:autoSpaceDN w:val="0"/>
              <w:adjustRightInd w:val="0"/>
              <w:rPr>
                <w:sz w:val="22"/>
                <w:szCs w:val="22"/>
              </w:rPr>
            </w:pPr>
          </w:p>
        </w:tc>
        <w:tc>
          <w:tcPr>
            <w:tcW w:w="3240" w:type="dxa"/>
            <w:vMerge/>
            <w:tcBorders>
              <w:top w:val="nil"/>
              <w:left w:val="single" w:sz="6" w:space="0" w:color="auto"/>
              <w:bottom w:val="single" w:sz="6" w:space="0" w:color="auto"/>
              <w:right w:val="single" w:sz="6" w:space="0" w:color="auto"/>
            </w:tcBorders>
          </w:tcPr>
          <w:p w:rsidR="00CB6593" w:rsidRPr="00CB6593" w:rsidRDefault="00CB6593">
            <w:pPr>
              <w:autoSpaceDE w:val="0"/>
              <w:autoSpaceDN w:val="0"/>
              <w:adjustRightInd w:val="0"/>
              <w:rPr>
                <w:sz w:val="22"/>
                <w:szCs w:val="22"/>
              </w:rPr>
            </w:pPr>
          </w:p>
        </w:tc>
        <w:tc>
          <w:tcPr>
            <w:tcW w:w="2340" w:type="dxa"/>
            <w:tcBorders>
              <w:top w:val="single" w:sz="6" w:space="0" w:color="auto"/>
              <w:left w:val="single" w:sz="6" w:space="0" w:color="auto"/>
              <w:bottom w:val="single" w:sz="6" w:space="0" w:color="auto"/>
              <w:right w:val="single" w:sz="6" w:space="0" w:color="auto"/>
            </w:tcBorders>
          </w:tcPr>
          <w:p w:rsidR="00CB6593" w:rsidRPr="00CB6593" w:rsidRDefault="00CB6593">
            <w:pPr>
              <w:shd w:val="clear" w:color="auto" w:fill="FFFFFF"/>
              <w:autoSpaceDE w:val="0"/>
              <w:autoSpaceDN w:val="0"/>
              <w:adjustRightInd w:val="0"/>
              <w:rPr>
                <w:sz w:val="22"/>
                <w:szCs w:val="22"/>
              </w:rPr>
            </w:pPr>
            <w:r w:rsidRPr="00CB6593">
              <w:rPr>
                <w:color w:val="000000"/>
                <w:sz w:val="22"/>
                <w:szCs w:val="22"/>
                <w:lang w:val="uk-UA"/>
              </w:rPr>
              <w:t>за кожною групою</w:t>
            </w:r>
          </w:p>
          <w:p w:rsidR="00CB6593" w:rsidRPr="00CB6593" w:rsidRDefault="00CB6593">
            <w:pPr>
              <w:shd w:val="clear" w:color="auto" w:fill="FFFFFF"/>
              <w:autoSpaceDE w:val="0"/>
              <w:autoSpaceDN w:val="0"/>
              <w:adjustRightInd w:val="0"/>
              <w:rPr>
                <w:sz w:val="22"/>
                <w:szCs w:val="22"/>
              </w:rPr>
            </w:pPr>
          </w:p>
        </w:tc>
        <w:tc>
          <w:tcPr>
            <w:tcW w:w="2340" w:type="dxa"/>
            <w:tcBorders>
              <w:top w:val="single" w:sz="6" w:space="0" w:color="auto"/>
              <w:left w:val="single" w:sz="6" w:space="0" w:color="auto"/>
              <w:bottom w:val="single" w:sz="6" w:space="0" w:color="auto"/>
              <w:right w:val="single" w:sz="6" w:space="0" w:color="auto"/>
            </w:tcBorders>
          </w:tcPr>
          <w:p w:rsidR="00CB6593" w:rsidRPr="00CB6593" w:rsidRDefault="00CB6593">
            <w:pPr>
              <w:shd w:val="clear" w:color="auto" w:fill="FFFFFF"/>
              <w:autoSpaceDE w:val="0"/>
              <w:autoSpaceDN w:val="0"/>
              <w:adjustRightInd w:val="0"/>
              <w:rPr>
                <w:sz w:val="22"/>
                <w:szCs w:val="22"/>
              </w:rPr>
            </w:pPr>
            <w:r w:rsidRPr="00CB6593">
              <w:rPr>
                <w:color w:val="000000"/>
                <w:sz w:val="22"/>
                <w:szCs w:val="22"/>
                <w:lang w:val="uk-UA"/>
              </w:rPr>
              <w:t>з нарощуванням підсумку</w:t>
            </w:r>
          </w:p>
          <w:p w:rsidR="00CB6593" w:rsidRPr="00CB6593" w:rsidRDefault="00CB6593">
            <w:pPr>
              <w:shd w:val="clear" w:color="auto" w:fill="FFFFFF"/>
              <w:autoSpaceDE w:val="0"/>
              <w:autoSpaceDN w:val="0"/>
              <w:adjustRightInd w:val="0"/>
              <w:rPr>
                <w:sz w:val="22"/>
                <w:szCs w:val="22"/>
              </w:rPr>
            </w:pPr>
          </w:p>
        </w:tc>
      </w:tr>
      <w:tr w:rsidR="00CB6593">
        <w:trPr>
          <w:trHeight w:val="240"/>
        </w:trPr>
        <w:tc>
          <w:tcPr>
            <w:tcW w:w="1260" w:type="dxa"/>
            <w:vMerge w:val="restart"/>
            <w:tcBorders>
              <w:top w:val="single" w:sz="6" w:space="0" w:color="auto"/>
              <w:left w:val="single" w:sz="6" w:space="0" w:color="auto"/>
              <w:bottom w:val="nil"/>
              <w:right w:val="single" w:sz="6" w:space="0" w:color="auto"/>
            </w:tcBorders>
          </w:tcPr>
          <w:p w:rsidR="00CB6593" w:rsidRDefault="00CB6593" w:rsidP="00CB6593">
            <w:pPr>
              <w:shd w:val="clear" w:color="auto" w:fill="FFFFFF"/>
              <w:autoSpaceDE w:val="0"/>
              <w:autoSpaceDN w:val="0"/>
              <w:adjustRightInd w:val="0"/>
              <w:rPr>
                <w:lang w:val="uk-UA"/>
              </w:rPr>
            </w:pPr>
            <w:r>
              <w:rPr>
                <w:lang w:val="uk-UA"/>
              </w:rPr>
              <w:t>1</w:t>
            </w:r>
          </w:p>
          <w:p w:rsidR="00CB6593" w:rsidRDefault="00CB6593" w:rsidP="00CB6593">
            <w:pPr>
              <w:shd w:val="clear" w:color="auto" w:fill="FFFFFF"/>
              <w:autoSpaceDE w:val="0"/>
              <w:autoSpaceDN w:val="0"/>
              <w:adjustRightInd w:val="0"/>
              <w:rPr>
                <w:lang w:val="uk-UA"/>
              </w:rPr>
            </w:pPr>
          </w:p>
          <w:p w:rsidR="00CB6593" w:rsidRDefault="00CB6593" w:rsidP="00CB6593">
            <w:pPr>
              <w:shd w:val="clear" w:color="auto" w:fill="FFFFFF"/>
              <w:autoSpaceDE w:val="0"/>
              <w:autoSpaceDN w:val="0"/>
              <w:adjustRightInd w:val="0"/>
              <w:rPr>
                <w:lang w:val="uk-UA"/>
              </w:rPr>
            </w:pPr>
            <w:r>
              <w:rPr>
                <w:lang w:val="uk-UA"/>
              </w:rPr>
              <w:t>2</w:t>
            </w:r>
          </w:p>
          <w:p w:rsidR="00CB6593" w:rsidRDefault="00CB6593" w:rsidP="00CB6593">
            <w:pPr>
              <w:shd w:val="clear" w:color="auto" w:fill="FFFFFF"/>
              <w:autoSpaceDE w:val="0"/>
              <w:autoSpaceDN w:val="0"/>
              <w:adjustRightInd w:val="0"/>
              <w:rPr>
                <w:lang w:val="uk-UA"/>
              </w:rPr>
            </w:pPr>
          </w:p>
          <w:p w:rsidR="00CB6593" w:rsidRDefault="00CB6593" w:rsidP="00CB6593">
            <w:pPr>
              <w:shd w:val="clear" w:color="auto" w:fill="FFFFFF"/>
              <w:autoSpaceDE w:val="0"/>
              <w:autoSpaceDN w:val="0"/>
              <w:adjustRightInd w:val="0"/>
              <w:rPr>
                <w:lang w:val="uk-UA"/>
              </w:rPr>
            </w:pPr>
            <w:r>
              <w:rPr>
                <w:lang w:val="uk-UA"/>
              </w:rPr>
              <w:t>3</w:t>
            </w:r>
          </w:p>
          <w:p w:rsidR="00CB6593" w:rsidRDefault="00CB6593" w:rsidP="00CB6593">
            <w:pPr>
              <w:shd w:val="clear" w:color="auto" w:fill="FFFFFF"/>
              <w:autoSpaceDE w:val="0"/>
              <w:autoSpaceDN w:val="0"/>
              <w:adjustRightInd w:val="0"/>
              <w:rPr>
                <w:lang w:val="uk-UA"/>
              </w:rPr>
            </w:pPr>
          </w:p>
          <w:p w:rsidR="00CB6593" w:rsidRDefault="00CB6593" w:rsidP="00CB6593">
            <w:pPr>
              <w:shd w:val="clear" w:color="auto" w:fill="FFFFFF"/>
              <w:autoSpaceDE w:val="0"/>
              <w:autoSpaceDN w:val="0"/>
              <w:adjustRightInd w:val="0"/>
              <w:rPr>
                <w:lang w:val="uk-UA"/>
              </w:rPr>
            </w:pPr>
            <w:r>
              <w:rPr>
                <w:lang w:val="uk-UA"/>
              </w:rPr>
              <w:t>4</w:t>
            </w:r>
          </w:p>
          <w:p w:rsidR="00CB6593" w:rsidRDefault="00CB6593" w:rsidP="00CB6593">
            <w:pPr>
              <w:shd w:val="clear" w:color="auto" w:fill="FFFFFF"/>
              <w:autoSpaceDE w:val="0"/>
              <w:autoSpaceDN w:val="0"/>
              <w:adjustRightInd w:val="0"/>
              <w:rPr>
                <w:lang w:val="uk-UA"/>
              </w:rPr>
            </w:pPr>
          </w:p>
          <w:p w:rsidR="00CB6593" w:rsidRDefault="00CB6593" w:rsidP="00CB6593">
            <w:pPr>
              <w:shd w:val="clear" w:color="auto" w:fill="FFFFFF"/>
              <w:autoSpaceDE w:val="0"/>
              <w:autoSpaceDN w:val="0"/>
              <w:adjustRightInd w:val="0"/>
              <w:rPr>
                <w:lang w:val="uk-UA"/>
              </w:rPr>
            </w:pPr>
            <w:r>
              <w:rPr>
                <w:lang w:val="uk-UA"/>
              </w:rPr>
              <w:t>5</w:t>
            </w:r>
          </w:p>
          <w:p w:rsidR="00CB6593" w:rsidRDefault="00CB6593" w:rsidP="00CB6593">
            <w:pPr>
              <w:shd w:val="clear" w:color="auto" w:fill="FFFFFF"/>
              <w:autoSpaceDE w:val="0"/>
              <w:autoSpaceDN w:val="0"/>
              <w:adjustRightInd w:val="0"/>
              <w:rPr>
                <w:lang w:val="uk-UA"/>
              </w:rPr>
            </w:pPr>
          </w:p>
          <w:p w:rsidR="00CB6593" w:rsidRDefault="00CB6593" w:rsidP="00CB6593">
            <w:pPr>
              <w:shd w:val="clear" w:color="auto" w:fill="FFFFFF"/>
              <w:autoSpaceDE w:val="0"/>
              <w:autoSpaceDN w:val="0"/>
              <w:adjustRightInd w:val="0"/>
              <w:rPr>
                <w:lang w:val="uk-UA"/>
              </w:rPr>
            </w:pPr>
            <w:r>
              <w:rPr>
                <w:lang w:val="uk-UA"/>
              </w:rPr>
              <w:t>6</w:t>
            </w:r>
          </w:p>
          <w:p w:rsidR="00CB6593" w:rsidRDefault="00CB6593" w:rsidP="00CB6593">
            <w:pPr>
              <w:shd w:val="clear" w:color="auto" w:fill="FFFFFF"/>
              <w:autoSpaceDE w:val="0"/>
              <w:autoSpaceDN w:val="0"/>
              <w:adjustRightInd w:val="0"/>
              <w:rPr>
                <w:lang w:val="uk-UA"/>
              </w:rPr>
            </w:pPr>
          </w:p>
          <w:p w:rsidR="00CB6593" w:rsidRDefault="00CB6593" w:rsidP="00CB6593">
            <w:pPr>
              <w:shd w:val="clear" w:color="auto" w:fill="FFFFFF"/>
              <w:autoSpaceDE w:val="0"/>
              <w:autoSpaceDN w:val="0"/>
              <w:adjustRightInd w:val="0"/>
              <w:rPr>
                <w:lang w:val="uk-UA"/>
              </w:rPr>
            </w:pPr>
            <w:r>
              <w:rPr>
                <w:lang w:val="uk-UA"/>
              </w:rPr>
              <w:t>7</w:t>
            </w:r>
          </w:p>
          <w:p w:rsidR="00CB6593" w:rsidRDefault="00CB6593" w:rsidP="00CB6593">
            <w:pPr>
              <w:shd w:val="clear" w:color="auto" w:fill="FFFFFF"/>
              <w:autoSpaceDE w:val="0"/>
              <w:autoSpaceDN w:val="0"/>
              <w:adjustRightInd w:val="0"/>
              <w:rPr>
                <w:lang w:val="uk-UA"/>
              </w:rPr>
            </w:pPr>
          </w:p>
          <w:p w:rsidR="00CB6593" w:rsidRPr="00CB6593" w:rsidRDefault="00CB6593" w:rsidP="00CB6593">
            <w:pPr>
              <w:shd w:val="clear" w:color="auto" w:fill="FFFFFF"/>
              <w:autoSpaceDE w:val="0"/>
              <w:autoSpaceDN w:val="0"/>
              <w:adjustRightInd w:val="0"/>
              <w:rPr>
                <w:lang w:val="uk-UA"/>
              </w:rPr>
            </w:pPr>
            <w:r>
              <w:rPr>
                <w:lang w:val="uk-UA"/>
              </w:rPr>
              <w:t>8</w:t>
            </w:r>
          </w:p>
        </w:tc>
        <w:tc>
          <w:tcPr>
            <w:tcW w:w="3240" w:type="dxa"/>
            <w:tcBorders>
              <w:top w:val="single" w:sz="6" w:space="0" w:color="auto"/>
              <w:left w:val="single" w:sz="6" w:space="0" w:color="auto"/>
              <w:bottom w:val="single" w:sz="6" w:space="0" w:color="auto"/>
              <w:right w:val="single" w:sz="6" w:space="0" w:color="auto"/>
            </w:tcBorders>
          </w:tcPr>
          <w:p w:rsidR="00CB6593" w:rsidRPr="00CB6593" w:rsidRDefault="00CB6593">
            <w:pPr>
              <w:shd w:val="clear" w:color="auto" w:fill="FFFFFF"/>
              <w:autoSpaceDE w:val="0"/>
              <w:autoSpaceDN w:val="0"/>
              <w:adjustRightInd w:val="0"/>
              <w:rPr>
                <w:sz w:val="22"/>
                <w:szCs w:val="22"/>
              </w:rPr>
            </w:pPr>
            <w:r w:rsidRPr="00CB6593">
              <w:rPr>
                <w:color w:val="000000"/>
                <w:sz w:val="22"/>
                <w:szCs w:val="22"/>
                <w:lang w:val="uk-UA"/>
              </w:rPr>
              <w:t>купити за будь-якою ціною</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70</w:t>
            </w:r>
          </w:p>
          <w:p w:rsidR="00CB6593" w:rsidRDefault="00CB6593">
            <w:pPr>
              <w:shd w:val="clear" w:color="auto" w:fill="FFFFFF"/>
              <w:autoSpaceDE w:val="0"/>
              <w:autoSpaceDN w:val="0"/>
              <w:adjustRightInd w:val="0"/>
            </w:pPr>
          </w:p>
        </w:tc>
      </w:tr>
      <w:tr w:rsidR="00CB6593">
        <w:trPr>
          <w:trHeight w:val="192"/>
        </w:trPr>
        <w:tc>
          <w:tcPr>
            <w:tcW w:w="1260" w:type="dxa"/>
            <w:vMerge/>
            <w:tcBorders>
              <w:top w:val="nil"/>
              <w:left w:val="single" w:sz="6" w:space="0" w:color="auto"/>
              <w:bottom w:val="nil"/>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556</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60</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70 + 60=130</w:t>
            </w:r>
          </w:p>
          <w:p w:rsidR="00CB6593" w:rsidRDefault="00CB6593">
            <w:pPr>
              <w:shd w:val="clear" w:color="auto" w:fill="FFFFFF"/>
              <w:autoSpaceDE w:val="0"/>
              <w:autoSpaceDN w:val="0"/>
              <w:adjustRightInd w:val="0"/>
            </w:pPr>
          </w:p>
        </w:tc>
      </w:tr>
      <w:tr w:rsidR="00CB6593">
        <w:trPr>
          <w:trHeight w:val="202"/>
        </w:trPr>
        <w:tc>
          <w:tcPr>
            <w:tcW w:w="1260" w:type="dxa"/>
            <w:vMerge/>
            <w:tcBorders>
              <w:top w:val="nil"/>
              <w:left w:val="single" w:sz="6" w:space="0" w:color="auto"/>
              <w:bottom w:val="nil"/>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555</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130+55=185</w:t>
            </w:r>
          </w:p>
          <w:p w:rsidR="00CB6593" w:rsidRDefault="00CB6593">
            <w:pPr>
              <w:shd w:val="clear" w:color="auto" w:fill="FFFFFF"/>
              <w:autoSpaceDE w:val="0"/>
              <w:autoSpaceDN w:val="0"/>
              <w:adjustRightInd w:val="0"/>
            </w:pPr>
          </w:p>
        </w:tc>
      </w:tr>
      <w:tr w:rsidR="00CB6593">
        <w:trPr>
          <w:trHeight w:val="192"/>
        </w:trPr>
        <w:tc>
          <w:tcPr>
            <w:tcW w:w="1260" w:type="dxa"/>
            <w:vMerge/>
            <w:tcBorders>
              <w:top w:val="nil"/>
              <w:left w:val="single" w:sz="6" w:space="0" w:color="auto"/>
              <w:bottom w:val="nil"/>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554</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40</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185 + 40 = 225</w:t>
            </w:r>
          </w:p>
          <w:p w:rsidR="00CB6593" w:rsidRDefault="00CB6593">
            <w:pPr>
              <w:shd w:val="clear" w:color="auto" w:fill="FFFFFF"/>
              <w:autoSpaceDE w:val="0"/>
              <w:autoSpaceDN w:val="0"/>
              <w:adjustRightInd w:val="0"/>
            </w:pPr>
          </w:p>
        </w:tc>
      </w:tr>
      <w:tr w:rsidR="00CB6593">
        <w:trPr>
          <w:trHeight w:val="202"/>
        </w:trPr>
        <w:tc>
          <w:tcPr>
            <w:tcW w:w="1260" w:type="dxa"/>
            <w:vMerge/>
            <w:tcBorders>
              <w:top w:val="nil"/>
              <w:left w:val="single" w:sz="6" w:space="0" w:color="auto"/>
              <w:bottom w:val="nil"/>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553</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40</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225 + 40 = 265</w:t>
            </w:r>
          </w:p>
          <w:p w:rsidR="00CB6593" w:rsidRDefault="00CB6593">
            <w:pPr>
              <w:shd w:val="clear" w:color="auto" w:fill="FFFFFF"/>
              <w:autoSpaceDE w:val="0"/>
              <w:autoSpaceDN w:val="0"/>
              <w:adjustRightInd w:val="0"/>
            </w:pPr>
          </w:p>
        </w:tc>
      </w:tr>
      <w:tr w:rsidR="00CB6593">
        <w:trPr>
          <w:trHeight w:val="202"/>
        </w:trPr>
        <w:tc>
          <w:tcPr>
            <w:tcW w:w="1260" w:type="dxa"/>
            <w:vMerge/>
            <w:tcBorders>
              <w:top w:val="nil"/>
              <w:left w:val="single" w:sz="6" w:space="0" w:color="auto"/>
              <w:bottom w:val="nil"/>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552</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35</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265 + 35 = 300</w:t>
            </w:r>
          </w:p>
          <w:p w:rsidR="00CB6593" w:rsidRDefault="00CB6593">
            <w:pPr>
              <w:shd w:val="clear" w:color="auto" w:fill="FFFFFF"/>
              <w:autoSpaceDE w:val="0"/>
              <w:autoSpaceDN w:val="0"/>
              <w:adjustRightInd w:val="0"/>
            </w:pPr>
          </w:p>
        </w:tc>
      </w:tr>
      <w:tr w:rsidR="00CB6593">
        <w:trPr>
          <w:trHeight w:val="202"/>
        </w:trPr>
        <w:tc>
          <w:tcPr>
            <w:tcW w:w="1260" w:type="dxa"/>
            <w:vMerge/>
            <w:tcBorders>
              <w:top w:val="nil"/>
              <w:left w:val="single" w:sz="6" w:space="0" w:color="auto"/>
              <w:bottom w:val="nil"/>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551</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ЗО</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300 + ЗО = 330</w:t>
            </w:r>
          </w:p>
          <w:p w:rsidR="00CB6593" w:rsidRDefault="00CB6593">
            <w:pPr>
              <w:shd w:val="clear" w:color="auto" w:fill="FFFFFF"/>
              <w:autoSpaceDE w:val="0"/>
              <w:autoSpaceDN w:val="0"/>
              <w:adjustRightInd w:val="0"/>
            </w:pPr>
          </w:p>
        </w:tc>
      </w:tr>
      <w:tr w:rsidR="00CB6593">
        <w:trPr>
          <w:trHeight w:val="298"/>
        </w:trPr>
        <w:tc>
          <w:tcPr>
            <w:tcW w:w="1260" w:type="dxa"/>
            <w:vMerge/>
            <w:tcBorders>
              <w:top w:val="nil"/>
              <w:left w:val="single" w:sz="6" w:space="0" w:color="auto"/>
              <w:bottom w:val="single" w:sz="6" w:space="0" w:color="auto"/>
              <w:right w:val="single" w:sz="6" w:space="0" w:color="auto"/>
            </w:tcBorders>
          </w:tcPr>
          <w:p w:rsidR="00CB6593" w:rsidRDefault="00CB6593">
            <w:pPr>
              <w:autoSpaceDE w:val="0"/>
              <w:autoSpaceDN w:val="0"/>
              <w:adjustRightInd w:val="0"/>
            </w:pPr>
          </w:p>
        </w:tc>
        <w:tc>
          <w:tcPr>
            <w:tcW w:w="32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550</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20</w:t>
            </w:r>
          </w:p>
          <w:p w:rsidR="00CB6593" w:rsidRDefault="00CB6593">
            <w:pPr>
              <w:shd w:val="clear" w:color="auto" w:fill="FFFFFF"/>
              <w:autoSpaceDE w:val="0"/>
              <w:autoSpaceDN w:val="0"/>
              <w:adjustRightInd w:val="0"/>
            </w:pPr>
          </w:p>
        </w:tc>
        <w:tc>
          <w:tcPr>
            <w:tcW w:w="2340" w:type="dxa"/>
            <w:tcBorders>
              <w:top w:val="single" w:sz="6" w:space="0" w:color="auto"/>
              <w:left w:val="single" w:sz="6" w:space="0" w:color="auto"/>
              <w:bottom w:val="single" w:sz="6" w:space="0" w:color="auto"/>
              <w:right w:val="single" w:sz="6" w:space="0" w:color="auto"/>
            </w:tcBorders>
          </w:tcPr>
          <w:p w:rsidR="00CB6593" w:rsidRDefault="00CB6593">
            <w:pPr>
              <w:shd w:val="clear" w:color="auto" w:fill="FFFFFF"/>
              <w:autoSpaceDE w:val="0"/>
              <w:autoSpaceDN w:val="0"/>
              <w:adjustRightInd w:val="0"/>
            </w:pPr>
            <w:r>
              <w:rPr>
                <w:color w:val="000000"/>
                <w:sz w:val="19"/>
                <w:szCs w:val="19"/>
                <w:lang w:val="uk-UA"/>
              </w:rPr>
              <w:t>330 + 20 = 350</w:t>
            </w:r>
          </w:p>
          <w:p w:rsidR="00CB6593" w:rsidRDefault="00CB6593">
            <w:pPr>
              <w:shd w:val="clear" w:color="auto" w:fill="FFFFFF"/>
              <w:autoSpaceDE w:val="0"/>
              <w:autoSpaceDN w:val="0"/>
              <w:adjustRightInd w:val="0"/>
            </w:pPr>
          </w:p>
        </w:tc>
      </w:tr>
    </w:tbl>
    <w:p w:rsidR="00CB6593" w:rsidRDefault="00CB6593" w:rsidP="00CB6593">
      <w:pPr>
        <w:shd w:val="clear" w:color="auto" w:fill="FFFFFF"/>
        <w:autoSpaceDE w:val="0"/>
        <w:autoSpaceDN w:val="0"/>
        <w:adjustRightInd w:val="0"/>
        <w:rPr>
          <w:color w:val="000000"/>
          <w:sz w:val="19"/>
          <w:szCs w:val="19"/>
          <w:lang w:val="uk-UA"/>
        </w:rPr>
      </w:pPr>
      <w:r>
        <w:rPr>
          <w:i/>
          <w:iCs/>
          <w:color w:val="000000"/>
          <w:sz w:val="19"/>
          <w:szCs w:val="19"/>
          <w:lang w:val="uk-UA"/>
        </w:rPr>
        <w:t xml:space="preserve">Примітка: </w:t>
      </w:r>
      <w:r>
        <w:rPr>
          <w:color w:val="000000"/>
          <w:sz w:val="19"/>
          <w:szCs w:val="19"/>
          <w:lang w:val="uk-UA"/>
        </w:rPr>
        <w:t>додавання кількості куплених цінних паперів у таблиці здійснюється згори донизу.</w:t>
      </w:r>
    </w:p>
    <w:p w:rsidR="00CB6593" w:rsidRDefault="00CB6593" w:rsidP="00CA09C1">
      <w:pPr>
        <w:pStyle w:val="1"/>
        <w:rPr>
          <w:lang w:val="uk-UA"/>
        </w:rPr>
      </w:pPr>
      <w:r>
        <w:rPr>
          <w:lang w:val="uk-UA"/>
        </w:rPr>
        <w:br w:type="page"/>
      </w:r>
      <w:bookmarkStart w:id="5" w:name="_Toc10177603"/>
      <w:r w:rsidR="00CA09C1">
        <w:rPr>
          <w:lang w:val="uk-UA"/>
        </w:rPr>
        <w:t>3. Єдина біржова фондова система України. Принципи побудови та етапи створення</w:t>
      </w:r>
      <w:bookmarkEnd w:id="5"/>
    </w:p>
    <w:p w:rsidR="007D072F" w:rsidRDefault="007D072F" w:rsidP="007D072F">
      <w:pPr>
        <w:shd w:val="clear" w:color="auto" w:fill="FFFFFF"/>
        <w:autoSpaceDE w:val="0"/>
        <w:autoSpaceDN w:val="0"/>
        <w:adjustRightInd w:val="0"/>
        <w:rPr>
          <w:b/>
          <w:bCs/>
          <w:color w:val="000000"/>
          <w:lang w:val="uk-UA"/>
        </w:rPr>
      </w:pPr>
    </w:p>
    <w:p w:rsidR="007D072F" w:rsidRPr="007D072F" w:rsidRDefault="007D072F" w:rsidP="007D072F">
      <w:pPr>
        <w:shd w:val="clear" w:color="auto" w:fill="FFFFFF"/>
        <w:autoSpaceDE w:val="0"/>
        <w:autoSpaceDN w:val="0"/>
        <w:adjustRightInd w:val="0"/>
      </w:pPr>
      <w:r w:rsidRPr="007D072F">
        <w:rPr>
          <w:b/>
          <w:bCs/>
          <w:color w:val="000000"/>
          <w:lang w:val="uk-UA"/>
        </w:rPr>
        <w:t>ПРИНЦИПИ ФУНКЦІОНУВАННЯ ЄБФСУ</w:t>
      </w:r>
    </w:p>
    <w:p w:rsidR="007D072F" w:rsidRPr="007D072F" w:rsidRDefault="007D072F" w:rsidP="007D072F">
      <w:pPr>
        <w:shd w:val="clear" w:color="auto" w:fill="FFFFFF"/>
        <w:autoSpaceDE w:val="0"/>
        <w:autoSpaceDN w:val="0"/>
        <w:adjustRightInd w:val="0"/>
        <w:ind w:firstLine="708"/>
      </w:pPr>
      <w:r w:rsidRPr="007D072F">
        <w:rPr>
          <w:color w:val="000000"/>
          <w:lang w:val="uk-UA"/>
        </w:rPr>
        <w:t>1. В ЄБФСУ здійснюється торгівля усіма видами цінних паперів відповідно до чинного законодавства України як на первинному, так і на вторинному рин</w:t>
      </w:r>
      <w:r w:rsidRPr="007D072F">
        <w:rPr>
          <w:color w:val="000000"/>
          <w:lang w:val="uk-UA"/>
        </w:rPr>
        <w:softHyphen/>
        <w:t>ках, за виключенням купівлі-продажу державних па</w:t>
      </w:r>
      <w:r w:rsidRPr="007D072F">
        <w:rPr>
          <w:color w:val="000000"/>
          <w:lang w:val="uk-UA"/>
        </w:rPr>
        <w:softHyphen/>
        <w:t>кетів акцій підприємств, що приватизуються.</w:t>
      </w:r>
    </w:p>
    <w:p w:rsidR="007D072F" w:rsidRPr="007D072F" w:rsidRDefault="007D072F" w:rsidP="007D072F">
      <w:pPr>
        <w:shd w:val="clear" w:color="auto" w:fill="FFFFFF"/>
        <w:autoSpaceDE w:val="0"/>
        <w:autoSpaceDN w:val="0"/>
        <w:adjustRightInd w:val="0"/>
        <w:ind w:firstLine="708"/>
      </w:pPr>
      <w:r w:rsidRPr="007D072F">
        <w:rPr>
          <w:color w:val="000000"/>
          <w:lang w:val="uk-UA"/>
        </w:rPr>
        <w:t>2. Кожна з фондових бірж, які входять до ЄБФСУ, має право до початку узгодженого часу роботи Системи (наприклад, до 11.00 годин) проводити са</w:t>
      </w:r>
      <w:r w:rsidRPr="007D072F">
        <w:rPr>
          <w:color w:val="000000"/>
          <w:lang w:val="uk-UA"/>
        </w:rPr>
        <w:softHyphen/>
        <w:t>мостійні торги. При цьому організація біржової торгівлі на внутрішньобіржовому ринку може здійсню</w:t>
      </w:r>
      <w:r w:rsidRPr="007D072F">
        <w:rPr>
          <w:color w:val="000000"/>
          <w:lang w:val="uk-UA"/>
        </w:rPr>
        <w:softHyphen/>
        <w:t>ватися за правилами, які відрізняються від прийнятих у ЄБФСУ. Підсумки внутрішньобіржових торгів направ</w:t>
      </w:r>
      <w:r w:rsidRPr="007D072F">
        <w:rPr>
          <w:color w:val="000000"/>
          <w:lang w:val="uk-UA"/>
        </w:rPr>
        <w:softHyphen/>
        <w:t>ляються до інформаційного відділу Технічного центру ЄБФСУ для оприлюднення.</w:t>
      </w:r>
    </w:p>
    <w:p w:rsidR="007D072F" w:rsidRPr="007D072F" w:rsidRDefault="007D072F" w:rsidP="007D072F">
      <w:pPr>
        <w:shd w:val="clear" w:color="auto" w:fill="FFFFFF"/>
        <w:autoSpaceDE w:val="0"/>
        <w:autoSpaceDN w:val="0"/>
        <w:adjustRightInd w:val="0"/>
        <w:ind w:firstLine="708"/>
      </w:pPr>
      <w:r w:rsidRPr="007D072F">
        <w:rPr>
          <w:color w:val="000000"/>
          <w:lang w:val="uk-UA"/>
        </w:rPr>
        <w:t>3. Торгівля цінними паперами в ЄБФСУ органі</w:t>
      </w:r>
      <w:r w:rsidRPr="007D072F">
        <w:rPr>
          <w:color w:val="000000"/>
          <w:lang w:val="uk-UA"/>
        </w:rPr>
        <w:softHyphen/>
        <w:t>зується по секціях (наприклад, ОВДП, акції, векселі тощо). Торги в секціях можуть здійснюватися одночас</w:t>
      </w:r>
      <w:r w:rsidRPr="007D072F">
        <w:rPr>
          <w:color w:val="000000"/>
          <w:lang w:val="uk-UA"/>
        </w:rPr>
        <w:softHyphen/>
        <w:t>но або послідовно. Кожному виду торгів повинні бути присвоєні спеціальні коди для підключення до відпо</w:t>
      </w:r>
      <w:r w:rsidRPr="007D072F">
        <w:rPr>
          <w:color w:val="000000"/>
          <w:lang w:val="uk-UA"/>
        </w:rPr>
        <w:softHyphen/>
        <w:t>відних каналів.</w:t>
      </w:r>
    </w:p>
    <w:p w:rsidR="007D072F" w:rsidRPr="007D072F" w:rsidRDefault="007D072F" w:rsidP="007D072F">
      <w:pPr>
        <w:shd w:val="clear" w:color="auto" w:fill="FFFFFF"/>
        <w:autoSpaceDE w:val="0"/>
        <w:autoSpaceDN w:val="0"/>
        <w:adjustRightInd w:val="0"/>
        <w:ind w:firstLine="708"/>
      </w:pPr>
      <w:r w:rsidRPr="007D072F">
        <w:rPr>
          <w:color w:val="000000"/>
          <w:lang w:val="uk-UA"/>
        </w:rPr>
        <w:t>4. Усі пропозиції щодо купівлі та продажу від тор</w:t>
      </w:r>
      <w:r w:rsidRPr="007D072F">
        <w:rPr>
          <w:color w:val="000000"/>
          <w:lang w:val="uk-UA"/>
        </w:rPr>
        <w:softHyphen/>
        <w:t>говців цінними паперами - членів Системи повинні подаватися до Технічного центру тільки через посеред</w:t>
      </w:r>
      <w:r w:rsidRPr="007D072F">
        <w:rPr>
          <w:color w:val="000000"/>
          <w:lang w:val="uk-UA"/>
        </w:rPr>
        <w:softHyphen/>
        <w:t>ництво фондових бірж, членами яких вони є. Пропозиції повинні супроводжуватися кодом торговця та відповід</w:t>
      </w:r>
      <w:r w:rsidRPr="007D072F">
        <w:rPr>
          <w:color w:val="000000"/>
          <w:lang w:val="uk-UA"/>
        </w:rPr>
        <w:softHyphen/>
        <w:t>ної фондової біржі. Самі торговці не можуть мати без</w:t>
      </w:r>
      <w:r w:rsidRPr="007D072F">
        <w:rPr>
          <w:color w:val="000000"/>
          <w:lang w:val="uk-UA"/>
        </w:rPr>
        <w:softHyphen/>
        <w:t>посереднього доступу до Технічного центру ЄБФСУ.</w:t>
      </w:r>
    </w:p>
    <w:p w:rsidR="007D072F" w:rsidRPr="007D072F" w:rsidRDefault="007D072F" w:rsidP="007D072F">
      <w:pPr>
        <w:shd w:val="clear" w:color="auto" w:fill="FFFFFF"/>
        <w:autoSpaceDE w:val="0"/>
        <w:autoSpaceDN w:val="0"/>
        <w:adjustRightInd w:val="0"/>
        <w:ind w:firstLine="708"/>
        <w:rPr>
          <w:lang w:val="uk-UA"/>
        </w:rPr>
      </w:pPr>
      <w:r w:rsidRPr="007D072F">
        <w:rPr>
          <w:color w:val="000000"/>
          <w:lang w:val="uk-UA"/>
        </w:rPr>
        <w:t xml:space="preserve">б. Торги в ЄБФСУ проходять у фіксинговому або мультифіксинговому режимі. Технічний центр фіксує кожну угоду та передає кодовані відомості </w:t>
      </w:r>
      <w:r w:rsidRPr="007D072F">
        <w:rPr>
          <w:color w:val="000000"/>
          <w:vertAlign w:val="superscript"/>
          <w:lang w:val="uk-UA"/>
        </w:rPr>
        <w:t>:</w:t>
      </w:r>
      <w:r w:rsidRPr="007D072F">
        <w:rPr>
          <w:color w:val="000000"/>
          <w:lang w:val="uk-UA"/>
        </w:rPr>
        <w:t>щодо неї "біржі-покупцю" та "біржі-продавцю".</w:t>
      </w:r>
    </w:p>
    <w:p w:rsidR="007D072F" w:rsidRPr="007D072F" w:rsidRDefault="007D072F" w:rsidP="007D072F">
      <w:pPr>
        <w:shd w:val="clear" w:color="auto" w:fill="FFFFFF"/>
        <w:autoSpaceDE w:val="0"/>
        <w:autoSpaceDN w:val="0"/>
        <w:adjustRightInd w:val="0"/>
        <w:rPr>
          <w:lang w:val="uk-UA"/>
        </w:rPr>
      </w:pPr>
      <w:r w:rsidRPr="007D072F">
        <w:rPr>
          <w:color w:val="000000"/>
          <w:lang w:val="uk-UA"/>
        </w:rPr>
        <w:t>Оформлення та звіряння біржових контрактів веде "біржа-покупець" в електронній формі. Вона ж всту</w:t>
      </w:r>
      <w:r w:rsidRPr="007D072F">
        <w:rPr>
          <w:color w:val="000000"/>
          <w:lang w:val="uk-UA"/>
        </w:rPr>
        <w:softHyphen/>
        <w:t>пає у взаємодію з депозитарієм та розрахунковим банком. Торговці - члени біржі, що укладають угоди в ЄБФСУ, несуть відповідальність перед біржами за відмову від укладених угод відповідно до єдиних пра</w:t>
      </w:r>
      <w:r w:rsidRPr="007D072F">
        <w:rPr>
          <w:color w:val="000000"/>
          <w:lang w:val="uk-UA"/>
        </w:rPr>
        <w:softHyphen/>
        <w:t>вил організації торгів у Системі.</w:t>
      </w:r>
    </w:p>
    <w:p w:rsidR="007D072F" w:rsidRPr="007D072F" w:rsidRDefault="007D072F" w:rsidP="007D072F">
      <w:pPr>
        <w:shd w:val="clear" w:color="auto" w:fill="FFFFFF"/>
        <w:autoSpaceDE w:val="0"/>
        <w:autoSpaceDN w:val="0"/>
        <w:adjustRightInd w:val="0"/>
        <w:ind w:firstLine="708"/>
      </w:pPr>
      <w:r w:rsidRPr="007D072F">
        <w:rPr>
          <w:color w:val="000000"/>
          <w:lang w:val="uk-UA"/>
        </w:rPr>
        <w:t>6. На завершення кожної торгової сесії Технічний центр</w:t>
      </w:r>
      <w:r w:rsidRPr="007D072F">
        <w:rPr>
          <w:color w:val="000000"/>
        </w:rPr>
        <w:t xml:space="preserve"> </w:t>
      </w:r>
      <w:r w:rsidRPr="007D072F">
        <w:rPr>
          <w:color w:val="000000"/>
          <w:lang w:val="uk-UA"/>
        </w:rPr>
        <w:t>оприлюднює зведені підсумки торгів та надає звіт до ДКЦПФР.</w:t>
      </w:r>
    </w:p>
    <w:p w:rsidR="007D072F" w:rsidRPr="007D072F" w:rsidRDefault="007D072F" w:rsidP="007D072F">
      <w:pPr>
        <w:shd w:val="clear" w:color="auto" w:fill="FFFFFF"/>
        <w:autoSpaceDE w:val="0"/>
        <w:autoSpaceDN w:val="0"/>
        <w:adjustRightInd w:val="0"/>
        <w:ind w:firstLine="708"/>
      </w:pPr>
      <w:r w:rsidRPr="007D072F">
        <w:rPr>
          <w:color w:val="000000"/>
          <w:lang w:val="uk-UA"/>
        </w:rPr>
        <w:t>7. Кожна з фондових бірж має право публікувати</w:t>
      </w:r>
    </w:p>
    <w:p w:rsidR="00CA09C1" w:rsidRDefault="007D072F" w:rsidP="007D072F">
      <w:pPr>
        <w:rPr>
          <w:color w:val="000000"/>
          <w:lang w:val="uk-UA"/>
        </w:rPr>
      </w:pPr>
      <w:r w:rsidRPr="007D072F">
        <w:rPr>
          <w:color w:val="000000"/>
          <w:lang w:val="uk-UA"/>
        </w:rPr>
        <w:t>свої приватні підсумкові бюлетені відповідно до вста</w:t>
      </w:r>
      <w:r w:rsidRPr="007D072F">
        <w:rPr>
          <w:color w:val="000000"/>
          <w:lang w:val="uk-UA"/>
        </w:rPr>
        <w:softHyphen/>
        <w:t>новленого порядку.</w:t>
      </w:r>
    </w:p>
    <w:p w:rsidR="007D072F" w:rsidRDefault="007D072F" w:rsidP="007D072F">
      <w:pPr>
        <w:rPr>
          <w:color w:val="000000"/>
          <w:lang w:val="uk-UA"/>
        </w:rPr>
      </w:pPr>
    </w:p>
    <w:p w:rsidR="007D072F" w:rsidRPr="007D072F" w:rsidRDefault="007D072F" w:rsidP="007D072F">
      <w:pPr>
        <w:shd w:val="clear" w:color="auto" w:fill="FFFFFF"/>
        <w:autoSpaceDE w:val="0"/>
        <w:autoSpaceDN w:val="0"/>
        <w:adjustRightInd w:val="0"/>
        <w:rPr>
          <w:lang w:val="uk-UA"/>
        </w:rPr>
      </w:pPr>
      <w:r w:rsidRPr="007D072F">
        <w:rPr>
          <w:b/>
          <w:bCs/>
          <w:color w:val="000000"/>
          <w:lang w:val="uk-UA"/>
        </w:rPr>
        <w:t>ОСНОВНІ ПРИНЦИПИ ОРГАНІЗАЦІЇ</w:t>
      </w:r>
      <w:r>
        <w:rPr>
          <w:b/>
          <w:bCs/>
          <w:color w:val="000000"/>
          <w:lang w:val="uk-UA"/>
        </w:rPr>
        <w:t xml:space="preserve"> </w:t>
      </w:r>
      <w:r w:rsidRPr="007D072F">
        <w:rPr>
          <w:b/>
          <w:bCs/>
          <w:color w:val="000000"/>
          <w:lang w:val="uk-UA"/>
        </w:rPr>
        <w:t>ТА ДІЯЛЬНОСТІ АСОЦІАЦІЇ "ЄДИНА БІРЖОВА</w:t>
      </w:r>
      <w:r>
        <w:rPr>
          <w:b/>
          <w:bCs/>
          <w:color w:val="000000"/>
          <w:lang w:val="uk-UA"/>
        </w:rPr>
        <w:t xml:space="preserve"> </w:t>
      </w:r>
      <w:r w:rsidRPr="007D072F">
        <w:rPr>
          <w:b/>
          <w:bCs/>
          <w:color w:val="000000"/>
          <w:lang w:val="uk-UA"/>
        </w:rPr>
        <w:t>ФОНДОВА СИСТЕМА УКРАЇНИ"</w:t>
      </w:r>
    </w:p>
    <w:p w:rsidR="007D072F" w:rsidRPr="007D072F" w:rsidRDefault="007D072F" w:rsidP="007D072F">
      <w:pPr>
        <w:shd w:val="clear" w:color="auto" w:fill="FFFFFF"/>
        <w:autoSpaceDE w:val="0"/>
        <w:autoSpaceDN w:val="0"/>
        <w:adjustRightInd w:val="0"/>
        <w:ind w:firstLine="708"/>
      </w:pPr>
      <w:r w:rsidRPr="007D072F">
        <w:rPr>
          <w:color w:val="000000"/>
          <w:lang w:val="uk-UA"/>
        </w:rPr>
        <w:t>1. Асоціація виступає як саморегулівна організація, яка об'єднує всіх учасників ЄБФСУ. Тому її цілі, зав</w:t>
      </w:r>
      <w:r w:rsidRPr="007D072F">
        <w:rPr>
          <w:color w:val="000000"/>
          <w:lang w:val="uk-UA"/>
        </w:rPr>
        <w:softHyphen/>
        <w:t>дання, повноваження та функції цілком визначаються відповідним Положенням, затвердженим рішенням ДКЦПФР від 11.11.97 р. № 45. За узгодженням учас</w:t>
      </w:r>
      <w:r w:rsidRPr="007D072F">
        <w:rPr>
          <w:color w:val="000000"/>
          <w:lang w:val="uk-UA"/>
        </w:rPr>
        <w:softHyphen/>
        <w:t>ників, на Асоціацію можуть бути покладені інші цілі, завдання, повноваження та функції, які не суперечать законодавству України та нормативним актам ДКЦПФР. До складу СРО ЄБФСУ її учасники можуть входити як на індивідуальній, так і на колективній основі. Зареє</w:t>
      </w:r>
      <w:r w:rsidRPr="007D072F">
        <w:rPr>
          <w:color w:val="000000"/>
          <w:lang w:val="uk-UA"/>
        </w:rPr>
        <w:softHyphen/>
        <w:t>стровані СРО можуть увійти до складу СРО ЄБФСУ як асоційовані колективні члени.</w:t>
      </w:r>
    </w:p>
    <w:p w:rsidR="007D072F" w:rsidRPr="007D072F" w:rsidRDefault="007D072F" w:rsidP="007D072F">
      <w:pPr>
        <w:shd w:val="clear" w:color="auto" w:fill="FFFFFF"/>
        <w:autoSpaceDE w:val="0"/>
        <w:autoSpaceDN w:val="0"/>
        <w:adjustRightInd w:val="0"/>
        <w:ind w:firstLine="708"/>
      </w:pPr>
      <w:r w:rsidRPr="007D072F">
        <w:rPr>
          <w:color w:val="000000"/>
          <w:lang w:val="uk-UA"/>
        </w:rPr>
        <w:t>2. Асоціація є юридичною особою. Органи управ</w:t>
      </w:r>
      <w:r w:rsidRPr="007D072F">
        <w:rPr>
          <w:color w:val="000000"/>
          <w:lang w:val="uk-UA"/>
        </w:rPr>
        <w:softHyphen/>
        <w:t>ління Асоціацією формуються та діють на принципах рівного представництва та врахування інтересів всіх її учасників. Для узгодження позицій учасників з неврегульованих питань створюється Узгоджувальна комісія.</w:t>
      </w:r>
    </w:p>
    <w:p w:rsidR="007D072F" w:rsidRPr="007D072F" w:rsidRDefault="007D072F" w:rsidP="007D072F">
      <w:pPr>
        <w:shd w:val="clear" w:color="auto" w:fill="FFFFFF"/>
        <w:autoSpaceDE w:val="0"/>
        <w:autoSpaceDN w:val="0"/>
        <w:adjustRightInd w:val="0"/>
        <w:ind w:firstLine="708"/>
      </w:pPr>
      <w:r w:rsidRPr="007D072F">
        <w:rPr>
          <w:color w:val="000000"/>
          <w:lang w:val="uk-UA"/>
        </w:rPr>
        <w:t>3. Діяльність Асоціації будується на основі добро</w:t>
      </w:r>
      <w:r w:rsidRPr="007D072F">
        <w:rPr>
          <w:color w:val="000000"/>
          <w:lang w:val="uk-UA"/>
        </w:rPr>
        <w:softHyphen/>
        <w:t>вільної та рівноправної участі П членів у проектах та програмах ЄБФСУ.</w:t>
      </w:r>
    </w:p>
    <w:p w:rsidR="007D072F" w:rsidRPr="007D072F" w:rsidRDefault="007D072F" w:rsidP="007D072F">
      <w:pPr>
        <w:shd w:val="clear" w:color="auto" w:fill="FFFFFF"/>
        <w:autoSpaceDE w:val="0"/>
        <w:autoSpaceDN w:val="0"/>
        <w:adjustRightInd w:val="0"/>
        <w:ind w:firstLine="708"/>
        <w:rPr>
          <w:lang w:val="uk-UA"/>
        </w:rPr>
      </w:pPr>
      <w:r w:rsidRPr="007D072F">
        <w:rPr>
          <w:color w:val="000000"/>
          <w:lang w:val="uk-UA"/>
        </w:rPr>
        <w:t>4. Асоціація формує відповідні органи регулюван</w:t>
      </w:r>
      <w:r w:rsidRPr="007D072F">
        <w:rPr>
          <w:color w:val="000000"/>
          <w:lang w:val="uk-UA"/>
        </w:rPr>
        <w:softHyphen/>
        <w:t>ня відповідальності її учасників та вирішення спорів між ними.</w:t>
      </w:r>
    </w:p>
    <w:p w:rsidR="007D072F" w:rsidRPr="007D072F" w:rsidRDefault="007D072F" w:rsidP="007D072F">
      <w:pPr>
        <w:shd w:val="clear" w:color="auto" w:fill="FFFFFF"/>
        <w:autoSpaceDE w:val="0"/>
        <w:autoSpaceDN w:val="0"/>
        <w:adjustRightInd w:val="0"/>
        <w:ind w:firstLine="708"/>
        <w:rPr>
          <w:lang w:val="uk-UA"/>
        </w:rPr>
      </w:pPr>
      <w:r w:rsidRPr="007D072F">
        <w:rPr>
          <w:color w:val="000000"/>
          <w:lang w:val="uk-UA"/>
        </w:rPr>
        <w:t>5. За рішенням учасників ЄБФСУ та за. узгоджен</w:t>
      </w:r>
      <w:r w:rsidRPr="007D072F">
        <w:rPr>
          <w:color w:val="000000"/>
          <w:lang w:val="uk-UA"/>
        </w:rPr>
        <w:softHyphen/>
        <w:t>ням, з ДКЦПФР Асоціація може організовувати зведе</w:t>
      </w:r>
      <w:r w:rsidRPr="007D072F">
        <w:rPr>
          <w:color w:val="000000"/>
          <w:lang w:val="uk-UA"/>
        </w:rPr>
        <w:softHyphen/>
        <w:t>ну звітність торговців цінними паперами перед Ко</w:t>
      </w:r>
      <w:r w:rsidRPr="007D072F">
        <w:rPr>
          <w:color w:val="000000"/>
          <w:lang w:val="uk-UA"/>
        </w:rPr>
        <w:softHyphen/>
        <w:t>місією, а також забезпечувати формування зведених фондових індексів ЄБФСУ на базі корпоративних цінних паперів, що постійно обертаються у Системі.</w:t>
      </w:r>
    </w:p>
    <w:p w:rsidR="007D072F" w:rsidRPr="007D072F" w:rsidRDefault="007D072F" w:rsidP="007D072F">
      <w:pPr>
        <w:shd w:val="clear" w:color="auto" w:fill="FFFFFF"/>
        <w:autoSpaceDE w:val="0"/>
        <w:autoSpaceDN w:val="0"/>
        <w:adjustRightInd w:val="0"/>
        <w:ind w:firstLine="708"/>
        <w:rPr>
          <w:lang w:val="uk-UA"/>
        </w:rPr>
      </w:pPr>
      <w:r w:rsidRPr="007D072F">
        <w:rPr>
          <w:color w:val="000000"/>
          <w:lang w:val="uk-UA"/>
        </w:rPr>
        <w:t>6. Фінансування діяльності Асоціації здійснюється за рахунок членських внесків її учасників, а також за рахунок інших, у тому числі зовнішніх) джерел. Членські внески можуть бути встановлені у вигляді єдиного узгодженого процента відрахувань від доходів членів Асоціації, отриманих від організації торгівлі цінними паперами в межах ЄБФСУ. У зв'язку з труд</w:t>
      </w:r>
      <w:r w:rsidRPr="007D072F">
        <w:rPr>
          <w:color w:val="000000"/>
          <w:lang w:val="uk-UA"/>
        </w:rPr>
        <w:softHyphen/>
        <w:t>нощами, які сьогодні переживають учасники фондово</w:t>
      </w:r>
      <w:r w:rsidRPr="007D072F">
        <w:rPr>
          <w:color w:val="000000"/>
          <w:lang w:val="uk-UA"/>
        </w:rPr>
        <w:softHyphen/>
        <w:t>го ринку України, на першому етапі доцільно було б скоротити персонал та обмежити функції Асоціації з метою скорочення обсягів її фінансування.</w:t>
      </w:r>
    </w:p>
    <w:p w:rsidR="007D072F" w:rsidRDefault="007D072F" w:rsidP="007D072F">
      <w:pPr>
        <w:ind w:firstLine="708"/>
        <w:rPr>
          <w:color w:val="000000"/>
          <w:lang w:val="uk-UA"/>
        </w:rPr>
      </w:pPr>
      <w:r w:rsidRPr="007D072F">
        <w:rPr>
          <w:color w:val="000000"/>
          <w:lang w:val="uk-UA"/>
        </w:rPr>
        <w:t>7. З урахуванням реального стану фондового рин</w:t>
      </w:r>
      <w:r w:rsidRPr="007D072F">
        <w:rPr>
          <w:color w:val="000000"/>
          <w:lang w:val="uk-UA"/>
        </w:rPr>
        <w:softHyphen/>
        <w:t>ку України та фінансових можливостей його учасників, робота зі створення ЄБФСУ повинна базуватися на принципі етапності протягом 2001-2005/рр.</w:t>
      </w:r>
    </w:p>
    <w:p w:rsidR="007D072F" w:rsidRDefault="007D072F" w:rsidP="007D072F">
      <w:pPr>
        <w:ind w:firstLine="708"/>
        <w:rPr>
          <w:color w:val="000000"/>
          <w:lang w:val="uk-UA"/>
        </w:rPr>
      </w:pPr>
    </w:p>
    <w:p w:rsidR="007D072F" w:rsidRPr="007D072F" w:rsidRDefault="007D072F" w:rsidP="007D072F">
      <w:pPr>
        <w:shd w:val="clear" w:color="auto" w:fill="FFFFFF"/>
        <w:autoSpaceDE w:val="0"/>
        <w:autoSpaceDN w:val="0"/>
        <w:adjustRightInd w:val="0"/>
      </w:pPr>
      <w:r w:rsidRPr="007D072F">
        <w:rPr>
          <w:b/>
          <w:bCs/>
          <w:color w:val="000000"/>
          <w:lang w:val="uk-UA"/>
        </w:rPr>
        <w:t>ПРО ОРГАНІЗАЦІЮ ВЗАЄМОДІЇ З ІНСТИТУТАМИ НАЦІОНАЛЬНОЇ ДЕПОЗИТАРНОЇ СИСТЕМИ УКРАЇНИ (НДСУ)</w:t>
      </w:r>
    </w:p>
    <w:p w:rsidR="007D072F" w:rsidRPr="007D072F" w:rsidRDefault="007D072F" w:rsidP="007D072F">
      <w:pPr>
        <w:shd w:val="clear" w:color="auto" w:fill="FFFFFF"/>
        <w:autoSpaceDE w:val="0"/>
        <w:autoSpaceDN w:val="0"/>
        <w:adjustRightInd w:val="0"/>
        <w:ind w:firstLine="708"/>
      </w:pPr>
      <w:r w:rsidRPr="007D072F">
        <w:rPr>
          <w:color w:val="000000"/>
          <w:lang w:val="uk-UA"/>
        </w:rPr>
        <w:t>1. Існуюча практика взаємодії з інститутами НДСУ не може задовольняти вимоги ЄБФСУ, перш за все, щодо оперативності процесу переоформлення прав власності на акції, особливо у ланці "зберігач - реє</w:t>
      </w:r>
      <w:r w:rsidRPr="007D072F">
        <w:rPr>
          <w:color w:val="000000"/>
          <w:lang w:val="uk-UA"/>
        </w:rPr>
        <w:softHyphen/>
        <w:t>стратор".</w:t>
      </w:r>
    </w:p>
    <w:p w:rsidR="007D072F" w:rsidRDefault="007D072F" w:rsidP="007D072F">
      <w:pPr>
        <w:ind w:firstLine="708"/>
        <w:rPr>
          <w:color w:val="000000"/>
          <w:lang w:val="uk-UA"/>
        </w:rPr>
      </w:pPr>
      <w:r w:rsidRPr="007D072F">
        <w:rPr>
          <w:color w:val="000000"/>
          <w:lang w:val="uk-UA"/>
        </w:rPr>
        <w:t>2. Необхідно удосконалити законодавчу та норма</w:t>
      </w:r>
      <w:r w:rsidRPr="007D072F">
        <w:rPr>
          <w:color w:val="000000"/>
          <w:lang w:val="uk-UA"/>
        </w:rPr>
        <w:softHyphen/>
        <w:t xml:space="preserve">тивну бази у частині врегулювання взаємовідносин між учасниками НДСУ з метою скорочення циклу переоформлення прав власності на акції. Як показує практика, сьогодні переоформлення прав власності на акції замість встановленого нормативами строку від 1 до 5 діб становить від 7 до </w:t>
      </w:r>
      <w:r>
        <w:rPr>
          <w:color w:val="000000"/>
          <w:lang w:val="uk-UA"/>
        </w:rPr>
        <w:t>30</w:t>
      </w:r>
      <w:r w:rsidRPr="007D072F">
        <w:rPr>
          <w:color w:val="000000"/>
          <w:lang w:val="uk-UA"/>
        </w:rPr>
        <w:t xml:space="preserve"> діб (включаючи етап підготування угоди). Зокрема, є необхідним перехід учасників НДСУ на електронну форму ведення дого</w:t>
      </w:r>
      <w:r w:rsidRPr="007D072F">
        <w:rPr>
          <w:color w:val="000000"/>
          <w:lang w:val="uk-UA"/>
        </w:rPr>
        <w:softHyphen/>
        <w:t>вірної документації та розрахунків між ними з визнан</w:t>
      </w:r>
      <w:r w:rsidRPr="007D072F">
        <w:rPr>
          <w:color w:val="000000"/>
          <w:lang w:val="uk-UA"/>
        </w:rPr>
        <w:softHyphen/>
        <w:t>ням електронного підпису (ключа, коду).</w:t>
      </w:r>
    </w:p>
    <w:p w:rsidR="007D072F" w:rsidRDefault="007D072F" w:rsidP="007D072F">
      <w:pPr>
        <w:pStyle w:val="1"/>
        <w:rPr>
          <w:lang w:val="uk-UA"/>
        </w:rPr>
      </w:pPr>
      <w:r>
        <w:rPr>
          <w:lang w:val="uk-UA"/>
        </w:rPr>
        <w:br w:type="page"/>
      </w:r>
      <w:bookmarkStart w:id="6" w:name="_Toc10177604"/>
      <w:r>
        <w:rPr>
          <w:lang w:val="uk-UA"/>
        </w:rPr>
        <w:t>4. Біржова торгівля акціями: проблеми та перспективи</w:t>
      </w:r>
      <w:bookmarkEnd w:id="6"/>
    </w:p>
    <w:p w:rsidR="007D072F" w:rsidRPr="001A4578" w:rsidRDefault="007D072F" w:rsidP="007D072F">
      <w:pPr>
        <w:shd w:val="clear" w:color="auto" w:fill="FFFFFF"/>
        <w:autoSpaceDE w:val="0"/>
        <w:autoSpaceDN w:val="0"/>
        <w:adjustRightInd w:val="0"/>
        <w:ind w:firstLine="708"/>
        <w:rPr>
          <w:lang w:val="uk-UA"/>
        </w:rPr>
      </w:pPr>
      <w:r w:rsidRPr="001A4578">
        <w:rPr>
          <w:color w:val="000000"/>
          <w:lang w:val="uk-UA"/>
        </w:rPr>
        <w:t>Для успішного проведення грошової приватизації в Україні необхідний аналіз попередніх (за 1995 - 1999 рр.) результатів усіх грошових видів продажу та орієнтації на тих, які є найбільш ефективними і прозорими. 2000 рік є першим роком виключно грошової приватизації, і тому та</w:t>
      </w:r>
      <w:r w:rsidRPr="001A4578">
        <w:rPr>
          <w:color w:val="000000"/>
          <w:lang w:val="uk-UA"/>
        </w:rPr>
        <w:softHyphen/>
        <w:t>кий аналіз дасть змогу забезпечити ефективний вибір видів продажу підприємств, що приватизуються, а також вико</w:t>
      </w:r>
      <w:r w:rsidRPr="001A4578">
        <w:rPr>
          <w:color w:val="000000"/>
          <w:lang w:val="uk-UA"/>
        </w:rPr>
        <w:softHyphen/>
        <w:t>нати завдання з грошових надходжень від приватизації до державного бюджету.</w:t>
      </w:r>
    </w:p>
    <w:p w:rsidR="007D072F" w:rsidRPr="001A4578" w:rsidRDefault="007D072F" w:rsidP="007D072F">
      <w:pPr>
        <w:shd w:val="clear" w:color="auto" w:fill="FFFFFF"/>
        <w:autoSpaceDE w:val="0"/>
        <w:autoSpaceDN w:val="0"/>
        <w:adjustRightInd w:val="0"/>
        <w:ind w:firstLine="708"/>
      </w:pPr>
      <w:r w:rsidRPr="001A4578">
        <w:rPr>
          <w:color w:val="000000"/>
          <w:lang w:val="uk-UA"/>
        </w:rPr>
        <w:t>Чільне місце серед грошових способів продажу акцій відкритих акціонерних товариств (ВАТ), що приватизуються, займає їх продаж на фондових біржах. Конкурси, а трохи пізніше продаж на фондових біржах були першими конку</w:t>
      </w:r>
      <w:r w:rsidRPr="001A4578">
        <w:rPr>
          <w:color w:val="000000"/>
          <w:lang w:val="uk-UA"/>
        </w:rPr>
        <w:softHyphen/>
        <w:t>рентними грошовими видами продажу.</w:t>
      </w:r>
    </w:p>
    <w:p w:rsidR="007D072F" w:rsidRPr="001A4578" w:rsidRDefault="007D072F" w:rsidP="007D072F">
      <w:pPr>
        <w:shd w:val="clear" w:color="auto" w:fill="FFFFFF"/>
        <w:autoSpaceDE w:val="0"/>
        <w:autoSpaceDN w:val="0"/>
        <w:adjustRightInd w:val="0"/>
        <w:ind w:firstLine="708"/>
      </w:pPr>
      <w:r w:rsidRPr="001A4578">
        <w:rPr>
          <w:color w:val="000000"/>
          <w:lang w:val="uk-UA"/>
        </w:rPr>
        <w:t>Фондові торги були започатковані після виходу в лю</w:t>
      </w:r>
      <w:r w:rsidRPr="001A4578">
        <w:rPr>
          <w:color w:val="000000"/>
          <w:lang w:val="uk-UA"/>
        </w:rPr>
        <w:softHyphen/>
        <w:t>тому 1995 р. Указу Президента України «Про участь Украї</w:t>
      </w:r>
      <w:r w:rsidRPr="001A4578">
        <w:rPr>
          <w:color w:val="000000"/>
          <w:lang w:val="uk-UA"/>
        </w:rPr>
        <w:softHyphen/>
        <w:t>нської фондової біржі в приватизаційних процесах». Із са</w:t>
      </w:r>
      <w:r w:rsidRPr="001A4578">
        <w:rPr>
          <w:color w:val="000000"/>
          <w:lang w:val="uk-UA"/>
        </w:rPr>
        <w:softHyphen/>
        <w:t>мої назви Указу випливає, що на той час єдиним організа</w:t>
      </w:r>
      <w:r w:rsidRPr="001A4578">
        <w:rPr>
          <w:color w:val="000000"/>
          <w:lang w:val="uk-UA"/>
        </w:rPr>
        <w:softHyphen/>
        <w:t>ційно оформленим ринком цінних паперів була Українсь</w:t>
      </w:r>
      <w:r w:rsidRPr="001A4578">
        <w:rPr>
          <w:color w:val="000000"/>
          <w:lang w:val="uk-UA"/>
        </w:rPr>
        <w:softHyphen/>
        <w:t>ка фондова біржа (УФБ). З часом кількість фондових бірж зростала, і на сьогодні Фонд державного майна України пропонує акції ВАТ, що приватизуються, вже на шести фондових біржах (табл.4). Деякі з них мають розвинену мережу філій, як то УФБ та Українська міжбанківська ва</w:t>
      </w:r>
      <w:r w:rsidRPr="001A4578">
        <w:rPr>
          <w:color w:val="000000"/>
          <w:lang w:val="uk-UA"/>
        </w:rPr>
        <w:softHyphen/>
        <w:t>лютна біржа (УМВБ). Як видно з табл. 1, у 1997 р. найбіль</w:t>
      </w:r>
      <w:r w:rsidRPr="001A4578">
        <w:rPr>
          <w:color w:val="000000"/>
          <w:lang w:val="uk-UA"/>
        </w:rPr>
        <w:softHyphen/>
        <w:t>ша кількість акцій була запропонована до продажу на УФБ, хоча за часткою проданих акцій УФБ поступилась УМВБ та Донецькій фондовій біржі (ДФБ): 19,1% проти 32% та 19,4% відповідно. Ця тенденція збереглась і протягом 1998 -1999 рр. з тією лиш різницею, що в 1998 р. найбільша час</w:t>
      </w:r>
      <w:r w:rsidRPr="001A4578">
        <w:rPr>
          <w:color w:val="000000"/>
          <w:lang w:val="uk-UA"/>
        </w:rPr>
        <w:softHyphen/>
        <w:t>тка проданих акцій порівняно до виставлених на продаж була в Позабіржовій фондовій торговельній системі (37,7%), ДФБ (18,3) та Київській міжнародній фондовій біржі (КМФБ) (15,1), а в 1999 р. на ДФБ (75,3) та УМВБ (45,7%). Кращі результати щодо продажу пакетів акцій ВАТ, що приватизуються, на тій чи іншій біржі пояснюються як кількісними, так і якісними характеристиками запропоно</w:t>
      </w:r>
      <w:r w:rsidRPr="001A4578">
        <w:rPr>
          <w:color w:val="000000"/>
          <w:lang w:val="uk-UA"/>
        </w:rPr>
        <w:softHyphen/>
        <w:t>ваних акцій. Результати продажу не залежать від бірж, ос</w:t>
      </w:r>
      <w:r w:rsidRPr="001A4578">
        <w:rPr>
          <w:color w:val="000000"/>
          <w:lang w:val="uk-UA"/>
        </w:rPr>
        <w:softHyphen/>
        <w:t>кільки рівень їх роботи як торговельних майданчиків є приблизно однаковим. Слід зазначити, що подальший роз</w:t>
      </w:r>
      <w:r w:rsidRPr="001A4578">
        <w:rPr>
          <w:color w:val="000000"/>
          <w:lang w:val="uk-UA"/>
        </w:rPr>
        <w:softHyphen/>
        <w:t>виток мережі філій фондових бірж дасть змогу залучити більшу кількість інвесторів у регіонах за місцерозташуван-ням підприємств, що приватизуються.</w:t>
      </w:r>
    </w:p>
    <w:p w:rsidR="007D072F" w:rsidRPr="001A4578" w:rsidRDefault="007D072F" w:rsidP="007D072F">
      <w:pPr>
        <w:shd w:val="clear" w:color="auto" w:fill="FFFFFF"/>
        <w:autoSpaceDE w:val="0"/>
        <w:autoSpaceDN w:val="0"/>
        <w:adjustRightInd w:val="0"/>
        <w:ind w:firstLine="708"/>
        <w:rPr>
          <w:lang w:val="uk-UA"/>
        </w:rPr>
      </w:pPr>
      <w:r w:rsidRPr="001A4578">
        <w:rPr>
          <w:color w:val="000000"/>
          <w:lang w:val="uk-UA"/>
        </w:rPr>
        <w:t>Відсоток реалізації запропонованих до продажу акцій був найбільшим у 1995 р. - 98,5% (табл. 5). До продажу була запропонована незначна кількість пакетів акцій, оскіль</w:t>
      </w:r>
      <w:r w:rsidRPr="001A4578">
        <w:rPr>
          <w:color w:val="000000"/>
          <w:lang w:val="uk-UA"/>
        </w:rPr>
        <w:softHyphen/>
        <w:t>ки цей напрям приватизації тільки розпочинався і недо</w:t>
      </w:r>
      <w:r w:rsidRPr="001A4578">
        <w:rPr>
          <w:color w:val="000000"/>
          <w:lang w:val="uk-UA"/>
        </w:rPr>
        <w:softHyphen/>
        <w:t>статньо була відпрацьована як технологія біржових торгів, так і нормативна база, яка її мала регламентувати. Це був зовсім новий і невідомий спосіб продажу, який виявився достатньо вдалим. За результатами продажу було отримано 1,85 млн грн. Співвідношення середньої ціни продажу однієї акції до її середньої номінальної вартості становило 4,66. Це свідчить про ліквідність виставлених на продаж пакетів акцій. Якщо врахувати, що стартова ціна акції визначалася на рівні її номінальної вартості, то майже всі акції були про</w:t>
      </w:r>
      <w:r w:rsidRPr="001A4578">
        <w:rPr>
          <w:color w:val="000000"/>
          <w:lang w:val="uk-UA"/>
        </w:rPr>
        <w:softHyphen/>
        <w:t>дані з перевищенням стартової ціни більш як у 4,5 раза.</w:t>
      </w:r>
    </w:p>
    <w:p w:rsidR="007D072F" w:rsidRPr="001A4578" w:rsidRDefault="007D072F" w:rsidP="007D072F">
      <w:pPr>
        <w:shd w:val="clear" w:color="auto" w:fill="FFFFFF"/>
        <w:autoSpaceDE w:val="0"/>
        <w:autoSpaceDN w:val="0"/>
        <w:adjustRightInd w:val="0"/>
        <w:ind w:firstLine="708"/>
        <w:rPr>
          <w:lang w:val="uk-UA"/>
        </w:rPr>
      </w:pPr>
      <w:r w:rsidRPr="001A4578">
        <w:rPr>
          <w:color w:val="000000"/>
          <w:lang w:val="uk-UA"/>
        </w:rPr>
        <w:t>Найменше було запропоновано пакетів акцій розмі</w:t>
      </w:r>
      <w:r w:rsidRPr="001A4578">
        <w:rPr>
          <w:color w:val="000000"/>
          <w:lang w:val="uk-UA"/>
        </w:rPr>
        <w:softHyphen/>
        <w:t>ром до 1 % від статутного фонду (СФ) - 2, найбільше розмі</w:t>
      </w:r>
      <w:r w:rsidRPr="001A4578">
        <w:rPr>
          <w:color w:val="000000"/>
          <w:lang w:val="uk-UA"/>
        </w:rPr>
        <w:softHyphen/>
        <w:t>ром від 10 до 25% від СФ - 19 (табл.6). Серед галузей ви</w:t>
      </w:r>
      <w:r w:rsidRPr="001A4578">
        <w:rPr>
          <w:color w:val="000000"/>
          <w:lang w:val="uk-UA"/>
        </w:rPr>
        <w:softHyphen/>
        <w:t>робництва найбільше було запропоновано пакетів акцій будівельних підприємств-12, підприємств машинобудуван</w:t>
      </w:r>
      <w:r w:rsidRPr="001A4578">
        <w:rPr>
          <w:color w:val="000000"/>
          <w:lang w:val="uk-UA"/>
        </w:rPr>
        <w:softHyphen/>
        <w:t>ня - 11 та підприємств легкої промисловості - 6 (табл.7). Найбільш вдалими можна вважати біржові, контракти з продажу акцій ВАТ «Українські пухові вироби» (коефіцієнт перевищення стартової ціни становить 37,7), ВАТ «Чортків-ська кондитерська фабрика» (12,8), ВАТ «Київська швейна фірма «Ластівка» (9), ВАТ «Укррічфлот» (9).</w:t>
      </w:r>
    </w:p>
    <w:p w:rsidR="001A4578" w:rsidRPr="001A4578" w:rsidRDefault="007D072F" w:rsidP="001A4578">
      <w:pPr>
        <w:shd w:val="clear" w:color="auto" w:fill="FFFFFF"/>
        <w:autoSpaceDE w:val="0"/>
        <w:autoSpaceDN w:val="0"/>
        <w:adjustRightInd w:val="0"/>
      </w:pPr>
      <w:r w:rsidRPr="001A4578">
        <w:rPr>
          <w:color w:val="000000"/>
          <w:lang w:val="uk-UA"/>
        </w:rPr>
        <w:t>У 1996 р. кількість пакетів акцій, які були запропоно</w:t>
      </w:r>
      <w:r w:rsidRPr="001A4578">
        <w:rPr>
          <w:color w:val="000000"/>
          <w:lang w:val="uk-UA"/>
        </w:rPr>
        <w:softHyphen/>
        <w:t>вані до продажу на фондових біржах, збільшилася до 315. Це зразу вплинуло на співвідношення між проданими і зап</w:t>
      </w:r>
      <w:r w:rsidRPr="001A4578">
        <w:rPr>
          <w:color w:val="000000"/>
          <w:lang w:val="uk-UA"/>
        </w:rPr>
        <w:softHyphen/>
        <w:t>ропонованими пакетами. Якщо частка проданих пакетів відносно запропонованих до продажу становила 87,6%, то частка проданих акцій становила лише 33% (див. табл. 5). Тобто найменше було реалізовано пакетів акцій розміром від 25 до 50% та більш як 50% від СФ (табл.5). Серед галу</w:t>
      </w:r>
      <w:r w:rsidRPr="001A4578">
        <w:rPr>
          <w:color w:val="000000"/>
          <w:lang w:val="uk-UA"/>
        </w:rPr>
        <w:softHyphen/>
        <w:t>зей виробництва лідерство по кількості запропонованих до продажу пакетів акцій знову ж таки утримували підприєм</w:t>
      </w:r>
      <w:r w:rsidRPr="001A4578">
        <w:rPr>
          <w:color w:val="000000"/>
          <w:lang w:val="uk-UA"/>
        </w:rPr>
        <w:softHyphen/>
        <w:t>ства машинобудування і металообробки та будівельні підприємства (табл.8). Це пояснюється тим, що процес корпоратизації, який розпочався в 1993 р., найбільше охо</w:t>
      </w:r>
      <w:r w:rsidRPr="001A4578">
        <w:rPr>
          <w:color w:val="000000"/>
          <w:lang w:val="uk-UA"/>
        </w:rPr>
        <w:softHyphen/>
        <w:t>пив ці галузі промисловості. Повністю були реалізовані пакети акцій підприємств хімічної, нафтохімічної, харчо</w:t>
      </w:r>
      <w:r w:rsidRPr="001A4578">
        <w:rPr>
          <w:color w:val="000000"/>
          <w:lang w:val="uk-UA"/>
        </w:rPr>
        <w:softHyphen/>
        <w:t>вої промисловості, а також наукової сфери. Продаж акцій проводився на УФБ та КМФБ. Порівняно до номінальної</w:t>
      </w:r>
      <w:r w:rsidR="001A4578">
        <w:rPr>
          <w:color w:val="000000"/>
          <w:lang w:val="uk-UA"/>
        </w:rPr>
        <w:t xml:space="preserve"> </w:t>
      </w:r>
      <w:r w:rsidR="001A4578" w:rsidRPr="001A4578">
        <w:rPr>
          <w:color w:val="000000"/>
          <w:lang w:val="uk-UA"/>
        </w:rPr>
        <w:t>вартості найдорожче були продані акції ВАТ «Туристичний комплекс «Націоналі»» (у 98 разів), ВАТ «Друкарня ім. Шухевича» (у 80 разів), ВАТ «Луганський електроапаратний завод» (у 40 разів), ВАТ «Хімнафтомашпроект» (у 32 рази), ВАТ «Київський центральний універмаг» (у 29 разів). Але частка цих пакетів акцій у проданих є незначною і тому за 1996 р. співвідношення вартості укладених біржових контрактів до їх номінальної вартості дорівнює лише 1,37.</w:t>
      </w:r>
    </w:p>
    <w:p w:rsidR="001A4578" w:rsidRPr="001A4578" w:rsidRDefault="001A4578" w:rsidP="001A4578">
      <w:pPr>
        <w:shd w:val="clear" w:color="auto" w:fill="FFFFFF"/>
        <w:autoSpaceDE w:val="0"/>
        <w:autoSpaceDN w:val="0"/>
        <w:adjustRightInd w:val="0"/>
        <w:ind w:firstLine="708"/>
        <w:rPr>
          <w:lang w:val="uk-UA"/>
        </w:rPr>
      </w:pPr>
      <w:r w:rsidRPr="001A4578">
        <w:rPr>
          <w:color w:val="000000"/>
          <w:lang w:val="uk-UA"/>
        </w:rPr>
        <w:t>1996 рік ще був роком переважно сертифікатної при</w:t>
      </w:r>
      <w:r w:rsidRPr="001A4578">
        <w:rPr>
          <w:color w:val="000000"/>
          <w:lang w:val="uk-UA"/>
        </w:rPr>
        <w:softHyphen/>
        <w:t>ватизації. Але в регіонах зростала потреба в торговельних майданчиках для проведення грошової приватизації. Знач</w:t>
      </w:r>
      <w:r w:rsidRPr="001A4578">
        <w:rPr>
          <w:color w:val="000000"/>
          <w:lang w:val="uk-UA"/>
        </w:rPr>
        <w:softHyphen/>
        <w:t>но зросла кількість підприємств, акції яких не були реалі</w:t>
      </w:r>
      <w:r w:rsidRPr="001A4578">
        <w:rPr>
          <w:color w:val="000000"/>
          <w:lang w:val="uk-UA"/>
        </w:rPr>
        <w:softHyphen/>
        <w:t>зовані на сертифікатних аукціонах і не могли далі продава</w:t>
      </w:r>
      <w:r w:rsidRPr="001A4578">
        <w:rPr>
          <w:color w:val="000000"/>
          <w:lang w:val="uk-UA"/>
        </w:rPr>
        <w:softHyphen/>
        <w:t>тися на них, оскільки вичерпали дозволений нормативни</w:t>
      </w:r>
      <w:r w:rsidRPr="001A4578">
        <w:rPr>
          <w:color w:val="000000"/>
          <w:lang w:val="uk-UA"/>
        </w:rPr>
        <w:softHyphen/>
        <w:t>ми документами кількіс</w:t>
      </w:r>
      <w:r>
        <w:rPr>
          <w:color w:val="000000"/>
          <w:lang w:val="uk-UA"/>
        </w:rPr>
        <w:t>ний ресурс виставлення на серти</w:t>
      </w:r>
      <w:r w:rsidRPr="001A4578">
        <w:rPr>
          <w:color w:val="000000"/>
          <w:lang w:val="uk-UA"/>
        </w:rPr>
        <w:t>фікатний аукціон. І в 1997 р. почали функціонувати УМВБ, ДФБ та ПФТС. Кількість запропонованих до продажу па</w:t>
      </w:r>
      <w:r w:rsidRPr="001A4578">
        <w:rPr>
          <w:color w:val="000000"/>
          <w:lang w:val="uk-UA"/>
        </w:rPr>
        <w:softHyphen/>
        <w:t>кетів акцій зросла більше ніж у 2 рази, і 64,6% з них були реалізовані. Оскільки найбільше було продано пакетів акцій розміром менше ніж 1% від СФ (221), то частка проданих акцій до виставлених до продажу становила лише 21,2% (табл. 7). Найменше було реалізовано пакетів акцій розмі</w:t>
      </w:r>
      <w:r w:rsidRPr="001A4578">
        <w:rPr>
          <w:color w:val="000000"/>
          <w:lang w:val="uk-UA"/>
        </w:rPr>
        <w:softHyphen/>
        <w:t>ром понад 50% від СФ-2, або 22,2%. Менше половини від запропонованих було продано пакетів акцій розміром від 25 до 50% від СФ. Найбільше, як і в попередні роки, було запропоновано акцій підприємств машинобудування і ме</w:t>
      </w:r>
      <w:r w:rsidRPr="001A4578">
        <w:rPr>
          <w:color w:val="000000"/>
          <w:lang w:val="uk-UA"/>
        </w:rPr>
        <w:softHyphen/>
        <w:t>талообробки, але відсоток проданих зменшився з 90 до 63,8% (табл. 8). Повністю реалізовано акції підприємств паливної галузі, найменше (40%) медичної промисловості. Найбільш вдалі біржові контракти з продажу акцій по ВАТ «НД1 «Кон</w:t>
      </w:r>
      <w:r w:rsidRPr="001A4578">
        <w:rPr>
          <w:color w:val="000000"/>
          <w:lang w:val="uk-UA"/>
        </w:rPr>
        <w:softHyphen/>
        <w:t>диціонер» (коефіцієнт перевищення стартової ціни стано</w:t>
      </w:r>
      <w:r w:rsidRPr="001A4578">
        <w:rPr>
          <w:color w:val="000000"/>
          <w:lang w:val="uk-UA"/>
        </w:rPr>
        <w:softHyphen/>
        <w:t>вив 28,7), ВАТ «Миколаївський річковий порт» (15,7), ВАТ</w:t>
      </w:r>
      <w:r>
        <w:rPr>
          <w:color w:val="000000"/>
          <w:lang w:val="uk-UA"/>
        </w:rPr>
        <w:t xml:space="preserve"> </w:t>
      </w:r>
      <w:r w:rsidRPr="001A4578">
        <w:rPr>
          <w:color w:val="000000"/>
          <w:lang w:val="uk-UA"/>
        </w:rPr>
        <w:t>«Індекс» (14,5), ВАТ «Львівська товарно-сировинна фірма «Львівресурси» (12).</w:t>
      </w:r>
    </w:p>
    <w:p w:rsidR="007D072F" w:rsidRDefault="001A4578" w:rsidP="001A4578">
      <w:pPr>
        <w:ind w:firstLine="708"/>
        <w:rPr>
          <w:color w:val="000000"/>
          <w:lang w:val="uk-UA"/>
        </w:rPr>
      </w:pPr>
      <w:r w:rsidRPr="001A4578">
        <w:rPr>
          <w:color w:val="000000"/>
          <w:lang w:val="uk-UA"/>
        </w:rPr>
        <w:t>На первинному ринку цінних паперів підприємств, що приватизуються, виникала ситуація, коли акції вже не могли продаватися за приватизаційні папери і не користувалися попитом на фондових біржах за грошові кошти. Привати</w:t>
      </w:r>
      <w:r w:rsidRPr="001A4578">
        <w:rPr>
          <w:color w:val="000000"/>
          <w:lang w:val="uk-UA"/>
        </w:rPr>
        <w:softHyphen/>
        <w:t>зація таких підприємств затягувалася, що призводило до різкого погіршення їх стану, а отже і привабливості їх як об'єктів приватизації. У зв'язку з цим в Державній про</w:t>
      </w:r>
      <w:r w:rsidRPr="001A4578">
        <w:rPr>
          <w:color w:val="000000"/>
          <w:lang w:val="uk-UA"/>
        </w:rPr>
        <w:softHyphen/>
        <w:t xml:space="preserve">грамі приватизації на 1998 рік була закладена норма, згідно з якою ціна продажу </w:t>
      </w:r>
      <w:r>
        <w:rPr>
          <w:color w:val="000000"/>
          <w:lang w:val="uk-UA"/>
        </w:rPr>
        <w:t xml:space="preserve">формувалася на підставі попиту </w:t>
      </w:r>
      <w:r w:rsidRPr="001A4578">
        <w:rPr>
          <w:color w:val="000000"/>
          <w:lang w:val="uk-UA"/>
        </w:rPr>
        <w:t>про</w:t>
      </w:r>
      <w:r w:rsidRPr="001A4578">
        <w:rPr>
          <w:color w:val="000000"/>
          <w:lang w:val="uk-UA"/>
        </w:rPr>
        <w:softHyphen/>
        <w:t>позиції. Якщо попит перевищував пропозицію, то ціна продажу зростала порівняно з початковою. Навпаки ціна продажу знижувалася і навіть могла бути меншою від но</w:t>
      </w:r>
      <w:r w:rsidRPr="001A4578">
        <w:rPr>
          <w:color w:val="000000"/>
          <w:lang w:val="uk-UA"/>
        </w:rPr>
        <w:softHyphen/>
        <w:t>мінальної вартості акції. Оскільки із середини 1998 р. згідно з рішенням Верховної Ради України було припинено про</w:t>
      </w:r>
      <w:r w:rsidRPr="001A4578">
        <w:rPr>
          <w:color w:val="000000"/>
          <w:lang w:val="uk-UA"/>
        </w:rPr>
        <w:softHyphen/>
        <w:t>даж пакетів акцій на аукціонах за компенсаційні сертифі</w:t>
      </w:r>
      <w:r w:rsidRPr="001A4578">
        <w:rPr>
          <w:color w:val="000000"/>
          <w:lang w:val="uk-UA"/>
        </w:rPr>
        <w:softHyphen/>
        <w:t>кати, то значно зросла їх кількість на фондових біржах майже втричі порівняно з попереднім роком. Найбільше було запропоновано до продажу пакетів акцій розміром від 10 до 25% від СФ (758), але реалізовано лише кожен третій (табл. 9). Як і в попередні роки, найбільше продано па</w:t>
      </w:r>
      <w:r w:rsidRPr="001A4578">
        <w:rPr>
          <w:color w:val="000000"/>
          <w:lang w:val="uk-UA"/>
        </w:rPr>
        <w:softHyphen/>
        <w:t>кетів акцій розміром до 1% від СФ (61,1%) та від 1 до 5% від СФ (40,4%). Найменше реалізовано пакетів акцій роз</w:t>
      </w:r>
      <w:r w:rsidRPr="001A4578">
        <w:rPr>
          <w:color w:val="000000"/>
          <w:lang w:val="uk-UA"/>
        </w:rPr>
        <w:softHyphen/>
        <w:t>міром понад 50% від СФ (12,5%). У зв'язку з цим продано лише 10,2% акцій від запропонованих до продажу. Цей показник найнижчий за всю історію біржових торгів акці</w:t>
      </w:r>
      <w:r w:rsidRPr="001A4578">
        <w:rPr>
          <w:color w:val="000000"/>
          <w:lang w:val="uk-UA"/>
        </w:rPr>
        <w:softHyphen/>
        <w:t>ями підприємств, що приватизуються. Це пояснюється появою ще одного грошового способу приватизації - про</w:t>
      </w:r>
      <w:r w:rsidRPr="001A4578">
        <w:rPr>
          <w:color w:val="000000"/>
          <w:lang w:val="uk-UA"/>
        </w:rPr>
        <w:softHyphen/>
        <w:t>дажу акцій на грошових аукціонах через мережу центрів сертифікатних аукціонів.</w:t>
      </w:r>
    </w:p>
    <w:p w:rsidR="001A4578" w:rsidRDefault="001A4578" w:rsidP="001A4578">
      <w:pPr>
        <w:ind w:firstLine="708"/>
        <w:rPr>
          <w:color w:val="000000"/>
          <w:lang w:val="uk-UA"/>
        </w:rPr>
      </w:pPr>
    </w:p>
    <w:p w:rsidR="00B453AF" w:rsidRDefault="00B453AF" w:rsidP="001A4578">
      <w:pPr>
        <w:rPr>
          <w:lang w:val="uk-UA"/>
        </w:rPr>
        <w:sectPr w:rsidR="00B453AF" w:rsidSect="001A4578">
          <w:footerReference w:type="even" r:id="rId7"/>
          <w:footerReference w:type="default" r:id="rId8"/>
          <w:pgSz w:w="11906" w:h="16838"/>
          <w:pgMar w:top="1134" w:right="851" w:bottom="1134" w:left="1701" w:header="709" w:footer="709" w:gutter="0"/>
          <w:cols w:space="708"/>
          <w:docGrid w:linePitch="360"/>
        </w:sectPr>
      </w:pPr>
    </w:p>
    <w:p w:rsidR="001A4578" w:rsidRDefault="003E0E48" w:rsidP="003E0E48">
      <w:pPr>
        <w:pStyle w:val="2"/>
        <w:rPr>
          <w:lang w:val="uk-UA"/>
        </w:rPr>
      </w:pPr>
      <w:bookmarkStart w:id="7" w:name="_Toc10177605"/>
      <w:r>
        <w:rPr>
          <w:lang w:val="uk-UA"/>
        </w:rPr>
        <w:t>Таблиця 4</w:t>
      </w:r>
      <w:bookmarkEnd w:id="7"/>
    </w:p>
    <w:p w:rsidR="003E0E48" w:rsidRDefault="003E0E48" w:rsidP="001A4578">
      <w:pPr>
        <w:rPr>
          <w:lang w:val="uk-UA"/>
        </w:rPr>
      </w:pPr>
    </w:p>
    <w:p w:rsidR="003E0E48" w:rsidRDefault="003E0E48" w:rsidP="003E0E48">
      <w:pPr>
        <w:jc w:val="center"/>
        <w:rPr>
          <w:b/>
          <w:color w:val="000000"/>
          <w:lang w:val="uk-UA"/>
        </w:rPr>
      </w:pPr>
      <w:r w:rsidRPr="003E0E48">
        <w:rPr>
          <w:b/>
          <w:color w:val="000000"/>
          <w:lang w:val="uk-UA"/>
        </w:rPr>
        <w:t>Дані про укладені протягом 1997 - 1999 рр. біржові контракти з купівлі-продажу державних пакетів акцій ВАТ, що приватизуються</w:t>
      </w:r>
    </w:p>
    <w:p w:rsidR="003E0E48" w:rsidRPr="003E0E48" w:rsidRDefault="003E0E48" w:rsidP="003E0E48">
      <w:pPr>
        <w:jc w:val="center"/>
        <w:rPr>
          <w:b/>
          <w:lang w:val="uk-UA"/>
        </w:rPr>
      </w:pPr>
    </w:p>
    <w:tbl>
      <w:tblPr>
        <w:tblW w:w="16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1372"/>
        <w:gridCol w:w="1013"/>
        <w:gridCol w:w="720"/>
        <w:gridCol w:w="1260"/>
        <w:gridCol w:w="1260"/>
        <w:gridCol w:w="1080"/>
        <w:gridCol w:w="1080"/>
        <w:gridCol w:w="1251"/>
        <w:gridCol w:w="9"/>
        <w:gridCol w:w="1260"/>
        <w:gridCol w:w="1080"/>
        <w:gridCol w:w="900"/>
        <w:gridCol w:w="1247"/>
        <w:gridCol w:w="1725"/>
      </w:tblGrid>
      <w:tr w:rsidR="00B453AF">
        <w:trPr>
          <w:gridAfter w:val="1"/>
          <w:wAfter w:w="1725" w:type="dxa"/>
          <w:trHeight w:val="176"/>
        </w:trPr>
        <w:tc>
          <w:tcPr>
            <w:tcW w:w="1395" w:type="dxa"/>
            <w:tcBorders>
              <w:bottom w:val="nil"/>
            </w:tcBorders>
          </w:tcPr>
          <w:p w:rsidR="00B453AF" w:rsidRDefault="00B453AF" w:rsidP="00B453AF">
            <w:pPr>
              <w:rPr>
                <w:lang w:val="uk-UA"/>
              </w:rPr>
            </w:pPr>
          </w:p>
        </w:tc>
        <w:tc>
          <w:tcPr>
            <w:tcW w:w="4365" w:type="dxa"/>
            <w:gridSpan w:val="4"/>
          </w:tcPr>
          <w:p w:rsidR="00B453AF" w:rsidRDefault="00B453AF" w:rsidP="00B453AF">
            <w:pPr>
              <w:jc w:val="center"/>
              <w:rPr>
                <w:lang w:val="uk-UA"/>
              </w:rPr>
            </w:pPr>
            <w:r>
              <w:rPr>
                <w:lang w:val="uk-UA"/>
              </w:rPr>
              <w:t>1997</w:t>
            </w:r>
          </w:p>
        </w:tc>
        <w:tc>
          <w:tcPr>
            <w:tcW w:w="4671" w:type="dxa"/>
            <w:gridSpan w:val="4"/>
          </w:tcPr>
          <w:p w:rsidR="00B453AF" w:rsidRDefault="00B453AF" w:rsidP="00B453AF">
            <w:pPr>
              <w:jc w:val="center"/>
              <w:rPr>
                <w:lang w:val="uk-UA"/>
              </w:rPr>
            </w:pPr>
            <w:r>
              <w:rPr>
                <w:lang w:val="uk-UA"/>
              </w:rPr>
              <w:t>1998</w:t>
            </w:r>
          </w:p>
        </w:tc>
        <w:tc>
          <w:tcPr>
            <w:tcW w:w="4496" w:type="dxa"/>
            <w:gridSpan w:val="5"/>
          </w:tcPr>
          <w:p w:rsidR="00B453AF" w:rsidRDefault="00B453AF" w:rsidP="00B453AF">
            <w:pPr>
              <w:jc w:val="center"/>
              <w:rPr>
                <w:lang w:val="uk-UA"/>
              </w:rPr>
            </w:pPr>
            <w:r>
              <w:rPr>
                <w:lang w:val="uk-UA"/>
              </w:rPr>
              <w:t>1999</w:t>
            </w:r>
          </w:p>
        </w:tc>
      </w:tr>
      <w:tr w:rsidR="00B453AF">
        <w:trPr>
          <w:cantSplit/>
          <w:trHeight w:val="1869"/>
        </w:trPr>
        <w:tc>
          <w:tcPr>
            <w:tcW w:w="1395" w:type="dxa"/>
            <w:tcBorders>
              <w:top w:val="nil"/>
            </w:tcBorders>
          </w:tcPr>
          <w:p w:rsidR="00B453AF" w:rsidRDefault="00B453AF" w:rsidP="00B453AF">
            <w:pPr>
              <w:rPr>
                <w:lang w:val="uk-UA"/>
              </w:rPr>
            </w:pPr>
          </w:p>
          <w:p w:rsidR="00B453AF" w:rsidRDefault="00B453AF" w:rsidP="00B453AF">
            <w:pPr>
              <w:rPr>
                <w:lang w:val="uk-UA"/>
              </w:rPr>
            </w:pPr>
          </w:p>
          <w:p w:rsidR="00B453AF" w:rsidRDefault="003E0E48" w:rsidP="00B453AF">
            <w:pPr>
              <w:rPr>
                <w:lang w:val="uk-UA"/>
              </w:rPr>
            </w:pPr>
            <w:r>
              <w:rPr>
                <w:lang w:val="uk-UA"/>
              </w:rPr>
              <w:t>Біржа</w:t>
            </w:r>
          </w:p>
          <w:p w:rsidR="00B453AF" w:rsidRDefault="00B453AF" w:rsidP="00B453AF">
            <w:pPr>
              <w:rPr>
                <w:lang w:val="uk-UA"/>
              </w:rPr>
            </w:pPr>
          </w:p>
        </w:tc>
        <w:tc>
          <w:tcPr>
            <w:tcW w:w="1372" w:type="dxa"/>
            <w:textDirection w:val="btLr"/>
          </w:tcPr>
          <w:p w:rsidR="00B453AF" w:rsidRDefault="00B453AF" w:rsidP="00B453AF">
            <w:pPr>
              <w:shd w:val="clear" w:color="auto" w:fill="FFFFFF"/>
              <w:autoSpaceDE w:val="0"/>
              <w:autoSpaceDN w:val="0"/>
              <w:adjustRightInd w:val="0"/>
              <w:ind w:left="113" w:right="113"/>
            </w:pPr>
            <w:r>
              <w:rPr>
                <w:color w:val="000000"/>
                <w:sz w:val="18"/>
                <w:szCs w:val="18"/>
                <w:lang w:val="uk-UA"/>
              </w:rPr>
              <w:t>Кількість</w:t>
            </w:r>
          </w:p>
          <w:p w:rsidR="00B453AF" w:rsidRDefault="00B453AF" w:rsidP="00B453AF">
            <w:pPr>
              <w:shd w:val="clear" w:color="auto" w:fill="FFFFFF"/>
              <w:autoSpaceDE w:val="0"/>
              <w:autoSpaceDN w:val="0"/>
              <w:adjustRightInd w:val="0"/>
              <w:ind w:left="113" w:right="113"/>
            </w:pPr>
            <w:r>
              <w:rPr>
                <w:color w:val="000000"/>
                <w:sz w:val="18"/>
                <w:szCs w:val="18"/>
                <w:lang w:val="uk-UA"/>
              </w:rPr>
              <w:t>запропонованих</w:t>
            </w:r>
          </w:p>
          <w:p w:rsidR="00B453AF" w:rsidRDefault="00B453AF" w:rsidP="00B453AF">
            <w:pPr>
              <w:shd w:val="clear" w:color="auto" w:fill="FFFFFF"/>
              <w:autoSpaceDE w:val="0"/>
              <w:autoSpaceDN w:val="0"/>
              <w:adjustRightInd w:val="0"/>
              <w:ind w:left="113" w:right="113"/>
            </w:pPr>
            <w:r>
              <w:rPr>
                <w:color w:val="000000"/>
                <w:sz w:val="18"/>
                <w:szCs w:val="18"/>
                <w:lang w:val="uk-UA"/>
              </w:rPr>
              <w:t>до продажу</w:t>
            </w:r>
          </w:p>
          <w:p w:rsidR="00B453AF" w:rsidRDefault="00B453AF" w:rsidP="00B453AF">
            <w:pPr>
              <w:ind w:left="113" w:right="113"/>
              <w:rPr>
                <w:lang w:val="uk-UA"/>
              </w:rPr>
            </w:pPr>
            <w:r>
              <w:rPr>
                <w:color w:val="000000"/>
                <w:sz w:val="18"/>
                <w:szCs w:val="18"/>
                <w:lang w:val="uk-UA"/>
              </w:rPr>
              <w:t>акцій, шт.</w:t>
            </w:r>
          </w:p>
          <w:p w:rsidR="00B453AF" w:rsidRDefault="00B453AF" w:rsidP="00B453AF">
            <w:pPr>
              <w:ind w:left="113" w:right="113"/>
              <w:rPr>
                <w:lang w:val="uk-UA"/>
              </w:rPr>
            </w:pPr>
          </w:p>
          <w:p w:rsidR="00B453AF" w:rsidRDefault="00B453AF" w:rsidP="00B453AF">
            <w:pPr>
              <w:ind w:left="113" w:right="113"/>
              <w:rPr>
                <w:lang w:val="uk-UA"/>
              </w:rPr>
            </w:pPr>
          </w:p>
        </w:tc>
        <w:tc>
          <w:tcPr>
            <w:tcW w:w="1013" w:type="dxa"/>
            <w:textDirection w:val="btLr"/>
          </w:tcPr>
          <w:p w:rsidR="00B453AF" w:rsidRDefault="00B453AF" w:rsidP="00B453AF">
            <w:pPr>
              <w:ind w:left="113" w:right="113"/>
              <w:rPr>
                <w:lang w:val="uk-UA"/>
              </w:rPr>
            </w:pPr>
            <w:r>
              <w:rPr>
                <w:color w:val="000000"/>
                <w:sz w:val="18"/>
                <w:szCs w:val="18"/>
                <w:lang w:val="uk-UA"/>
              </w:rPr>
              <w:t>Кількість проданих акцій, шт.</w:t>
            </w:r>
          </w:p>
          <w:p w:rsidR="00B453AF" w:rsidRDefault="00B453AF" w:rsidP="00B453AF">
            <w:pPr>
              <w:ind w:left="113" w:right="113"/>
              <w:rPr>
                <w:lang w:val="uk-UA"/>
              </w:rPr>
            </w:pPr>
          </w:p>
        </w:tc>
        <w:tc>
          <w:tcPr>
            <w:tcW w:w="720" w:type="dxa"/>
            <w:textDirection w:val="btLr"/>
          </w:tcPr>
          <w:p w:rsidR="00B453AF" w:rsidRDefault="00B453AF" w:rsidP="00B453AF">
            <w:pPr>
              <w:shd w:val="clear" w:color="auto" w:fill="FFFFFF"/>
              <w:autoSpaceDE w:val="0"/>
              <w:autoSpaceDN w:val="0"/>
              <w:adjustRightInd w:val="0"/>
              <w:ind w:left="113" w:right="113"/>
            </w:pPr>
            <w:r>
              <w:rPr>
                <w:color w:val="000000"/>
                <w:sz w:val="18"/>
                <w:szCs w:val="18"/>
                <w:lang w:val="uk-UA"/>
              </w:rPr>
              <w:t>Частка проданих акцій до виставлених на продаж, %</w:t>
            </w:r>
          </w:p>
          <w:p w:rsidR="00B453AF" w:rsidRDefault="00B453AF" w:rsidP="00B453AF">
            <w:pPr>
              <w:ind w:left="113" w:right="113"/>
              <w:rPr>
                <w:lang w:val="uk-UA"/>
              </w:rPr>
            </w:pPr>
          </w:p>
        </w:tc>
        <w:tc>
          <w:tcPr>
            <w:tcW w:w="1260" w:type="dxa"/>
            <w:textDirection w:val="btLr"/>
          </w:tcPr>
          <w:p w:rsidR="00B453AF" w:rsidRDefault="00B453AF" w:rsidP="00B453AF">
            <w:pPr>
              <w:ind w:left="113" w:right="113"/>
              <w:rPr>
                <w:lang w:val="uk-UA"/>
              </w:rPr>
            </w:pPr>
            <w:r>
              <w:rPr>
                <w:color w:val="000000"/>
                <w:sz w:val="18"/>
                <w:szCs w:val="18"/>
                <w:lang w:val="uk-UA"/>
              </w:rPr>
              <w:t>Співвідношення середньої ціни продажу однієї акції до її середньої номінальної вартості</w:t>
            </w:r>
          </w:p>
          <w:p w:rsidR="00B453AF" w:rsidRDefault="00B453AF" w:rsidP="00B453AF">
            <w:pPr>
              <w:ind w:left="113" w:right="113"/>
              <w:rPr>
                <w:lang w:val="uk-UA"/>
              </w:rPr>
            </w:pPr>
          </w:p>
          <w:p w:rsidR="00B453AF" w:rsidRDefault="00B453AF" w:rsidP="00B453AF">
            <w:pPr>
              <w:ind w:left="113" w:right="113"/>
              <w:rPr>
                <w:lang w:val="uk-UA"/>
              </w:rPr>
            </w:pPr>
          </w:p>
        </w:tc>
        <w:tc>
          <w:tcPr>
            <w:tcW w:w="1260" w:type="dxa"/>
            <w:textDirection w:val="btLr"/>
          </w:tcPr>
          <w:p w:rsidR="00B453AF" w:rsidRDefault="00B453AF" w:rsidP="00B453AF">
            <w:pPr>
              <w:shd w:val="clear" w:color="auto" w:fill="FFFFFF"/>
              <w:autoSpaceDE w:val="0"/>
              <w:autoSpaceDN w:val="0"/>
              <w:adjustRightInd w:val="0"/>
              <w:ind w:left="113" w:right="113"/>
            </w:pPr>
            <w:r>
              <w:rPr>
                <w:color w:val="000000"/>
                <w:sz w:val="18"/>
                <w:szCs w:val="18"/>
                <w:lang w:val="uk-UA"/>
              </w:rPr>
              <w:t>Кількість</w:t>
            </w:r>
          </w:p>
          <w:p w:rsidR="00B453AF" w:rsidRDefault="00B453AF" w:rsidP="00B453AF">
            <w:pPr>
              <w:shd w:val="clear" w:color="auto" w:fill="FFFFFF"/>
              <w:autoSpaceDE w:val="0"/>
              <w:autoSpaceDN w:val="0"/>
              <w:adjustRightInd w:val="0"/>
              <w:ind w:left="113" w:right="113"/>
            </w:pPr>
            <w:r>
              <w:rPr>
                <w:color w:val="000000"/>
                <w:sz w:val="18"/>
                <w:szCs w:val="18"/>
                <w:lang w:val="uk-UA"/>
              </w:rPr>
              <w:t>запропонованих</w:t>
            </w:r>
          </w:p>
          <w:p w:rsidR="00B453AF" w:rsidRDefault="00B453AF" w:rsidP="00B453AF">
            <w:pPr>
              <w:shd w:val="clear" w:color="auto" w:fill="FFFFFF"/>
              <w:autoSpaceDE w:val="0"/>
              <w:autoSpaceDN w:val="0"/>
              <w:adjustRightInd w:val="0"/>
              <w:ind w:left="113" w:right="113"/>
            </w:pPr>
            <w:r>
              <w:rPr>
                <w:color w:val="000000"/>
                <w:sz w:val="18"/>
                <w:szCs w:val="18"/>
                <w:lang w:val="uk-UA"/>
              </w:rPr>
              <w:t>до продажу</w:t>
            </w:r>
          </w:p>
          <w:p w:rsidR="00B453AF" w:rsidRDefault="00B453AF" w:rsidP="00B453AF">
            <w:pPr>
              <w:ind w:left="113" w:right="113"/>
              <w:rPr>
                <w:lang w:val="uk-UA"/>
              </w:rPr>
            </w:pPr>
            <w:r>
              <w:rPr>
                <w:color w:val="000000"/>
                <w:sz w:val="18"/>
                <w:szCs w:val="18"/>
                <w:lang w:val="uk-UA"/>
              </w:rPr>
              <w:t>акцій, шт.</w:t>
            </w:r>
          </w:p>
        </w:tc>
        <w:tc>
          <w:tcPr>
            <w:tcW w:w="1080" w:type="dxa"/>
            <w:textDirection w:val="btLr"/>
          </w:tcPr>
          <w:p w:rsidR="00B453AF" w:rsidRDefault="00B453AF" w:rsidP="00B453AF">
            <w:pPr>
              <w:ind w:left="113" w:right="113"/>
              <w:rPr>
                <w:lang w:val="uk-UA"/>
              </w:rPr>
            </w:pPr>
            <w:r>
              <w:rPr>
                <w:color w:val="000000"/>
                <w:sz w:val="18"/>
                <w:szCs w:val="18"/>
                <w:lang w:val="uk-UA"/>
              </w:rPr>
              <w:t>Кількість проданих акцій, шт.</w:t>
            </w:r>
          </w:p>
        </w:tc>
        <w:tc>
          <w:tcPr>
            <w:tcW w:w="1080" w:type="dxa"/>
            <w:textDirection w:val="btLr"/>
          </w:tcPr>
          <w:p w:rsidR="00B453AF" w:rsidRDefault="00B453AF" w:rsidP="00B453AF">
            <w:pPr>
              <w:shd w:val="clear" w:color="auto" w:fill="FFFFFF"/>
              <w:autoSpaceDE w:val="0"/>
              <w:autoSpaceDN w:val="0"/>
              <w:adjustRightInd w:val="0"/>
              <w:ind w:left="113" w:right="113"/>
            </w:pPr>
            <w:r>
              <w:rPr>
                <w:color w:val="000000"/>
                <w:sz w:val="18"/>
                <w:szCs w:val="18"/>
                <w:lang w:val="uk-UA"/>
              </w:rPr>
              <w:t>Частка проданих акцій до виставлених на продаж, %</w:t>
            </w:r>
          </w:p>
          <w:p w:rsidR="00B453AF" w:rsidRDefault="00B453AF" w:rsidP="00B453AF">
            <w:pPr>
              <w:ind w:left="113" w:right="113"/>
              <w:rPr>
                <w:lang w:val="uk-UA"/>
              </w:rPr>
            </w:pPr>
          </w:p>
        </w:tc>
        <w:tc>
          <w:tcPr>
            <w:tcW w:w="1260" w:type="dxa"/>
            <w:gridSpan w:val="2"/>
            <w:textDirection w:val="btLr"/>
          </w:tcPr>
          <w:p w:rsidR="00B453AF" w:rsidRDefault="00B453AF" w:rsidP="00B453AF">
            <w:pPr>
              <w:ind w:left="113" w:right="113"/>
              <w:rPr>
                <w:lang w:val="uk-UA"/>
              </w:rPr>
            </w:pPr>
            <w:r>
              <w:rPr>
                <w:color w:val="000000"/>
                <w:sz w:val="18"/>
                <w:szCs w:val="18"/>
                <w:lang w:val="uk-UA"/>
              </w:rPr>
              <w:t>Співвідношення середньої ціни продажу однієї акції до її серед</w:t>
            </w:r>
            <w:r>
              <w:rPr>
                <w:color w:val="000000"/>
                <w:sz w:val="18"/>
                <w:szCs w:val="18"/>
                <w:lang w:val="uk-UA"/>
              </w:rPr>
              <w:softHyphen/>
              <w:t>ньої номінальної вартості</w:t>
            </w:r>
          </w:p>
          <w:p w:rsidR="00B453AF" w:rsidRDefault="00B453AF" w:rsidP="00B453AF">
            <w:pPr>
              <w:ind w:left="113" w:right="113"/>
              <w:rPr>
                <w:lang w:val="uk-UA"/>
              </w:rPr>
            </w:pPr>
          </w:p>
        </w:tc>
        <w:tc>
          <w:tcPr>
            <w:tcW w:w="1260" w:type="dxa"/>
            <w:textDirection w:val="btLr"/>
          </w:tcPr>
          <w:p w:rsidR="00B453AF" w:rsidRDefault="00B453AF" w:rsidP="00B453AF">
            <w:pPr>
              <w:shd w:val="clear" w:color="auto" w:fill="FFFFFF"/>
              <w:autoSpaceDE w:val="0"/>
              <w:autoSpaceDN w:val="0"/>
              <w:adjustRightInd w:val="0"/>
              <w:ind w:left="113" w:right="113"/>
            </w:pPr>
            <w:r>
              <w:rPr>
                <w:color w:val="000000"/>
                <w:sz w:val="18"/>
                <w:szCs w:val="18"/>
                <w:lang w:val="uk-UA"/>
              </w:rPr>
              <w:t>Кількість</w:t>
            </w:r>
          </w:p>
          <w:p w:rsidR="00B453AF" w:rsidRDefault="00B453AF" w:rsidP="00B453AF">
            <w:pPr>
              <w:shd w:val="clear" w:color="auto" w:fill="FFFFFF"/>
              <w:autoSpaceDE w:val="0"/>
              <w:autoSpaceDN w:val="0"/>
              <w:adjustRightInd w:val="0"/>
              <w:ind w:left="113" w:right="113"/>
            </w:pPr>
            <w:r>
              <w:rPr>
                <w:color w:val="000000"/>
                <w:sz w:val="18"/>
                <w:szCs w:val="18"/>
                <w:lang w:val="uk-UA"/>
              </w:rPr>
              <w:t>запропонованих</w:t>
            </w:r>
          </w:p>
          <w:p w:rsidR="00B453AF" w:rsidRDefault="00B453AF" w:rsidP="00B453AF">
            <w:pPr>
              <w:shd w:val="clear" w:color="auto" w:fill="FFFFFF"/>
              <w:autoSpaceDE w:val="0"/>
              <w:autoSpaceDN w:val="0"/>
              <w:adjustRightInd w:val="0"/>
              <w:ind w:left="113" w:right="113"/>
            </w:pPr>
            <w:r>
              <w:rPr>
                <w:color w:val="000000"/>
                <w:sz w:val="18"/>
                <w:szCs w:val="18"/>
                <w:lang w:val="uk-UA"/>
              </w:rPr>
              <w:t>до продажу</w:t>
            </w:r>
          </w:p>
          <w:p w:rsidR="00B453AF" w:rsidRDefault="00B453AF" w:rsidP="00B453AF">
            <w:pPr>
              <w:ind w:left="113" w:right="113"/>
              <w:rPr>
                <w:lang w:val="uk-UA"/>
              </w:rPr>
            </w:pPr>
            <w:r>
              <w:rPr>
                <w:color w:val="000000"/>
                <w:sz w:val="18"/>
                <w:szCs w:val="18"/>
                <w:lang w:val="uk-UA"/>
              </w:rPr>
              <w:t>акцій, шт.</w:t>
            </w:r>
          </w:p>
        </w:tc>
        <w:tc>
          <w:tcPr>
            <w:tcW w:w="1080" w:type="dxa"/>
            <w:textDirection w:val="btLr"/>
          </w:tcPr>
          <w:p w:rsidR="00B453AF" w:rsidRDefault="00B453AF" w:rsidP="00B453AF">
            <w:pPr>
              <w:ind w:left="113" w:right="113"/>
              <w:rPr>
                <w:lang w:val="uk-UA"/>
              </w:rPr>
            </w:pPr>
            <w:r>
              <w:rPr>
                <w:color w:val="000000"/>
                <w:sz w:val="18"/>
                <w:szCs w:val="18"/>
                <w:lang w:val="uk-UA"/>
              </w:rPr>
              <w:t>Кількість проданих акцій, шт.</w:t>
            </w:r>
          </w:p>
        </w:tc>
        <w:tc>
          <w:tcPr>
            <w:tcW w:w="900" w:type="dxa"/>
            <w:textDirection w:val="btLr"/>
          </w:tcPr>
          <w:p w:rsidR="00B453AF" w:rsidRDefault="00B453AF" w:rsidP="00B453AF">
            <w:pPr>
              <w:shd w:val="clear" w:color="auto" w:fill="FFFFFF"/>
              <w:autoSpaceDE w:val="0"/>
              <w:autoSpaceDN w:val="0"/>
              <w:adjustRightInd w:val="0"/>
              <w:ind w:left="113" w:right="113"/>
            </w:pPr>
            <w:r>
              <w:rPr>
                <w:color w:val="000000"/>
                <w:sz w:val="18"/>
                <w:szCs w:val="18"/>
                <w:lang w:val="uk-UA"/>
              </w:rPr>
              <w:t>Частка проданих акцій до виставлених на продаж, %</w:t>
            </w:r>
          </w:p>
          <w:p w:rsidR="00B453AF" w:rsidRDefault="00B453AF" w:rsidP="00B453AF">
            <w:pPr>
              <w:ind w:left="113" w:right="113"/>
              <w:rPr>
                <w:lang w:val="uk-UA"/>
              </w:rPr>
            </w:pPr>
          </w:p>
        </w:tc>
        <w:tc>
          <w:tcPr>
            <w:tcW w:w="1247" w:type="dxa"/>
            <w:textDirection w:val="btLr"/>
          </w:tcPr>
          <w:p w:rsidR="00B453AF" w:rsidRDefault="00B453AF" w:rsidP="00B453AF">
            <w:pPr>
              <w:ind w:left="113" w:right="113"/>
              <w:rPr>
                <w:lang w:val="uk-UA"/>
              </w:rPr>
            </w:pPr>
            <w:r>
              <w:rPr>
                <w:color w:val="000000"/>
                <w:sz w:val="18"/>
                <w:szCs w:val="18"/>
                <w:lang w:val="uk-UA"/>
              </w:rPr>
              <w:t>Співвідношення середньої ціни продажу однієї акції до її серед</w:t>
            </w:r>
            <w:r>
              <w:rPr>
                <w:color w:val="000000"/>
                <w:sz w:val="18"/>
                <w:szCs w:val="18"/>
                <w:lang w:val="uk-UA"/>
              </w:rPr>
              <w:softHyphen/>
              <w:t>ньої номінальної вартості</w:t>
            </w:r>
          </w:p>
          <w:p w:rsidR="00B453AF" w:rsidRDefault="00B453AF" w:rsidP="00B453AF">
            <w:pPr>
              <w:ind w:left="113" w:right="113"/>
              <w:rPr>
                <w:lang w:val="uk-UA"/>
              </w:rPr>
            </w:pPr>
          </w:p>
        </w:tc>
        <w:tc>
          <w:tcPr>
            <w:tcW w:w="1725" w:type="dxa"/>
            <w:vMerge w:val="restart"/>
            <w:tcBorders>
              <w:top w:val="nil"/>
            </w:tcBorders>
            <w:textDirection w:val="btLr"/>
          </w:tcPr>
          <w:p w:rsidR="00B453AF" w:rsidRDefault="00B453AF" w:rsidP="00B453AF"/>
          <w:p w:rsidR="00B453AF" w:rsidRDefault="00B453AF" w:rsidP="00B453AF">
            <w:pPr>
              <w:shd w:val="clear" w:color="auto" w:fill="FFFFFF"/>
              <w:autoSpaceDE w:val="0"/>
              <w:autoSpaceDN w:val="0"/>
              <w:adjustRightInd w:val="0"/>
              <w:rPr>
                <w:lang w:val="uk-UA"/>
              </w:rPr>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326"/>
        </w:trPr>
        <w:tc>
          <w:tcPr>
            <w:tcW w:w="1395"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Українська фондова біржа</w:t>
            </w:r>
          </w:p>
          <w:p w:rsidR="00B453AF" w:rsidRDefault="00B453AF" w:rsidP="003E0E48">
            <w:pPr>
              <w:shd w:val="clear" w:color="auto" w:fill="FFFFFF"/>
              <w:autoSpaceDE w:val="0"/>
              <w:autoSpaceDN w:val="0"/>
              <w:adjustRightInd w:val="0"/>
              <w:jc w:val="center"/>
            </w:pPr>
          </w:p>
        </w:tc>
        <w:tc>
          <w:tcPr>
            <w:tcW w:w="1372"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200 628 694</w:t>
            </w:r>
          </w:p>
          <w:p w:rsidR="00B453AF" w:rsidRDefault="00B453AF" w:rsidP="003E0E48">
            <w:pPr>
              <w:shd w:val="clear" w:color="auto" w:fill="FFFFFF"/>
              <w:autoSpaceDE w:val="0"/>
              <w:autoSpaceDN w:val="0"/>
              <w:adjustRightInd w:val="0"/>
              <w:jc w:val="center"/>
            </w:pPr>
          </w:p>
        </w:tc>
        <w:tc>
          <w:tcPr>
            <w:tcW w:w="1013"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38 375 588</w:t>
            </w:r>
          </w:p>
          <w:p w:rsidR="00B453AF" w:rsidRDefault="00B453AF" w:rsidP="003E0E48">
            <w:pPr>
              <w:shd w:val="clear" w:color="auto" w:fill="FFFFFF"/>
              <w:autoSpaceDE w:val="0"/>
              <w:autoSpaceDN w:val="0"/>
              <w:adjustRightInd w:val="0"/>
              <w:jc w:val="center"/>
            </w:pPr>
          </w:p>
        </w:tc>
        <w:tc>
          <w:tcPr>
            <w:tcW w:w="720"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19,1</w:t>
            </w:r>
          </w:p>
          <w:p w:rsidR="00B453AF" w:rsidRDefault="00B453AF" w:rsidP="003E0E48">
            <w:pPr>
              <w:shd w:val="clear" w:color="auto" w:fill="FFFFFF"/>
              <w:autoSpaceDE w:val="0"/>
              <w:autoSpaceDN w:val="0"/>
              <w:adjustRightInd w:val="0"/>
              <w:jc w:val="center"/>
            </w:pPr>
          </w:p>
        </w:tc>
        <w:tc>
          <w:tcPr>
            <w:tcW w:w="1260"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1,33</w:t>
            </w:r>
          </w:p>
          <w:p w:rsidR="00B453AF" w:rsidRDefault="00B453AF" w:rsidP="003E0E48">
            <w:pPr>
              <w:shd w:val="clear" w:color="auto" w:fill="FFFFFF"/>
              <w:autoSpaceDE w:val="0"/>
              <w:autoSpaceDN w:val="0"/>
              <w:adjustRightInd w:val="0"/>
              <w:jc w:val="center"/>
            </w:pPr>
          </w:p>
        </w:tc>
        <w:tc>
          <w:tcPr>
            <w:tcW w:w="1260" w:type="dxa"/>
            <w:tcBorders>
              <w:top w:val="single" w:sz="6" w:space="0" w:color="auto"/>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1 951 520 638</w:t>
            </w:r>
          </w:p>
          <w:p w:rsidR="00B453AF" w:rsidRDefault="00B453AF" w:rsidP="003E0E48">
            <w:pPr>
              <w:shd w:val="clear" w:color="auto" w:fill="FFFFFF"/>
              <w:autoSpaceDE w:val="0"/>
              <w:autoSpaceDN w:val="0"/>
              <w:adjustRightInd w:val="0"/>
              <w:jc w:val="center"/>
            </w:pPr>
          </w:p>
        </w:tc>
        <w:tc>
          <w:tcPr>
            <w:tcW w:w="1080" w:type="dxa"/>
            <w:tcBorders>
              <w:top w:val="single" w:sz="6" w:space="0" w:color="auto"/>
              <w:left w:val="single" w:sz="4"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117 635755</w:t>
            </w:r>
          </w:p>
          <w:p w:rsidR="00B453AF" w:rsidRDefault="00B453AF" w:rsidP="003E0E48">
            <w:pPr>
              <w:shd w:val="clear" w:color="auto" w:fill="FFFFFF"/>
              <w:autoSpaceDE w:val="0"/>
              <w:autoSpaceDN w:val="0"/>
              <w:adjustRightInd w:val="0"/>
              <w:jc w:val="center"/>
            </w:pPr>
          </w:p>
        </w:tc>
        <w:tc>
          <w:tcPr>
            <w:tcW w:w="1080" w:type="dxa"/>
            <w:tcBorders>
              <w:top w:val="single" w:sz="6" w:space="0" w:color="auto"/>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6,0</w:t>
            </w:r>
          </w:p>
          <w:p w:rsidR="00B453AF" w:rsidRDefault="00B453AF" w:rsidP="003E0E48">
            <w:pPr>
              <w:shd w:val="clear" w:color="auto" w:fill="FFFFFF"/>
              <w:autoSpaceDE w:val="0"/>
              <w:autoSpaceDN w:val="0"/>
              <w:adjustRightInd w:val="0"/>
              <w:jc w:val="center"/>
            </w:pPr>
          </w:p>
        </w:tc>
        <w:tc>
          <w:tcPr>
            <w:tcW w:w="1260" w:type="dxa"/>
            <w:gridSpan w:val="2"/>
            <w:tcBorders>
              <w:top w:val="single" w:sz="6" w:space="0" w:color="auto"/>
              <w:left w:val="single" w:sz="4"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2,44</w:t>
            </w:r>
          </w:p>
          <w:p w:rsidR="00B453AF" w:rsidRDefault="00B453AF" w:rsidP="003E0E48">
            <w:pPr>
              <w:shd w:val="clear" w:color="auto" w:fill="FFFFFF"/>
              <w:autoSpaceDE w:val="0"/>
              <w:autoSpaceDN w:val="0"/>
              <w:adjustRightInd w:val="0"/>
              <w:jc w:val="center"/>
            </w:pPr>
          </w:p>
        </w:tc>
        <w:tc>
          <w:tcPr>
            <w:tcW w:w="1260"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1 064 586 412</w:t>
            </w:r>
          </w:p>
          <w:p w:rsidR="00B453AF" w:rsidRDefault="00B453AF" w:rsidP="003E0E48">
            <w:pPr>
              <w:shd w:val="clear" w:color="auto" w:fill="FFFFFF"/>
              <w:autoSpaceDE w:val="0"/>
              <w:autoSpaceDN w:val="0"/>
              <w:adjustRightInd w:val="0"/>
              <w:jc w:val="center"/>
            </w:pPr>
          </w:p>
        </w:tc>
        <w:tc>
          <w:tcPr>
            <w:tcW w:w="1080"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286 900 838</w:t>
            </w:r>
          </w:p>
          <w:p w:rsidR="00B453AF" w:rsidRDefault="00B453AF" w:rsidP="003E0E48">
            <w:pPr>
              <w:shd w:val="clear" w:color="auto" w:fill="FFFFFF"/>
              <w:autoSpaceDE w:val="0"/>
              <w:autoSpaceDN w:val="0"/>
              <w:adjustRightInd w:val="0"/>
              <w:jc w:val="center"/>
            </w:pPr>
          </w:p>
        </w:tc>
        <w:tc>
          <w:tcPr>
            <w:tcW w:w="900" w:type="dxa"/>
            <w:tcBorders>
              <w:top w:val="single" w:sz="6" w:space="0" w:color="auto"/>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27,0</w:t>
            </w:r>
          </w:p>
          <w:p w:rsidR="00B453AF" w:rsidRDefault="00B453AF" w:rsidP="003E0E48">
            <w:pPr>
              <w:shd w:val="clear" w:color="auto" w:fill="FFFFFF"/>
              <w:autoSpaceDE w:val="0"/>
              <w:autoSpaceDN w:val="0"/>
              <w:adjustRightInd w:val="0"/>
              <w:jc w:val="center"/>
            </w:pPr>
          </w:p>
        </w:tc>
        <w:tc>
          <w:tcPr>
            <w:tcW w:w="1247" w:type="dxa"/>
            <w:tcBorders>
              <w:top w:val="single" w:sz="6" w:space="0" w:color="auto"/>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1,38</w:t>
            </w:r>
          </w:p>
          <w:p w:rsidR="00B453AF" w:rsidRDefault="00B453AF" w:rsidP="003E0E48">
            <w:pPr>
              <w:shd w:val="clear" w:color="auto" w:fill="FFFFFF"/>
              <w:autoSpaceDE w:val="0"/>
              <w:autoSpaceDN w:val="0"/>
              <w:adjustRightInd w:val="0"/>
              <w:jc w:val="center"/>
            </w:pPr>
          </w:p>
        </w:tc>
        <w:tc>
          <w:tcPr>
            <w:tcW w:w="1725" w:type="dxa"/>
            <w:vMerge/>
            <w:tcBorders>
              <w:left w:val="single" w:sz="4" w:space="0" w:color="auto"/>
              <w:bottom w:val="nil"/>
            </w:tcBorders>
          </w:tcPr>
          <w:p w:rsidR="00B453AF" w:rsidRDefault="00B453AF" w:rsidP="00B453AF">
            <w:pPr>
              <w:shd w:val="clear" w:color="auto" w:fill="FFFFFF"/>
              <w:autoSpaceDE w:val="0"/>
              <w:autoSpaceDN w:val="0"/>
              <w:adjustRightInd w:val="0"/>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11"/>
        </w:trPr>
        <w:tc>
          <w:tcPr>
            <w:tcW w:w="1395"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Українська міжбанківська валютна біржа</w:t>
            </w:r>
          </w:p>
          <w:p w:rsidR="00B453AF" w:rsidRDefault="00B453AF" w:rsidP="003E0E48">
            <w:pPr>
              <w:shd w:val="clear" w:color="auto" w:fill="FFFFFF"/>
              <w:autoSpaceDE w:val="0"/>
              <w:autoSpaceDN w:val="0"/>
              <w:adjustRightInd w:val="0"/>
              <w:jc w:val="center"/>
            </w:pPr>
          </w:p>
        </w:tc>
        <w:tc>
          <w:tcPr>
            <w:tcW w:w="1372"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74 493 416</w:t>
            </w:r>
          </w:p>
          <w:p w:rsidR="00B453AF" w:rsidRDefault="00B453AF" w:rsidP="003E0E48">
            <w:pPr>
              <w:shd w:val="clear" w:color="auto" w:fill="FFFFFF"/>
              <w:autoSpaceDE w:val="0"/>
              <w:autoSpaceDN w:val="0"/>
              <w:adjustRightInd w:val="0"/>
              <w:jc w:val="center"/>
            </w:pPr>
          </w:p>
        </w:tc>
        <w:tc>
          <w:tcPr>
            <w:tcW w:w="1013"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23 857 253</w:t>
            </w:r>
          </w:p>
          <w:p w:rsidR="00B453AF" w:rsidRDefault="00B453AF" w:rsidP="003E0E48">
            <w:pPr>
              <w:shd w:val="clear" w:color="auto" w:fill="FFFFFF"/>
              <w:autoSpaceDE w:val="0"/>
              <w:autoSpaceDN w:val="0"/>
              <w:adjustRightInd w:val="0"/>
              <w:jc w:val="center"/>
            </w:pPr>
          </w:p>
        </w:tc>
        <w:tc>
          <w:tcPr>
            <w:tcW w:w="72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32,0</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1,60</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611 174538</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91 222 693</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14,9</w:t>
            </w:r>
          </w:p>
          <w:p w:rsidR="00B453AF" w:rsidRDefault="00B453AF" w:rsidP="003E0E48">
            <w:pPr>
              <w:shd w:val="clear" w:color="auto" w:fill="FFFFFF"/>
              <w:autoSpaceDE w:val="0"/>
              <w:autoSpaceDN w:val="0"/>
              <w:adjustRightInd w:val="0"/>
              <w:jc w:val="center"/>
            </w:pPr>
          </w:p>
        </w:tc>
        <w:tc>
          <w:tcPr>
            <w:tcW w:w="1260" w:type="dxa"/>
            <w:gridSpan w:val="2"/>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1,98</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1 202 906 195</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549 742 941</w:t>
            </w:r>
          </w:p>
          <w:p w:rsidR="00B453AF" w:rsidRDefault="00B453AF" w:rsidP="003E0E48">
            <w:pPr>
              <w:shd w:val="clear" w:color="auto" w:fill="FFFFFF"/>
              <w:autoSpaceDE w:val="0"/>
              <w:autoSpaceDN w:val="0"/>
              <w:adjustRightInd w:val="0"/>
              <w:jc w:val="center"/>
            </w:pPr>
          </w:p>
        </w:tc>
        <w:tc>
          <w:tcPr>
            <w:tcW w:w="90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45,7</w:t>
            </w:r>
          </w:p>
          <w:p w:rsidR="00B453AF" w:rsidRDefault="00B453AF" w:rsidP="003E0E48">
            <w:pPr>
              <w:shd w:val="clear" w:color="auto" w:fill="FFFFFF"/>
              <w:autoSpaceDE w:val="0"/>
              <w:autoSpaceDN w:val="0"/>
              <w:adjustRightInd w:val="0"/>
              <w:jc w:val="center"/>
            </w:pPr>
          </w:p>
        </w:tc>
        <w:tc>
          <w:tcPr>
            <w:tcW w:w="1247" w:type="dxa"/>
            <w:tcBorders>
              <w:top w:val="nil"/>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1,24</w:t>
            </w:r>
          </w:p>
          <w:p w:rsidR="00B453AF" w:rsidRDefault="00B453AF" w:rsidP="003E0E48">
            <w:pPr>
              <w:shd w:val="clear" w:color="auto" w:fill="FFFFFF"/>
              <w:autoSpaceDE w:val="0"/>
              <w:autoSpaceDN w:val="0"/>
              <w:adjustRightInd w:val="0"/>
              <w:jc w:val="center"/>
            </w:pPr>
          </w:p>
        </w:tc>
        <w:tc>
          <w:tcPr>
            <w:tcW w:w="1725" w:type="dxa"/>
            <w:tcBorders>
              <w:top w:val="nil"/>
              <w:left w:val="single" w:sz="4" w:space="0" w:color="auto"/>
              <w:bottom w:val="nil"/>
              <w:right w:val="single" w:sz="4" w:space="0" w:color="auto"/>
            </w:tcBorders>
          </w:tcPr>
          <w:p w:rsidR="00B453AF" w:rsidRDefault="00B453AF" w:rsidP="00B453AF"/>
          <w:p w:rsidR="00B453AF" w:rsidRDefault="00B453AF" w:rsidP="00B453AF">
            <w:pPr>
              <w:shd w:val="clear" w:color="auto" w:fill="FFFFFF"/>
              <w:autoSpaceDE w:val="0"/>
              <w:autoSpaceDN w:val="0"/>
              <w:adjustRightInd w:val="0"/>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11"/>
        </w:trPr>
        <w:tc>
          <w:tcPr>
            <w:tcW w:w="1395"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Київська міжнародна фондова біржа</w:t>
            </w:r>
          </w:p>
          <w:p w:rsidR="00B453AF" w:rsidRDefault="00B453AF" w:rsidP="003E0E48">
            <w:pPr>
              <w:shd w:val="clear" w:color="auto" w:fill="FFFFFF"/>
              <w:autoSpaceDE w:val="0"/>
              <w:autoSpaceDN w:val="0"/>
              <w:adjustRightInd w:val="0"/>
              <w:jc w:val="center"/>
            </w:pPr>
          </w:p>
        </w:tc>
        <w:tc>
          <w:tcPr>
            <w:tcW w:w="1372"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51 459 078</w:t>
            </w:r>
          </w:p>
          <w:p w:rsidR="00B453AF" w:rsidRDefault="00B453AF" w:rsidP="003E0E48">
            <w:pPr>
              <w:shd w:val="clear" w:color="auto" w:fill="FFFFFF"/>
              <w:autoSpaceDE w:val="0"/>
              <w:autoSpaceDN w:val="0"/>
              <w:adjustRightInd w:val="0"/>
              <w:jc w:val="center"/>
            </w:pPr>
          </w:p>
        </w:tc>
        <w:tc>
          <w:tcPr>
            <w:tcW w:w="1013"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7 149 220</w:t>
            </w:r>
          </w:p>
          <w:p w:rsidR="00B453AF" w:rsidRDefault="00B453AF" w:rsidP="003E0E48">
            <w:pPr>
              <w:shd w:val="clear" w:color="auto" w:fill="FFFFFF"/>
              <w:autoSpaceDE w:val="0"/>
              <w:autoSpaceDN w:val="0"/>
              <w:adjustRightInd w:val="0"/>
              <w:jc w:val="center"/>
            </w:pPr>
          </w:p>
        </w:tc>
        <w:tc>
          <w:tcPr>
            <w:tcW w:w="72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13,9</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2,26</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303 355 586</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45 886 401</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15,1</w:t>
            </w:r>
          </w:p>
          <w:p w:rsidR="00B453AF" w:rsidRDefault="00B453AF" w:rsidP="003E0E48">
            <w:pPr>
              <w:shd w:val="clear" w:color="auto" w:fill="FFFFFF"/>
              <w:autoSpaceDE w:val="0"/>
              <w:autoSpaceDN w:val="0"/>
              <w:adjustRightInd w:val="0"/>
              <w:jc w:val="center"/>
            </w:pPr>
          </w:p>
        </w:tc>
        <w:tc>
          <w:tcPr>
            <w:tcW w:w="1260" w:type="dxa"/>
            <w:gridSpan w:val="2"/>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1,53</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531 909 569</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117 303 887</w:t>
            </w:r>
          </w:p>
          <w:p w:rsidR="00B453AF" w:rsidRDefault="00B453AF" w:rsidP="003E0E48">
            <w:pPr>
              <w:shd w:val="clear" w:color="auto" w:fill="FFFFFF"/>
              <w:autoSpaceDE w:val="0"/>
              <w:autoSpaceDN w:val="0"/>
              <w:adjustRightInd w:val="0"/>
              <w:jc w:val="center"/>
            </w:pPr>
          </w:p>
        </w:tc>
        <w:tc>
          <w:tcPr>
            <w:tcW w:w="90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22,1</w:t>
            </w:r>
          </w:p>
          <w:p w:rsidR="00B453AF" w:rsidRDefault="00B453AF" w:rsidP="003E0E48">
            <w:pPr>
              <w:shd w:val="clear" w:color="auto" w:fill="FFFFFF"/>
              <w:autoSpaceDE w:val="0"/>
              <w:autoSpaceDN w:val="0"/>
              <w:adjustRightInd w:val="0"/>
              <w:jc w:val="center"/>
            </w:pPr>
          </w:p>
        </w:tc>
        <w:tc>
          <w:tcPr>
            <w:tcW w:w="1247" w:type="dxa"/>
            <w:tcBorders>
              <w:top w:val="nil"/>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1,22</w:t>
            </w:r>
          </w:p>
          <w:p w:rsidR="00B453AF" w:rsidRDefault="00B453AF" w:rsidP="003E0E48">
            <w:pPr>
              <w:shd w:val="clear" w:color="auto" w:fill="FFFFFF"/>
              <w:autoSpaceDE w:val="0"/>
              <w:autoSpaceDN w:val="0"/>
              <w:adjustRightInd w:val="0"/>
              <w:jc w:val="center"/>
            </w:pPr>
          </w:p>
        </w:tc>
        <w:tc>
          <w:tcPr>
            <w:tcW w:w="1725" w:type="dxa"/>
            <w:tcBorders>
              <w:top w:val="nil"/>
              <w:left w:val="single" w:sz="4" w:space="0" w:color="auto"/>
              <w:bottom w:val="nil"/>
              <w:right w:val="single" w:sz="4" w:space="0" w:color="auto"/>
            </w:tcBorders>
          </w:tcPr>
          <w:p w:rsidR="00B453AF" w:rsidRDefault="00B453AF" w:rsidP="00B453AF"/>
          <w:p w:rsidR="00B453AF" w:rsidRDefault="00B453AF" w:rsidP="00B453AF">
            <w:pPr>
              <w:shd w:val="clear" w:color="auto" w:fill="FFFFFF"/>
              <w:autoSpaceDE w:val="0"/>
              <w:autoSpaceDN w:val="0"/>
              <w:adjustRightInd w:val="0"/>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11"/>
        </w:trPr>
        <w:tc>
          <w:tcPr>
            <w:tcW w:w="1395"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Донецька фондова біржа</w:t>
            </w:r>
          </w:p>
          <w:p w:rsidR="00B453AF" w:rsidRDefault="00B453AF" w:rsidP="003E0E48">
            <w:pPr>
              <w:shd w:val="clear" w:color="auto" w:fill="FFFFFF"/>
              <w:autoSpaceDE w:val="0"/>
              <w:autoSpaceDN w:val="0"/>
              <w:adjustRightInd w:val="0"/>
              <w:jc w:val="center"/>
            </w:pPr>
          </w:p>
        </w:tc>
        <w:tc>
          <w:tcPr>
            <w:tcW w:w="1372"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16 224 779</w:t>
            </w:r>
          </w:p>
          <w:p w:rsidR="00B453AF" w:rsidRDefault="00B453AF" w:rsidP="003E0E48">
            <w:pPr>
              <w:shd w:val="clear" w:color="auto" w:fill="FFFFFF"/>
              <w:autoSpaceDE w:val="0"/>
              <w:autoSpaceDN w:val="0"/>
              <w:adjustRightInd w:val="0"/>
              <w:jc w:val="center"/>
            </w:pPr>
          </w:p>
        </w:tc>
        <w:tc>
          <w:tcPr>
            <w:tcW w:w="1013"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3 153 833</w:t>
            </w:r>
          </w:p>
          <w:p w:rsidR="00B453AF" w:rsidRDefault="00B453AF" w:rsidP="003E0E48">
            <w:pPr>
              <w:shd w:val="clear" w:color="auto" w:fill="FFFFFF"/>
              <w:autoSpaceDE w:val="0"/>
              <w:autoSpaceDN w:val="0"/>
              <w:adjustRightInd w:val="0"/>
              <w:jc w:val="center"/>
            </w:pPr>
          </w:p>
        </w:tc>
        <w:tc>
          <w:tcPr>
            <w:tcW w:w="72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19,4</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2,50</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164 392 263</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ЗО 147 707</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18,3</w:t>
            </w:r>
          </w:p>
          <w:p w:rsidR="00B453AF" w:rsidRDefault="00B453AF" w:rsidP="003E0E48">
            <w:pPr>
              <w:shd w:val="clear" w:color="auto" w:fill="FFFFFF"/>
              <w:autoSpaceDE w:val="0"/>
              <w:autoSpaceDN w:val="0"/>
              <w:adjustRightInd w:val="0"/>
              <w:jc w:val="center"/>
            </w:pPr>
          </w:p>
        </w:tc>
        <w:tc>
          <w:tcPr>
            <w:tcW w:w="1260" w:type="dxa"/>
            <w:gridSpan w:val="2"/>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2,59</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313 585 777</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236 205 162</w:t>
            </w:r>
          </w:p>
          <w:p w:rsidR="00B453AF" w:rsidRDefault="00B453AF" w:rsidP="003E0E48">
            <w:pPr>
              <w:shd w:val="clear" w:color="auto" w:fill="FFFFFF"/>
              <w:autoSpaceDE w:val="0"/>
              <w:autoSpaceDN w:val="0"/>
              <w:adjustRightInd w:val="0"/>
              <w:jc w:val="center"/>
            </w:pPr>
          </w:p>
        </w:tc>
        <w:tc>
          <w:tcPr>
            <w:tcW w:w="90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75,3</w:t>
            </w:r>
          </w:p>
          <w:p w:rsidR="00B453AF" w:rsidRDefault="00B453AF" w:rsidP="003E0E48">
            <w:pPr>
              <w:shd w:val="clear" w:color="auto" w:fill="FFFFFF"/>
              <w:autoSpaceDE w:val="0"/>
              <w:autoSpaceDN w:val="0"/>
              <w:adjustRightInd w:val="0"/>
              <w:jc w:val="center"/>
            </w:pPr>
          </w:p>
        </w:tc>
        <w:tc>
          <w:tcPr>
            <w:tcW w:w="1247" w:type="dxa"/>
            <w:tcBorders>
              <w:top w:val="nil"/>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0,90</w:t>
            </w:r>
          </w:p>
          <w:p w:rsidR="00B453AF" w:rsidRDefault="00B453AF" w:rsidP="003E0E48">
            <w:pPr>
              <w:shd w:val="clear" w:color="auto" w:fill="FFFFFF"/>
              <w:autoSpaceDE w:val="0"/>
              <w:autoSpaceDN w:val="0"/>
              <w:adjustRightInd w:val="0"/>
              <w:jc w:val="center"/>
            </w:pPr>
          </w:p>
        </w:tc>
        <w:tc>
          <w:tcPr>
            <w:tcW w:w="1725" w:type="dxa"/>
            <w:tcBorders>
              <w:top w:val="nil"/>
              <w:left w:val="single" w:sz="4" w:space="0" w:color="auto"/>
              <w:bottom w:val="nil"/>
              <w:right w:val="single" w:sz="4" w:space="0" w:color="auto"/>
            </w:tcBorders>
          </w:tcPr>
          <w:p w:rsidR="00B453AF" w:rsidRDefault="00B453AF" w:rsidP="00B453AF"/>
          <w:p w:rsidR="00B453AF" w:rsidRDefault="00B453AF" w:rsidP="00B453AF">
            <w:pPr>
              <w:shd w:val="clear" w:color="auto" w:fill="FFFFFF"/>
              <w:autoSpaceDE w:val="0"/>
              <w:autoSpaceDN w:val="0"/>
              <w:adjustRightInd w:val="0"/>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21"/>
        </w:trPr>
        <w:tc>
          <w:tcPr>
            <w:tcW w:w="1395"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Придніпровська фондова біржа</w:t>
            </w:r>
          </w:p>
          <w:p w:rsidR="00B453AF" w:rsidRDefault="00B453AF" w:rsidP="003E0E48">
            <w:pPr>
              <w:shd w:val="clear" w:color="auto" w:fill="FFFFFF"/>
              <w:autoSpaceDE w:val="0"/>
              <w:autoSpaceDN w:val="0"/>
              <w:adjustRightInd w:val="0"/>
              <w:jc w:val="center"/>
            </w:pPr>
          </w:p>
        </w:tc>
        <w:tc>
          <w:tcPr>
            <w:tcW w:w="1372"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013"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72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260" w:type="dxa"/>
            <w:gridSpan w:val="2"/>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119 327 286</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26 269 394</w:t>
            </w:r>
          </w:p>
          <w:p w:rsidR="00B453AF" w:rsidRDefault="00B453AF" w:rsidP="003E0E48">
            <w:pPr>
              <w:shd w:val="clear" w:color="auto" w:fill="FFFFFF"/>
              <w:autoSpaceDE w:val="0"/>
              <w:autoSpaceDN w:val="0"/>
              <w:adjustRightInd w:val="0"/>
              <w:jc w:val="center"/>
            </w:pPr>
          </w:p>
        </w:tc>
        <w:tc>
          <w:tcPr>
            <w:tcW w:w="90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22,0</w:t>
            </w:r>
          </w:p>
          <w:p w:rsidR="00B453AF" w:rsidRDefault="00B453AF" w:rsidP="003E0E48">
            <w:pPr>
              <w:shd w:val="clear" w:color="auto" w:fill="FFFFFF"/>
              <w:autoSpaceDE w:val="0"/>
              <w:autoSpaceDN w:val="0"/>
              <w:adjustRightInd w:val="0"/>
              <w:jc w:val="center"/>
            </w:pPr>
          </w:p>
        </w:tc>
        <w:tc>
          <w:tcPr>
            <w:tcW w:w="1247" w:type="dxa"/>
            <w:tcBorders>
              <w:top w:val="nil"/>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0,88</w:t>
            </w:r>
          </w:p>
          <w:p w:rsidR="00B453AF" w:rsidRDefault="00B453AF" w:rsidP="003E0E48">
            <w:pPr>
              <w:shd w:val="clear" w:color="auto" w:fill="FFFFFF"/>
              <w:autoSpaceDE w:val="0"/>
              <w:autoSpaceDN w:val="0"/>
              <w:adjustRightInd w:val="0"/>
              <w:jc w:val="center"/>
            </w:pPr>
          </w:p>
        </w:tc>
        <w:tc>
          <w:tcPr>
            <w:tcW w:w="1725" w:type="dxa"/>
            <w:tcBorders>
              <w:top w:val="nil"/>
              <w:left w:val="single" w:sz="4" w:space="0" w:color="auto"/>
              <w:bottom w:val="nil"/>
              <w:right w:val="single" w:sz="4" w:space="0" w:color="auto"/>
            </w:tcBorders>
          </w:tcPr>
          <w:p w:rsidR="00B453AF" w:rsidRDefault="00B453AF" w:rsidP="00B453AF"/>
          <w:p w:rsidR="00B453AF" w:rsidRDefault="00B453AF" w:rsidP="00B453AF">
            <w:pPr>
              <w:shd w:val="clear" w:color="auto" w:fill="FFFFFF"/>
              <w:autoSpaceDE w:val="0"/>
              <w:autoSpaceDN w:val="0"/>
              <w:adjustRightInd w:val="0"/>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11"/>
        </w:trPr>
        <w:tc>
          <w:tcPr>
            <w:tcW w:w="1395"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Позабіржова фондова</w:t>
            </w:r>
          </w:p>
          <w:p w:rsidR="00B453AF" w:rsidRDefault="00B453AF" w:rsidP="003E0E48">
            <w:pPr>
              <w:shd w:val="clear" w:color="auto" w:fill="FFFFFF"/>
              <w:autoSpaceDE w:val="0"/>
              <w:autoSpaceDN w:val="0"/>
              <w:adjustRightInd w:val="0"/>
              <w:jc w:val="center"/>
            </w:pPr>
          </w:p>
        </w:tc>
        <w:tc>
          <w:tcPr>
            <w:tcW w:w="1372"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013" w:type="dxa"/>
            <w:tcBorders>
              <w:top w:val="nil"/>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720" w:type="dxa"/>
            <w:tcBorders>
              <w:top w:val="nil"/>
              <w:left w:val="single" w:sz="4"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260" w:type="dxa"/>
            <w:gridSpan w:val="2"/>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900" w:type="dxa"/>
            <w:tcBorders>
              <w:top w:val="nil"/>
              <w:left w:val="single" w:sz="6" w:space="0" w:color="auto"/>
              <w:bottom w:val="nil"/>
              <w:right w:val="single" w:sz="6"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247" w:type="dxa"/>
            <w:tcBorders>
              <w:top w:val="nil"/>
              <w:left w:val="single" w:sz="6" w:space="0" w:color="auto"/>
              <w:bottom w:val="nil"/>
              <w:right w:val="single" w:sz="4" w:space="0" w:color="auto"/>
            </w:tcBorders>
          </w:tcPr>
          <w:p w:rsidR="00B453AF" w:rsidRDefault="00B453AF" w:rsidP="003E0E48">
            <w:pPr>
              <w:shd w:val="clear" w:color="auto" w:fill="FFFFFF"/>
              <w:autoSpaceDE w:val="0"/>
              <w:autoSpaceDN w:val="0"/>
              <w:adjustRightInd w:val="0"/>
              <w:jc w:val="center"/>
            </w:pPr>
          </w:p>
          <w:p w:rsidR="00B453AF" w:rsidRDefault="00B453AF" w:rsidP="003E0E48">
            <w:pPr>
              <w:shd w:val="clear" w:color="auto" w:fill="FFFFFF"/>
              <w:autoSpaceDE w:val="0"/>
              <w:autoSpaceDN w:val="0"/>
              <w:adjustRightInd w:val="0"/>
              <w:jc w:val="center"/>
            </w:pPr>
          </w:p>
        </w:tc>
        <w:tc>
          <w:tcPr>
            <w:tcW w:w="1725" w:type="dxa"/>
            <w:tcBorders>
              <w:top w:val="nil"/>
              <w:left w:val="single" w:sz="4" w:space="0" w:color="auto"/>
              <w:bottom w:val="nil"/>
              <w:right w:val="single" w:sz="4" w:space="0" w:color="auto"/>
            </w:tcBorders>
          </w:tcPr>
          <w:p w:rsidR="00B453AF" w:rsidRDefault="00B453AF" w:rsidP="00B453AF"/>
          <w:p w:rsidR="00B453AF" w:rsidRDefault="00B453AF" w:rsidP="00B453AF">
            <w:pPr>
              <w:shd w:val="clear" w:color="auto" w:fill="FFFFFF"/>
              <w:autoSpaceDE w:val="0"/>
              <w:autoSpaceDN w:val="0"/>
              <w:adjustRightInd w:val="0"/>
            </w:pPr>
          </w:p>
        </w:tc>
      </w:tr>
      <w:tr w:rsidR="00B453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30"/>
        </w:trPr>
        <w:tc>
          <w:tcPr>
            <w:tcW w:w="1395"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торговельна система</w:t>
            </w:r>
          </w:p>
          <w:p w:rsidR="00B453AF" w:rsidRDefault="00B453AF" w:rsidP="003E0E48">
            <w:pPr>
              <w:shd w:val="clear" w:color="auto" w:fill="FFFFFF"/>
              <w:autoSpaceDE w:val="0"/>
              <w:autoSpaceDN w:val="0"/>
              <w:adjustRightInd w:val="0"/>
              <w:jc w:val="center"/>
            </w:pPr>
          </w:p>
        </w:tc>
        <w:tc>
          <w:tcPr>
            <w:tcW w:w="1372"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3 887 262</w:t>
            </w:r>
          </w:p>
          <w:p w:rsidR="00B453AF" w:rsidRDefault="00B453AF" w:rsidP="003E0E48">
            <w:pPr>
              <w:shd w:val="clear" w:color="auto" w:fill="FFFFFF"/>
              <w:autoSpaceDE w:val="0"/>
              <w:autoSpaceDN w:val="0"/>
              <w:adjustRightInd w:val="0"/>
              <w:jc w:val="center"/>
            </w:pPr>
          </w:p>
        </w:tc>
        <w:tc>
          <w:tcPr>
            <w:tcW w:w="1013" w:type="dxa"/>
            <w:tcBorders>
              <w:top w:val="nil"/>
              <w:left w:val="single" w:sz="6" w:space="0" w:color="auto"/>
              <w:bottom w:val="single" w:sz="4" w:space="0" w:color="auto"/>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119 054</w:t>
            </w:r>
          </w:p>
          <w:p w:rsidR="00B453AF" w:rsidRDefault="00B453AF" w:rsidP="003E0E48">
            <w:pPr>
              <w:shd w:val="clear" w:color="auto" w:fill="FFFFFF"/>
              <w:autoSpaceDE w:val="0"/>
              <w:autoSpaceDN w:val="0"/>
              <w:adjustRightInd w:val="0"/>
              <w:jc w:val="center"/>
            </w:pPr>
          </w:p>
        </w:tc>
        <w:tc>
          <w:tcPr>
            <w:tcW w:w="720" w:type="dxa"/>
            <w:tcBorders>
              <w:top w:val="nil"/>
              <w:left w:val="single" w:sz="4"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3,1</w:t>
            </w:r>
          </w:p>
        </w:tc>
        <w:tc>
          <w:tcPr>
            <w:tcW w:w="126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19,58</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95 252 870</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35 898 030</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37,7</w:t>
            </w:r>
          </w:p>
          <w:p w:rsidR="00B453AF" w:rsidRDefault="00B453AF" w:rsidP="003E0E48">
            <w:pPr>
              <w:shd w:val="clear" w:color="auto" w:fill="FFFFFF"/>
              <w:autoSpaceDE w:val="0"/>
              <w:autoSpaceDN w:val="0"/>
              <w:adjustRightInd w:val="0"/>
              <w:jc w:val="center"/>
            </w:pPr>
          </w:p>
        </w:tc>
        <w:tc>
          <w:tcPr>
            <w:tcW w:w="1260" w:type="dxa"/>
            <w:gridSpan w:val="2"/>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3,14</w:t>
            </w:r>
          </w:p>
          <w:p w:rsidR="00B453AF" w:rsidRDefault="00B453AF" w:rsidP="003E0E48">
            <w:pPr>
              <w:shd w:val="clear" w:color="auto" w:fill="FFFFFF"/>
              <w:autoSpaceDE w:val="0"/>
              <w:autoSpaceDN w:val="0"/>
              <w:adjustRightInd w:val="0"/>
              <w:jc w:val="center"/>
            </w:pPr>
          </w:p>
        </w:tc>
        <w:tc>
          <w:tcPr>
            <w:tcW w:w="126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275 427 708</w:t>
            </w:r>
          </w:p>
          <w:p w:rsidR="00B453AF" w:rsidRDefault="00B453AF" w:rsidP="003E0E48">
            <w:pPr>
              <w:shd w:val="clear" w:color="auto" w:fill="FFFFFF"/>
              <w:autoSpaceDE w:val="0"/>
              <w:autoSpaceDN w:val="0"/>
              <w:adjustRightInd w:val="0"/>
              <w:jc w:val="center"/>
            </w:pPr>
          </w:p>
        </w:tc>
        <w:tc>
          <w:tcPr>
            <w:tcW w:w="108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32 943 491</w:t>
            </w:r>
          </w:p>
          <w:p w:rsidR="00B453AF" w:rsidRDefault="00B453AF" w:rsidP="003E0E48">
            <w:pPr>
              <w:shd w:val="clear" w:color="auto" w:fill="FFFFFF"/>
              <w:autoSpaceDE w:val="0"/>
              <w:autoSpaceDN w:val="0"/>
              <w:adjustRightInd w:val="0"/>
              <w:jc w:val="center"/>
            </w:pPr>
          </w:p>
        </w:tc>
        <w:tc>
          <w:tcPr>
            <w:tcW w:w="900" w:type="dxa"/>
            <w:tcBorders>
              <w:top w:val="nil"/>
              <w:left w:val="single" w:sz="6" w:space="0" w:color="auto"/>
              <w:bottom w:val="single" w:sz="4" w:space="0" w:color="auto"/>
              <w:right w:val="single" w:sz="6"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12,0</w:t>
            </w:r>
          </w:p>
          <w:p w:rsidR="00B453AF" w:rsidRDefault="00B453AF" w:rsidP="003E0E48">
            <w:pPr>
              <w:shd w:val="clear" w:color="auto" w:fill="FFFFFF"/>
              <w:autoSpaceDE w:val="0"/>
              <w:autoSpaceDN w:val="0"/>
              <w:adjustRightInd w:val="0"/>
              <w:jc w:val="center"/>
            </w:pPr>
          </w:p>
        </w:tc>
        <w:tc>
          <w:tcPr>
            <w:tcW w:w="1247" w:type="dxa"/>
            <w:tcBorders>
              <w:top w:val="nil"/>
              <w:left w:val="single" w:sz="6" w:space="0" w:color="auto"/>
              <w:bottom w:val="single" w:sz="4" w:space="0" w:color="auto"/>
              <w:right w:val="single" w:sz="4" w:space="0" w:color="auto"/>
            </w:tcBorders>
          </w:tcPr>
          <w:p w:rsidR="00B453AF" w:rsidRDefault="00B453AF" w:rsidP="003E0E48">
            <w:pPr>
              <w:shd w:val="clear" w:color="auto" w:fill="FFFFFF"/>
              <w:autoSpaceDE w:val="0"/>
              <w:autoSpaceDN w:val="0"/>
              <w:adjustRightInd w:val="0"/>
              <w:jc w:val="center"/>
            </w:pPr>
            <w:r>
              <w:rPr>
                <w:color w:val="000000"/>
                <w:sz w:val="19"/>
                <w:szCs w:val="19"/>
                <w:lang w:val="uk-UA"/>
              </w:rPr>
              <w:t>3,95</w:t>
            </w:r>
          </w:p>
          <w:p w:rsidR="00B453AF" w:rsidRDefault="00B453AF" w:rsidP="003E0E48">
            <w:pPr>
              <w:shd w:val="clear" w:color="auto" w:fill="FFFFFF"/>
              <w:autoSpaceDE w:val="0"/>
              <w:autoSpaceDN w:val="0"/>
              <w:adjustRightInd w:val="0"/>
              <w:jc w:val="center"/>
            </w:pPr>
          </w:p>
        </w:tc>
        <w:tc>
          <w:tcPr>
            <w:tcW w:w="1725" w:type="dxa"/>
            <w:tcBorders>
              <w:top w:val="nil"/>
              <w:left w:val="single" w:sz="4" w:space="0" w:color="auto"/>
              <w:bottom w:val="nil"/>
              <w:right w:val="single" w:sz="4" w:space="0" w:color="auto"/>
            </w:tcBorders>
          </w:tcPr>
          <w:p w:rsidR="00B453AF" w:rsidRDefault="00B453AF" w:rsidP="00B453AF"/>
          <w:p w:rsidR="00B453AF" w:rsidRDefault="00B453AF" w:rsidP="00B453AF">
            <w:pPr>
              <w:shd w:val="clear" w:color="auto" w:fill="FFFFFF"/>
              <w:autoSpaceDE w:val="0"/>
              <w:autoSpaceDN w:val="0"/>
              <w:adjustRightInd w:val="0"/>
            </w:pPr>
          </w:p>
        </w:tc>
      </w:tr>
    </w:tbl>
    <w:p w:rsidR="00B453AF" w:rsidRDefault="00B453AF" w:rsidP="001A4578">
      <w:pPr>
        <w:rPr>
          <w:lang w:val="uk-UA"/>
        </w:rPr>
      </w:pPr>
    </w:p>
    <w:p w:rsidR="00B453AF" w:rsidRDefault="00B453AF" w:rsidP="001A4578">
      <w:pPr>
        <w:rPr>
          <w:lang w:val="uk-UA"/>
        </w:rPr>
      </w:pPr>
    </w:p>
    <w:p w:rsidR="00B453AF" w:rsidRDefault="00B453AF" w:rsidP="001A4578">
      <w:pPr>
        <w:rPr>
          <w:lang w:val="uk-UA"/>
        </w:rPr>
      </w:pPr>
    </w:p>
    <w:p w:rsidR="003E0E48" w:rsidRDefault="003E0E48" w:rsidP="001A4578">
      <w:pPr>
        <w:rPr>
          <w:lang w:val="uk-UA"/>
        </w:rPr>
        <w:sectPr w:rsidR="003E0E48" w:rsidSect="00B453AF">
          <w:pgSz w:w="16838" w:h="11906" w:orient="landscape"/>
          <w:pgMar w:top="851" w:right="1134" w:bottom="1701" w:left="1134" w:header="709" w:footer="709" w:gutter="0"/>
          <w:cols w:space="708"/>
          <w:docGrid w:linePitch="360"/>
        </w:sectPr>
      </w:pPr>
    </w:p>
    <w:p w:rsidR="001A4578" w:rsidRDefault="001A4578" w:rsidP="001A4578">
      <w:pPr>
        <w:pStyle w:val="2"/>
        <w:rPr>
          <w:lang w:val="uk-UA"/>
        </w:rPr>
      </w:pPr>
      <w:bookmarkStart w:id="8" w:name="_Toc10177606"/>
      <w:r>
        <w:rPr>
          <w:lang w:val="uk-UA"/>
        </w:rPr>
        <w:t>Таблиця 5</w:t>
      </w:r>
      <w:bookmarkEnd w:id="8"/>
    </w:p>
    <w:p w:rsidR="001A4578" w:rsidRDefault="001A4578" w:rsidP="001A4578">
      <w:pPr>
        <w:shd w:val="clear" w:color="auto" w:fill="FFFFFF"/>
        <w:autoSpaceDE w:val="0"/>
        <w:autoSpaceDN w:val="0"/>
        <w:adjustRightInd w:val="0"/>
        <w:jc w:val="center"/>
      </w:pPr>
      <w:r>
        <w:rPr>
          <w:b/>
          <w:bCs/>
          <w:color w:val="000000"/>
          <w:sz w:val="25"/>
          <w:szCs w:val="25"/>
          <w:lang w:val="uk-UA"/>
        </w:rPr>
        <w:t>Дані про укладені протягом 1995 — 1999 рр. біржові контракти з купівлі-продажу державних пакетів акцій ВАТ, що приватизуються</w:t>
      </w:r>
    </w:p>
    <w:tbl>
      <w:tblPr>
        <w:tblW w:w="0" w:type="auto"/>
        <w:tblInd w:w="40" w:type="dxa"/>
        <w:tblLayout w:type="fixed"/>
        <w:tblCellMar>
          <w:left w:w="40" w:type="dxa"/>
          <w:right w:w="40" w:type="dxa"/>
        </w:tblCellMar>
        <w:tblLook w:val="0000" w:firstRow="0" w:lastRow="0" w:firstColumn="0" w:lastColumn="0" w:noHBand="0" w:noVBand="0"/>
      </w:tblPr>
      <w:tblGrid>
        <w:gridCol w:w="1949"/>
        <w:gridCol w:w="1152"/>
        <w:gridCol w:w="1190"/>
        <w:gridCol w:w="1238"/>
        <w:gridCol w:w="1430"/>
        <w:gridCol w:w="1421"/>
        <w:gridCol w:w="1411"/>
      </w:tblGrid>
      <w:tr w:rsidR="001A4578">
        <w:trPr>
          <w:trHeight w:val="278"/>
        </w:trPr>
        <w:tc>
          <w:tcPr>
            <w:tcW w:w="1949" w:type="dxa"/>
            <w:tcBorders>
              <w:top w:val="single" w:sz="6" w:space="0" w:color="auto"/>
              <w:left w:val="nil"/>
              <w:bottom w:val="single" w:sz="6" w:space="0" w:color="auto"/>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Показник</w:t>
            </w:r>
          </w:p>
          <w:p w:rsidR="001A4578" w:rsidRDefault="001A4578">
            <w:pPr>
              <w:shd w:val="clear" w:color="auto" w:fill="FFFFFF"/>
              <w:autoSpaceDE w:val="0"/>
              <w:autoSpaceDN w:val="0"/>
              <w:adjustRightInd w:val="0"/>
            </w:pPr>
          </w:p>
        </w:tc>
        <w:tc>
          <w:tcPr>
            <w:tcW w:w="1152" w:type="dxa"/>
            <w:tcBorders>
              <w:top w:val="single" w:sz="6" w:space="0" w:color="auto"/>
              <w:left w:val="single" w:sz="6" w:space="0" w:color="auto"/>
              <w:bottom w:val="single" w:sz="6" w:space="0" w:color="auto"/>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1995 р.</w:t>
            </w:r>
          </w:p>
          <w:p w:rsidR="001A4578" w:rsidRDefault="001A4578">
            <w:pPr>
              <w:shd w:val="clear" w:color="auto" w:fill="FFFFFF"/>
              <w:autoSpaceDE w:val="0"/>
              <w:autoSpaceDN w:val="0"/>
              <w:adjustRightInd w:val="0"/>
            </w:pPr>
          </w:p>
        </w:tc>
        <w:tc>
          <w:tcPr>
            <w:tcW w:w="1190" w:type="dxa"/>
            <w:tcBorders>
              <w:top w:val="single" w:sz="6" w:space="0" w:color="auto"/>
              <w:left w:val="single" w:sz="6" w:space="0" w:color="auto"/>
              <w:bottom w:val="single" w:sz="6" w:space="0" w:color="auto"/>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19% р.</w:t>
            </w:r>
          </w:p>
          <w:p w:rsidR="001A4578" w:rsidRDefault="001A4578">
            <w:pPr>
              <w:shd w:val="clear" w:color="auto" w:fill="FFFFFF"/>
              <w:autoSpaceDE w:val="0"/>
              <w:autoSpaceDN w:val="0"/>
              <w:adjustRightInd w:val="0"/>
            </w:pPr>
          </w:p>
        </w:tc>
        <w:tc>
          <w:tcPr>
            <w:tcW w:w="1238" w:type="dxa"/>
            <w:tcBorders>
              <w:top w:val="single" w:sz="6" w:space="0" w:color="auto"/>
              <w:left w:val="single" w:sz="6" w:space="0" w:color="auto"/>
              <w:bottom w:val="single" w:sz="6" w:space="0" w:color="auto"/>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1997 р.</w:t>
            </w:r>
          </w:p>
          <w:p w:rsidR="001A4578" w:rsidRDefault="001A4578">
            <w:pPr>
              <w:shd w:val="clear" w:color="auto" w:fill="FFFFFF"/>
              <w:autoSpaceDE w:val="0"/>
              <w:autoSpaceDN w:val="0"/>
              <w:adjustRightInd w:val="0"/>
            </w:pPr>
          </w:p>
        </w:tc>
        <w:tc>
          <w:tcPr>
            <w:tcW w:w="1430" w:type="dxa"/>
            <w:tcBorders>
              <w:top w:val="single" w:sz="6" w:space="0" w:color="auto"/>
              <w:left w:val="single" w:sz="6" w:space="0" w:color="auto"/>
              <w:bottom w:val="single" w:sz="6" w:space="0" w:color="auto"/>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1998 р.</w:t>
            </w:r>
          </w:p>
          <w:p w:rsidR="001A4578" w:rsidRDefault="001A4578">
            <w:pPr>
              <w:shd w:val="clear" w:color="auto" w:fill="FFFFFF"/>
              <w:autoSpaceDE w:val="0"/>
              <w:autoSpaceDN w:val="0"/>
              <w:adjustRightInd w:val="0"/>
            </w:pPr>
          </w:p>
        </w:tc>
        <w:tc>
          <w:tcPr>
            <w:tcW w:w="1421" w:type="dxa"/>
            <w:tcBorders>
              <w:top w:val="single" w:sz="6" w:space="0" w:color="auto"/>
              <w:left w:val="single" w:sz="6" w:space="0" w:color="auto"/>
              <w:bottom w:val="single" w:sz="6" w:space="0" w:color="auto"/>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1999р.</w:t>
            </w:r>
          </w:p>
          <w:p w:rsidR="001A4578" w:rsidRDefault="001A4578">
            <w:pPr>
              <w:shd w:val="clear" w:color="auto" w:fill="FFFFFF"/>
              <w:autoSpaceDE w:val="0"/>
              <w:autoSpaceDN w:val="0"/>
              <w:adjustRightInd w:val="0"/>
            </w:pPr>
          </w:p>
        </w:tc>
        <w:tc>
          <w:tcPr>
            <w:tcW w:w="1411" w:type="dxa"/>
            <w:tcBorders>
              <w:top w:val="single" w:sz="6" w:space="0" w:color="auto"/>
              <w:left w:val="single" w:sz="6" w:space="0" w:color="auto"/>
              <w:bottom w:val="single" w:sz="6" w:space="0" w:color="auto"/>
              <w:right w:val="nil"/>
            </w:tcBorders>
          </w:tcPr>
          <w:p w:rsidR="001A4578" w:rsidRDefault="001A4578">
            <w:pPr>
              <w:shd w:val="clear" w:color="auto" w:fill="FFFFFF"/>
              <w:autoSpaceDE w:val="0"/>
              <w:autoSpaceDN w:val="0"/>
              <w:adjustRightInd w:val="0"/>
            </w:pPr>
            <w:r>
              <w:rPr>
                <w:color w:val="000000"/>
                <w:sz w:val="19"/>
                <w:szCs w:val="19"/>
                <w:lang w:val="uk-UA"/>
              </w:rPr>
              <w:t>1995 - 1999 рр.</w:t>
            </w:r>
          </w:p>
          <w:p w:rsidR="001A4578" w:rsidRDefault="001A4578">
            <w:pPr>
              <w:shd w:val="clear" w:color="auto" w:fill="FFFFFF"/>
              <w:autoSpaceDE w:val="0"/>
              <w:autoSpaceDN w:val="0"/>
              <w:adjustRightInd w:val="0"/>
            </w:pPr>
          </w:p>
        </w:tc>
      </w:tr>
      <w:tr w:rsidR="001A4578">
        <w:trPr>
          <w:trHeight w:val="240"/>
        </w:trPr>
        <w:tc>
          <w:tcPr>
            <w:tcW w:w="1949" w:type="dxa"/>
            <w:tcBorders>
              <w:top w:val="single" w:sz="6" w:space="0" w:color="auto"/>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Кількість виставлених</w:t>
            </w:r>
          </w:p>
          <w:p w:rsidR="001A4578" w:rsidRDefault="001A4578">
            <w:pPr>
              <w:shd w:val="clear" w:color="auto" w:fill="FFFFFF"/>
              <w:autoSpaceDE w:val="0"/>
              <w:autoSpaceDN w:val="0"/>
              <w:adjustRightInd w:val="0"/>
            </w:pPr>
          </w:p>
        </w:tc>
        <w:tc>
          <w:tcPr>
            <w:tcW w:w="1152" w:type="dxa"/>
            <w:tcBorders>
              <w:top w:val="single" w:sz="6" w:space="0" w:color="auto"/>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single" w:sz="6" w:space="0" w:color="auto"/>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single" w:sz="6" w:space="0" w:color="auto"/>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single" w:sz="6" w:space="0" w:color="auto"/>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single" w:sz="6" w:space="0" w:color="auto"/>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single" w:sz="6" w:space="0" w:color="auto"/>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20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на продаж пакетів, шт.</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54,00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315,00</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731,00</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2 067,00</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1 538,00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4 705,00</w:t>
            </w:r>
          </w:p>
          <w:p w:rsidR="001A4578" w:rsidRDefault="001A4578">
            <w:pPr>
              <w:shd w:val="clear" w:color="auto" w:fill="FFFFFF"/>
              <w:autoSpaceDE w:val="0"/>
              <w:autoSpaceDN w:val="0"/>
              <w:adjustRightInd w:val="0"/>
            </w:pPr>
          </w:p>
        </w:tc>
      </w:tr>
      <w:tr w:rsidR="001A4578">
        <w:trPr>
          <w:trHeight w:val="173"/>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Кількість проданих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пакетів, шт.</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52,00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276,00</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472,00</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758,00</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633,00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2 191,00</w:t>
            </w:r>
          </w:p>
          <w:p w:rsidR="001A4578" w:rsidRDefault="001A4578">
            <w:pPr>
              <w:shd w:val="clear" w:color="auto" w:fill="FFFFFF"/>
              <w:autoSpaceDE w:val="0"/>
              <w:autoSpaceDN w:val="0"/>
              <w:adjustRightInd w:val="0"/>
            </w:pPr>
          </w:p>
        </w:tc>
      </w:tr>
      <w:tr w:rsidR="001A4578">
        <w:trPr>
          <w:trHeight w:val="20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Частка проданих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63"/>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пакетів у виставлених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 xml:space="preserve">на продаж, </w:t>
            </w:r>
            <w:r>
              <w:rPr>
                <w:i/>
                <w:iCs/>
                <w:color w:val="000000"/>
                <w:sz w:val="20"/>
                <w:szCs w:val="20"/>
                <w:lang w:val="uk-UA"/>
              </w:rPr>
              <w:t>%</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96,30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87,60</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64,60</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36,70</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41,20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46,60</w:t>
            </w: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Кількість запропоно-</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54"/>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ваних до продажу</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73"/>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акцій, шт.</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14 537 169,00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70 963 966,00</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347 856 178,00</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3 134 781 388,00</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3 507 742 947,00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7 075 881 648,00</w:t>
            </w: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Кількість проданих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акцій, шт.</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14 312 245,00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23 423 451,00</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73 817 897,00</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321 042 515,00</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1 249 365 713,00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1 681 961 821,00</w:t>
            </w: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Частка проданих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73"/>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акцій у виставлених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 xml:space="preserve">на продаж, </w:t>
            </w:r>
            <w:r>
              <w:rPr>
                <w:i/>
                <w:iCs/>
                <w:color w:val="000000"/>
                <w:sz w:val="20"/>
                <w:szCs w:val="20"/>
                <w:lang w:val="uk-UA"/>
              </w:rPr>
              <w:t>%</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98,50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33,00</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21,20</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10,20</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35,60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23,80</w:t>
            </w:r>
          </w:p>
          <w:p w:rsidR="001A4578" w:rsidRDefault="001A4578">
            <w:pPr>
              <w:shd w:val="clear" w:color="auto" w:fill="FFFFFF"/>
              <w:autoSpaceDE w:val="0"/>
              <w:autoSpaceDN w:val="0"/>
              <w:adjustRightInd w:val="0"/>
            </w:pPr>
          </w:p>
        </w:tc>
      </w:tr>
      <w:tr w:rsidR="001A4578">
        <w:trPr>
          <w:trHeight w:val="20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Номінальна вартість</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54"/>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виставлених на про-</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даж пакетів, тис.грн.</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523,68</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14 726,42</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85 568,14</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602 267,64</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795 511,65</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1 498 739,10</w:t>
            </w:r>
          </w:p>
          <w:p w:rsidR="001A4578" w:rsidRDefault="001A4578">
            <w:pPr>
              <w:shd w:val="clear" w:color="auto" w:fill="FFFFFF"/>
              <w:autoSpaceDE w:val="0"/>
              <w:autoSpaceDN w:val="0"/>
              <w:adjustRightInd w:val="0"/>
            </w:pPr>
          </w:p>
        </w:tc>
      </w:tr>
      <w:tr w:rsidR="001A4578">
        <w:trPr>
          <w:trHeight w:val="20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Номінальна вартість</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54"/>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проданих пакетів</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20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акцій, тис.грн.</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395,82</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5 207,33</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16 572,31</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107 338,99</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265 265,50</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394 779,95</w:t>
            </w:r>
          </w:p>
          <w:p w:rsidR="001A4578" w:rsidRDefault="001A4578">
            <w:pPr>
              <w:shd w:val="clear" w:color="auto" w:fill="FFFFFF"/>
              <w:autoSpaceDE w:val="0"/>
              <w:autoSpaceDN w:val="0"/>
              <w:adjustRightInd w:val="0"/>
            </w:pPr>
          </w:p>
        </w:tc>
      </w:tr>
      <w:tr w:rsidR="001A4578">
        <w:trPr>
          <w:trHeight w:val="173"/>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Вартість укладених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контрактів, тис.грн.</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1 846,43</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12 924,77</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28 754,75</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159 764,92</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357 054,13</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560 523,20</w:t>
            </w: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Співвідношення</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вартості укладених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54"/>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контрактів до їх</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20"/>
                <w:szCs w:val="20"/>
                <w:lang w:val="uk-UA"/>
              </w:rPr>
              <w:t>номінальної вартості</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4,66</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2,48</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1,74</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1,49</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1,35</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1,42</w:t>
            </w:r>
          </w:p>
          <w:p w:rsidR="001A4578" w:rsidRDefault="001A4578">
            <w:pPr>
              <w:shd w:val="clear" w:color="auto" w:fill="FFFFFF"/>
              <w:autoSpaceDE w:val="0"/>
              <w:autoSpaceDN w:val="0"/>
              <w:adjustRightInd w:val="0"/>
            </w:pPr>
          </w:p>
        </w:tc>
      </w:tr>
      <w:tr w:rsidR="001A4578">
        <w:trPr>
          <w:trHeight w:val="20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Середня номінальна</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54"/>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вартість однієї про-</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73"/>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даної акції, коп.</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2,77</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22,23</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22,45</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33,43</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21,23</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23,48</w:t>
            </w: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Середня ціна продажу</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однієї акції, коп.</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12,90</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55,18</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38,95</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49,76</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28,58</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33,33</w:t>
            </w:r>
          </w:p>
          <w:p w:rsidR="001A4578" w:rsidRDefault="001A4578">
            <w:pPr>
              <w:shd w:val="clear" w:color="auto" w:fill="FFFFFF"/>
              <w:autoSpaceDE w:val="0"/>
              <w:autoSpaceDN w:val="0"/>
              <w:adjustRightInd w:val="0"/>
            </w:pPr>
          </w:p>
        </w:tc>
      </w:tr>
      <w:tr w:rsidR="001A4578">
        <w:trPr>
          <w:trHeight w:val="19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Співвідношення</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середньої ціни про-</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82"/>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дажу однієї акції</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144"/>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та її середньої но-</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p>
          <w:p w:rsidR="001A4578" w:rsidRDefault="001A4578">
            <w:pPr>
              <w:shd w:val="clear" w:color="auto" w:fill="FFFFFF"/>
              <w:autoSpaceDE w:val="0"/>
              <w:autoSpaceDN w:val="0"/>
              <w:adjustRightInd w:val="0"/>
            </w:pPr>
          </w:p>
        </w:tc>
      </w:tr>
      <w:tr w:rsidR="001A4578">
        <w:trPr>
          <w:trHeight w:val="211"/>
        </w:trPr>
        <w:tc>
          <w:tcPr>
            <w:tcW w:w="1949" w:type="dxa"/>
            <w:tcBorders>
              <w:top w:val="nil"/>
              <w:left w:val="nil"/>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мінальної вартості</w:t>
            </w:r>
          </w:p>
          <w:p w:rsidR="001A4578" w:rsidRDefault="001A4578">
            <w:pPr>
              <w:shd w:val="clear" w:color="auto" w:fill="FFFFFF"/>
              <w:autoSpaceDE w:val="0"/>
              <w:autoSpaceDN w:val="0"/>
              <w:adjustRightInd w:val="0"/>
            </w:pPr>
          </w:p>
        </w:tc>
        <w:tc>
          <w:tcPr>
            <w:tcW w:w="1152"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4,66</w:t>
            </w:r>
          </w:p>
          <w:p w:rsidR="001A4578" w:rsidRDefault="001A4578">
            <w:pPr>
              <w:shd w:val="clear" w:color="auto" w:fill="FFFFFF"/>
              <w:autoSpaceDE w:val="0"/>
              <w:autoSpaceDN w:val="0"/>
              <w:adjustRightInd w:val="0"/>
            </w:pPr>
          </w:p>
        </w:tc>
        <w:tc>
          <w:tcPr>
            <w:tcW w:w="119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2,48</w:t>
            </w:r>
          </w:p>
          <w:p w:rsidR="001A4578" w:rsidRDefault="001A4578">
            <w:pPr>
              <w:shd w:val="clear" w:color="auto" w:fill="FFFFFF"/>
              <w:autoSpaceDE w:val="0"/>
              <w:autoSpaceDN w:val="0"/>
              <w:adjustRightInd w:val="0"/>
            </w:pPr>
          </w:p>
        </w:tc>
        <w:tc>
          <w:tcPr>
            <w:tcW w:w="1238"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1,73</w:t>
            </w:r>
          </w:p>
          <w:p w:rsidR="001A4578" w:rsidRDefault="001A4578">
            <w:pPr>
              <w:shd w:val="clear" w:color="auto" w:fill="FFFFFF"/>
              <w:autoSpaceDE w:val="0"/>
              <w:autoSpaceDN w:val="0"/>
              <w:adjustRightInd w:val="0"/>
            </w:pPr>
          </w:p>
        </w:tc>
        <w:tc>
          <w:tcPr>
            <w:tcW w:w="1430"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1,49</w:t>
            </w:r>
          </w:p>
          <w:p w:rsidR="001A4578" w:rsidRDefault="001A4578">
            <w:pPr>
              <w:shd w:val="clear" w:color="auto" w:fill="FFFFFF"/>
              <w:autoSpaceDE w:val="0"/>
              <w:autoSpaceDN w:val="0"/>
              <w:adjustRightInd w:val="0"/>
            </w:pPr>
          </w:p>
        </w:tc>
        <w:tc>
          <w:tcPr>
            <w:tcW w:w="1421" w:type="dxa"/>
            <w:tcBorders>
              <w:top w:val="nil"/>
              <w:left w:val="single" w:sz="6" w:space="0" w:color="auto"/>
              <w:bottom w:val="nil"/>
              <w:right w:val="single" w:sz="6" w:space="0" w:color="auto"/>
            </w:tcBorders>
          </w:tcPr>
          <w:p w:rsidR="001A4578" w:rsidRDefault="001A4578">
            <w:pPr>
              <w:shd w:val="clear" w:color="auto" w:fill="FFFFFF"/>
              <w:autoSpaceDE w:val="0"/>
              <w:autoSpaceDN w:val="0"/>
              <w:adjustRightInd w:val="0"/>
            </w:pPr>
            <w:r>
              <w:rPr>
                <w:color w:val="000000"/>
                <w:sz w:val="19"/>
                <w:szCs w:val="19"/>
                <w:lang w:val="uk-UA"/>
              </w:rPr>
              <w:t>1,35</w:t>
            </w:r>
          </w:p>
          <w:p w:rsidR="001A4578" w:rsidRDefault="001A4578">
            <w:pPr>
              <w:shd w:val="clear" w:color="auto" w:fill="FFFFFF"/>
              <w:autoSpaceDE w:val="0"/>
              <w:autoSpaceDN w:val="0"/>
              <w:adjustRightInd w:val="0"/>
            </w:pPr>
          </w:p>
        </w:tc>
        <w:tc>
          <w:tcPr>
            <w:tcW w:w="1411" w:type="dxa"/>
            <w:tcBorders>
              <w:top w:val="nil"/>
              <w:left w:val="single" w:sz="6" w:space="0" w:color="auto"/>
              <w:bottom w:val="nil"/>
              <w:right w:val="nil"/>
            </w:tcBorders>
          </w:tcPr>
          <w:p w:rsidR="001A4578" w:rsidRDefault="001A4578">
            <w:pPr>
              <w:shd w:val="clear" w:color="auto" w:fill="FFFFFF"/>
              <w:autoSpaceDE w:val="0"/>
              <w:autoSpaceDN w:val="0"/>
              <w:adjustRightInd w:val="0"/>
            </w:pPr>
            <w:r>
              <w:rPr>
                <w:color w:val="000000"/>
                <w:sz w:val="19"/>
                <w:szCs w:val="19"/>
                <w:lang w:val="uk-UA"/>
              </w:rPr>
              <w:t>1,42</w:t>
            </w:r>
          </w:p>
          <w:p w:rsidR="001A4578" w:rsidRDefault="001A4578">
            <w:pPr>
              <w:shd w:val="clear" w:color="auto" w:fill="FFFFFF"/>
              <w:autoSpaceDE w:val="0"/>
              <w:autoSpaceDN w:val="0"/>
              <w:adjustRightInd w:val="0"/>
            </w:pPr>
          </w:p>
        </w:tc>
      </w:tr>
    </w:tbl>
    <w:p w:rsidR="001A4578" w:rsidRDefault="001A4578" w:rsidP="001A4578">
      <w:pPr>
        <w:ind w:firstLine="708"/>
        <w:rPr>
          <w:lang w:val="uk-UA"/>
        </w:rPr>
      </w:pPr>
    </w:p>
    <w:p w:rsidR="003E0E48" w:rsidRDefault="003E0E48" w:rsidP="001A4578">
      <w:pPr>
        <w:ind w:firstLine="708"/>
        <w:rPr>
          <w:lang w:val="uk-UA"/>
        </w:rPr>
      </w:pPr>
    </w:p>
    <w:p w:rsidR="003E0E48" w:rsidRDefault="003E0E48" w:rsidP="003E0E48">
      <w:pPr>
        <w:pStyle w:val="2"/>
      </w:pPr>
      <w:bookmarkStart w:id="9" w:name="_Toc10177607"/>
      <w:r>
        <w:rPr>
          <w:lang w:val="uk-UA"/>
        </w:rPr>
        <w:t>Таблиця 6</w:t>
      </w:r>
      <w:bookmarkEnd w:id="9"/>
    </w:p>
    <w:p w:rsidR="003E0E48" w:rsidRPr="003E0E48" w:rsidRDefault="003E0E48" w:rsidP="003E0E48">
      <w:pPr>
        <w:shd w:val="clear" w:color="auto" w:fill="FFFFFF"/>
        <w:autoSpaceDE w:val="0"/>
        <w:autoSpaceDN w:val="0"/>
        <w:adjustRightInd w:val="0"/>
      </w:pPr>
      <w:r w:rsidRPr="003E0E48">
        <w:rPr>
          <w:b/>
          <w:bCs/>
          <w:color w:val="000000"/>
          <w:lang w:val="uk-UA"/>
        </w:rPr>
        <w:t>Розподіл пакетів акцій, виставлених на продаж і проданих у 1995 р.</w:t>
      </w:r>
    </w:p>
    <w:tbl>
      <w:tblPr>
        <w:tblW w:w="0" w:type="auto"/>
        <w:tblInd w:w="40" w:type="dxa"/>
        <w:tblLayout w:type="fixed"/>
        <w:tblCellMar>
          <w:left w:w="40" w:type="dxa"/>
          <w:right w:w="40" w:type="dxa"/>
        </w:tblCellMar>
        <w:tblLook w:val="0000" w:firstRow="0" w:lastRow="0" w:firstColumn="0" w:lastColumn="0" w:noHBand="0" w:noVBand="0"/>
      </w:tblPr>
      <w:tblGrid>
        <w:gridCol w:w="2064"/>
        <w:gridCol w:w="1716"/>
        <w:gridCol w:w="1980"/>
        <w:gridCol w:w="3420"/>
      </w:tblGrid>
      <w:tr w:rsidR="003E0E48">
        <w:trPr>
          <w:trHeight w:val="221"/>
        </w:trPr>
        <w:tc>
          <w:tcPr>
            <w:tcW w:w="2064" w:type="dxa"/>
            <w:tcBorders>
              <w:top w:val="single" w:sz="6" w:space="0" w:color="auto"/>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p>
          <w:p w:rsidR="003E0E48" w:rsidRPr="003E0E48" w:rsidRDefault="003E0E48" w:rsidP="003E0E48">
            <w:pPr>
              <w:shd w:val="clear" w:color="auto" w:fill="FFFFFF"/>
              <w:autoSpaceDE w:val="0"/>
              <w:autoSpaceDN w:val="0"/>
              <w:adjustRightInd w:val="0"/>
              <w:jc w:val="center"/>
            </w:pPr>
          </w:p>
        </w:tc>
        <w:tc>
          <w:tcPr>
            <w:tcW w:w="3696" w:type="dxa"/>
            <w:gridSpan w:val="2"/>
            <w:tcBorders>
              <w:top w:val="single" w:sz="6" w:space="0" w:color="auto"/>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Кількість</w:t>
            </w:r>
          </w:p>
          <w:p w:rsidR="003E0E48" w:rsidRPr="003E0E48" w:rsidRDefault="003E0E48" w:rsidP="003E0E48">
            <w:pPr>
              <w:shd w:val="clear" w:color="auto" w:fill="FFFFFF"/>
              <w:autoSpaceDE w:val="0"/>
              <w:autoSpaceDN w:val="0"/>
              <w:adjustRightInd w:val="0"/>
              <w:jc w:val="center"/>
            </w:pPr>
          </w:p>
        </w:tc>
        <w:tc>
          <w:tcPr>
            <w:tcW w:w="3420" w:type="dxa"/>
            <w:tcBorders>
              <w:top w:val="single" w:sz="6" w:space="0" w:color="auto"/>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 xml:space="preserve">Частка про даних пакетів у виставлених на продаж, </w:t>
            </w:r>
            <w:r w:rsidRPr="003E0E48">
              <w:rPr>
                <w:i/>
                <w:iCs/>
                <w:color w:val="000000"/>
                <w:lang w:val="uk-UA"/>
              </w:rPr>
              <w:t>%</w:t>
            </w:r>
          </w:p>
          <w:p w:rsidR="003E0E48" w:rsidRPr="003E0E48" w:rsidRDefault="003E0E48" w:rsidP="003E0E48">
            <w:pPr>
              <w:shd w:val="clear" w:color="auto" w:fill="FFFFFF"/>
              <w:autoSpaceDE w:val="0"/>
              <w:autoSpaceDN w:val="0"/>
              <w:adjustRightInd w:val="0"/>
              <w:jc w:val="center"/>
            </w:pPr>
          </w:p>
          <w:p w:rsidR="003E0E48" w:rsidRPr="003E0E48" w:rsidRDefault="003E0E48" w:rsidP="003E0E48">
            <w:pPr>
              <w:shd w:val="clear" w:color="auto" w:fill="FFFFFF"/>
              <w:autoSpaceDE w:val="0"/>
              <w:autoSpaceDN w:val="0"/>
              <w:adjustRightInd w:val="0"/>
              <w:jc w:val="center"/>
            </w:pPr>
          </w:p>
          <w:p w:rsidR="003E0E48" w:rsidRPr="003E0E48" w:rsidRDefault="003E0E48" w:rsidP="003E0E48">
            <w:pPr>
              <w:shd w:val="clear" w:color="auto" w:fill="FFFFFF"/>
              <w:autoSpaceDE w:val="0"/>
              <w:autoSpaceDN w:val="0"/>
              <w:adjustRightInd w:val="0"/>
              <w:jc w:val="center"/>
            </w:pPr>
          </w:p>
          <w:p w:rsidR="003E0E48" w:rsidRPr="003E0E48" w:rsidRDefault="003E0E48" w:rsidP="003E0E48">
            <w:pPr>
              <w:shd w:val="clear" w:color="auto" w:fill="FFFFFF"/>
              <w:autoSpaceDE w:val="0"/>
              <w:autoSpaceDN w:val="0"/>
              <w:adjustRightInd w:val="0"/>
              <w:jc w:val="center"/>
            </w:pPr>
          </w:p>
        </w:tc>
      </w:tr>
      <w:tr w:rsidR="003E0E48">
        <w:trPr>
          <w:trHeight w:val="182"/>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Група пакетів</w:t>
            </w:r>
          </w:p>
          <w:p w:rsidR="003E0E48" w:rsidRPr="003E0E48" w:rsidRDefault="003E0E48" w:rsidP="003E0E48">
            <w:pPr>
              <w:shd w:val="clear" w:color="auto" w:fill="FFFFFF"/>
              <w:autoSpaceDE w:val="0"/>
              <w:autoSpaceDN w:val="0"/>
              <w:adjustRightInd w:val="0"/>
              <w:jc w:val="center"/>
            </w:pPr>
          </w:p>
        </w:tc>
        <w:tc>
          <w:tcPr>
            <w:tcW w:w="3696" w:type="dxa"/>
            <w:gridSpan w:val="2"/>
            <w:tcBorders>
              <w:top w:val="nil"/>
              <w:left w:val="single" w:sz="6" w:space="0" w:color="auto"/>
              <w:bottom w:val="single" w:sz="6" w:space="0" w:color="auto"/>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пакетів, шт.</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p>
        </w:tc>
      </w:tr>
      <w:tr w:rsidR="003E0E48">
        <w:trPr>
          <w:trHeight w:val="144"/>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p>
          <w:p w:rsidR="003E0E48" w:rsidRPr="003E0E48" w:rsidRDefault="003E0E48" w:rsidP="003E0E48">
            <w:pPr>
              <w:shd w:val="clear" w:color="auto" w:fill="FFFFFF"/>
              <w:autoSpaceDE w:val="0"/>
              <w:autoSpaceDN w:val="0"/>
              <w:adjustRightInd w:val="0"/>
              <w:jc w:val="center"/>
            </w:pPr>
          </w:p>
        </w:tc>
        <w:tc>
          <w:tcPr>
            <w:tcW w:w="1716" w:type="dxa"/>
            <w:tcBorders>
              <w:top w:val="single" w:sz="6" w:space="0" w:color="auto"/>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виставлених на</w:t>
            </w:r>
          </w:p>
          <w:p w:rsidR="003E0E48" w:rsidRPr="003E0E48" w:rsidRDefault="003E0E48" w:rsidP="003E0E48">
            <w:pPr>
              <w:shd w:val="clear" w:color="auto" w:fill="FFFFFF"/>
              <w:autoSpaceDE w:val="0"/>
              <w:autoSpaceDN w:val="0"/>
              <w:adjustRightInd w:val="0"/>
              <w:jc w:val="center"/>
            </w:pPr>
          </w:p>
        </w:tc>
        <w:tc>
          <w:tcPr>
            <w:tcW w:w="1980" w:type="dxa"/>
            <w:tcBorders>
              <w:top w:val="single" w:sz="6" w:space="0" w:color="auto"/>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проданих</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p>
        </w:tc>
      </w:tr>
      <w:tr w:rsidR="003E0E48">
        <w:trPr>
          <w:trHeight w:val="154"/>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p>
          <w:p w:rsidR="003E0E48" w:rsidRPr="003E0E48" w:rsidRDefault="003E0E48" w:rsidP="003E0E48">
            <w:pPr>
              <w:shd w:val="clear" w:color="auto" w:fill="FFFFFF"/>
              <w:autoSpaceDE w:val="0"/>
              <w:autoSpaceDN w:val="0"/>
              <w:adjustRightInd w:val="0"/>
              <w:jc w:val="center"/>
            </w:pPr>
          </w:p>
        </w:tc>
        <w:tc>
          <w:tcPr>
            <w:tcW w:w="1716"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продаж</w:t>
            </w:r>
          </w:p>
          <w:p w:rsidR="003E0E48" w:rsidRPr="003E0E48" w:rsidRDefault="003E0E48" w:rsidP="003E0E48">
            <w:pPr>
              <w:shd w:val="clear" w:color="auto" w:fill="FFFFFF"/>
              <w:autoSpaceDE w:val="0"/>
              <w:autoSpaceDN w:val="0"/>
              <w:adjustRightInd w:val="0"/>
              <w:jc w:val="center"/>
            </w:pPr>
          </w:p>
        </w:tc>
        <w:tc>
          <w:tcPr>
            <w:tcW w:w="1980"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p>
        </w:tc>
      </w:tr>
      <w:tr w:rsidR="003E0E48">
        <w:trPr>
          <w:trHeight w:val="182"/>
        </w:trPr>
        <w:tc>
          <w:tcPr>
            <w:tcW w:w="2064" w:type="dxa"/>
            <w:tcBorders>
              <w:top w:val="nil"/>
              <w:left w:val="nil"/>
              <w:bottom w:val="single" w:sz="6" w:space="0" w:color="auto"/>
              <w:right w:val="single" w:sz="6" w:space="0" w:color="auto"/>
            </w:tcBorders>
          </w:tcPr>
          <w:p w:rsidR="003E0E48" w:rsidRPr="003E0E48" w:rsidRDefault="003E0E48">
            <w:pPr>
              <w:shd w:val="clear" w:color="auto" w:fill="FFFFFF"/>
              <w:autoSpaceDE w:val="0"/>
              <w:autoSpaceDN w:val="0"/>
              <w:adjustRightInd w:val="0"/>
            </w:pPr>
          </w:p>
          <w:p w:rsidR="003E0E48" w:rsidRPr="003E0E48" w:rsidRDefault="003E0E48">
            <w:pPr>
              <w:shd w:val="clear" w:color="auto" w:fill="FFFFFF"/>
              <w:autoSpaceDE w:val="0"/>
              <w:autoSpaceDN w:val="0"/>
              <w:adjustRightInd w:val="0"/>
            </w:pPr>
          </w:p>
        </w:tc>
        <w:tc>
          <w:tcPr>
            <w:tcW w:w="1716" w:type="dxa"/>
            <w:tcBorders>
              <w:top w:val="nil"/>
              <w:left w:val="single" w:sz="6" w:space="0" w:color="auto"/>
              <w:bottom w:val="single" w:sz="6" w:space="0" w:color="auto"/>
              <w:right w:val="single" w:sz="6" w:space="0" w:color="auto"/>
            </w:tcBorders>
          </w:tcPr>
          <w:p w:rsidR="003E0E48" w:rsidRPr="003E0E48" w:rsidRDefault="003E0E48" w:rsidP="003E0E48">
            <w:pPr>
              <w:shd w:val="clear" w:color="auto" w:fill="FFFFFF"/>
              <w:autoSpaceDE w:val="0"/>
              <w:autoSpaceDN w:val="0"/>
              <w:adjustRightInd w:val="0"/>
            </w:pPr>
          </w:p>
        </w:tc>
        <w:tc>
          <w:tcPr>
            <w:tcW w:w="1980" w:type="dxa"/>
            <w:tcBorders>
              <w:top w:val="nil"/>
              <w:left w:val="single" w:sz="6" w:space="0" w:color="auto"/>
              <w:bottom w:val="single" w:sz="6" w:space="0" w:color="auto"/>
              <w:right w:val="single" w:sz="6" w:space="0" w:color="auto"/>
            </w:tcBorders>
          </w:tcPr>
          <w:p w:rsidR="003E0E48" w:rsidRPr="003E0E48" w:rsidRDefault="003E0E48">
            <w:pPr>
              <w:shd w:val="clear" w:color="auto" w:fill="FFFFFF"/>
              <w:autoSpaceDE w:val="0"/>
              <w:autoSpaceDN w:val="0"/>
              <w:adjustRightInd w:val="0"/>
            </w:pPr>
          </w:p>
        </w:tc>
        <w:tc>
          <w:tcPr>
            <w:tcW w:w="3420" w:type="dxa"/>
            <w:tcBorders>
              <w:top w:val="nil"/>
              <w:left w:val="single" w:sz="6" w:space="0" w:color="auto"/>
              <w:bottom w:val="single" w:sz="6" w:space="0" w:color="auto"/>
              <w:right w:val="nil"/>
            </w:tcBorders>
          </w:tcPr>
          <w:p w:rsidR="003E0E48" w:rsidRPr="003E0E48" w:rsidRDefault="003E0E48" w:rsidP="003E0E48">
            <w:pPr>
              <w:shd w:val="clear" w:color="auto" w:fill="FFFFFF"/>
              <w:autoSpaceDE w:val="0"/>
              <w:autoSpaceDN w:val="0"/>
              <w:adjustRightInd w:val="0"/>
            </w:pPr>
          </w:p>
        </w:tc>
      </w:tr>
      <w:tr w:rsidR="003E0E48">
        <w:trPr>
          <w:trHeight w:val="250"/>
        </w:trPr>
        <w:tc>
          <w:tcPr>
            <w:tcW w:w="2064" w:type="dxa"/>
            <w:tcBorders>
              <w:top w:val="single" w:sz="6" w:space="0" w:color="auto"/>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Менш як 1% від СФ</w:t>
            </w:r>
          </w:p>
          <w:p w:rsidR="003E0E48" w:rsidRPr="003E0E48" w:rsidRDefault="003E0E48" w:rsidP="003E0E48">
            <w:pPr>
              <w:shd w:val="clear" w:color="auto" w:fill="FFFFFF"/>
              <w:autoSpaceDE w:val="0"/>
              <w:autoSpaceDN w:val="0"/>
              <w:adjustRightInd w:val="0"/>
              <w:jc w:val="center"/>
            </w:pPr>
          </w:p>
        </w:tc>
        <w:tc>
          <w:tcPr>
            <w:tcW w:w="1716" w:type="dxa"/>
            <w:tcBorders>
              <w:top w:val="single" w:sz="6" w:space="0" w:color="auto"/>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2</w:t>
            </w:r>
          </w:p>
          <w:p w:rsidR="003E0E48" w:rsidRPr="003E0E48" w:rsidRDefault="003E0E48" w:rsidP="003E0E48">
            <w:pPr>
              <w:shd w:val="clear" w:color="auto" w:fill="FFFFFF"/>
              <w:autoSpaceDE w:val="0"/>
              <w:autoSpaceDN w:val="0"/>
              <w:adjustRightInd w:val="0"/>
              <w:jc w:val="center"/>
            </w:pPr>
          </w:p>
        </w:tc>
        <w:tc>
          <w:tcPr>
            <w:tcW w:w="1980" w:type="dxa"/>
            <w:tcBorders>
              <w:top w:val="single" w:sz="6" w:space="0" w:color="auto"/>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2</w:t>
            </w:r>
          </w:p>
          <w:p w:rsidR="003E0E48" w:rsidRPr="003E0E48" w:rsidRDefault="003E0E48" w:rsidP="003E0E48">
            <w:pPr>
              <w:shd w:val="clear" w:color="auto" w:fill="FFFFFF"/>
              <w:autoSpaceDE w:val="0"/>
              <w:autoSpaceDN w:val="0"/>
              <w:adjustRightInd w:val="0"/>
              <w:jc w:val="center"/>
            </w:pPr>
          </w:p>
        </w:tc>
        <w:tc>
          <w:tcPr>
            <w:tcW w:w="3420" w:type="dxa"/>
            <w:tcBorders>
              <w:top w:val="single" w:sz="6" w:space="0" w:color="auto"/>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100,0</w:t>
            </w:r>
          </w:p>
          <w:p w:rsidR="003E0E48" w:rsidRPr="003E0E48" w:rsidRDefault="003E0E48" w:rsidP="003E0E48">
            <w:pPr>
              <w:shd w:val="clear" w:color="auto" w:fill="FFFFFF"/>
              <w:autoSpaceDE w:val="0"/>
              <w:autoSpaceDN w:val="0"/>
              <w:adjustRightInd w:val="0"/>
              <w:jc w:val="center"/>
            </w:pPr>
          </w:p>
        </w:tc>
      </w:tr>
      <w:tr w:rsidR="003E0E48">
        <w:trPr>
          <w:trHeight w:val="192"/>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Від 1 до 5% від СФ</w:t>
            </w:r>
          </w:p>
          <w:p w:rsidR="003E0E48" w:rsidRPr="003E0E48" w:rsidRDefault="003E0E48" w:rsidP="003E0E48">
            <w:pPr>
              <w:shd w:val="clear" w:color="auto" w:fill="FFFFFF"/>
              <w:autoSpaceDE w:val="0"/>
              <w:autoSpaceDN w:val="0"/>
              <w:adjustRightInd w:val="0"/>
              <w:jc w:val="center"/>
            </w:pPr>
          </w:p>
        </w:tc>
        <w:tc>
          <w:tcPr>
            <w:tcW w:w="1716"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14</w:t>
            </w:r>
          </w:p>
          <w:p w:rsidR="003E0E48" w:rsidRPr="003E0E48" w:rsidRDefault="003E0E48" w:rsidP="003E0E48">
            <w:pPr>
              <w:shd w:val="clear" w:color="auto" w:fill="FFFFFF"/>
              <w:autoSpaceDE w:val="0"/>
              <w:autoSpaceDN w:val="0"/>
              <w:adjustRightInd w:val="0"/>
              <w:jc w:val="center"/>
            </w:pPr>
          </w:p>
        </w:tc>
        <w:tc>
          <w:tcPr>
            <w:tcW w:w="1980"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14</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100,0</w:t>
            </w:r>
          </w:p>
          <w:p w:rsidR="003E0E48" w:rsidRPr="003E0E48" w:rsidRDefault="003E0E48" w:rsidP="003E0E48">
            <w:pPr>
              <w:shd w:val="clear" w:color="auto" w:fill="FFFFFF"/>
              <w:autoSpaceDE w:val="0"/>
              <w:autoSpaceDN w:val="0"/>
              <w:adjustRightInd w:val="0"/>
              <w:jc w:val="center"/>
            </w:pPr>
          </w:p>
        </w:tc>
      </w:tr>
      <w:tr w:rsidR="003E0E48">
        <w:trPr>
          <w:trHeight w:val="202"/>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Від 5 до 10% від СФ</w:t>
            </w:r>
          </w:p>
          <w:p w:rsidR="003E0E48" w:rsidRPr="003E0E48" w:rsidRDefault="003E0E48" w:rsidP="003E0E48">
            <w:pPr>
              <w:shd w:val="clear" w:color="auto" w:fill="FFFFFF"/>
              <w:autoSpaceDE w:val="0"/>
              <w:autoSpaceDN w:val="0"/>
              <w:adjustRightInd w:val="0"/>
              <w:jc w:val="center"/>
            </w:pPr>
          </w:p>
        </w:tc>
        <w:tc>
          <w:tcPr>
            <w:tcW w:w="1716"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10</w:t>
            </w:r>
          </w:p>
          <w:p w:rsidR="003E0E48" w:rsidRPr="003E0E48" w:rsidRDefault="003E0E48" w:rsidP="003E0E48">
            <w:pPr>
              <w:shd w:val="clear" w:color="auto" w:fill="FFFFFF"/>
              <w:autoSpaceDE w:val="0"/>
              <w:autoSpaceDN w:val="0"/>
              <w:adjustRightInd w:val="0"/>
              <w:jc w:val="center"/>
            </w:pPr>
          </w:p>
        </w:tc>
        <w:tc>
          <w:tcPr>
            <w:tcW w:w="1980"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9</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90,0</w:t>
            </w:r>
          </w:p>
          <w:p w:rsidR="003E0E48" w:rsidRPr="003E0E48" w:rsidRDefault="003E0E48" w:rsidP="003E0E48">
            <w:pPr>
              <w:shd w:val="clear" w:color="auto" w:fill="FFFFFF"/>
              <w:autoSpaceDE w:val="0"/>
              <w:autoSpaceDN w:val="0"/>
              <w:adjustRightInd w:val="0"/>
              <w:jc w:val="center"/>
            </w:pPr>
          </w:p>
        </w:tc>
      </w:tr>
      <w:tr w:rsidR="003E0E48">
        <w:trPr>
          <w:trHeight w:val="192"/>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Від 10 до 25% від СФ</w:t>
            </w:r>
          </w:p>
          <w:p w:rsidR="003E0E48" w:rsidRPr="003E0E48" w:rsidRDefault="003E0E48" w:rsidP="003E0E48">
            <w:pPr>
              <w:shd w:val="clear" w:color="auto" w:fill="FFFFFF"/>
              <w:autoSpaceDE w:val="0"/>
              <w:autoSpaceDN w:val="0"/>
              <w:adjustRightInd w:val="0"/>
              <w:jc w:val="center"/>
            </w:pPr>
          </w:p>
        </w:tc>
        <w:tc>
          <w:tcPr>
            <w:tcW w:w="1716"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19</w:t>
            </w:r>
          </w:p>
          <w:p w:rsidR="003E0E48" w:rsidRPr="003E0E48" w:rsidRDefault="003E0E48" w:rsidP="003E0E48">
            <w:pPr>
              <w:shd w:val="clear" w:color="auto" w:fill="FFFFFF"/>
              <w:autoSpaceDE w:val="0"/>
              <w:autoSpaceDN w:val="0"/>
              <w:adjustRightInd w:val="0"/>
              <w:jc w:val="center"/>
            </w:pPr>
          </w:p>
        </w:tc>
        <w:tc>
          <w:tcPr>
            <w:tcW w:w="1980"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19</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100,0</w:t>
            </w:r>
          </w:p>
          <w:p w:rsidR="003E0E48" w:rsidRPr="003E0E48" w:rsidRDefault="003E0E48" w:rsidP="003E0E48">
            <w:pPr>
              <w:shd w:val="clear" w:color="auto" w:fill="FFFFFF"/>
              <w:autoSpaceDE w:val="0"/>
              <w:autoSpaceDN w:val="0"/>
              <w:adjustRightInd w:val="0"/>
              <w:jc w:val="center"/>
            </w:pPr>
          </w:p>
        </w:tc>
      </w:tr>
      <w:tr w:rsidR="003E0E48">
        <w:trPr>
          <w:trHeight w:val="192"/>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Від 25 до 50% від СФ</w:t>
            </w:r>
          </w:p>
          <w:p w:rsidR="003E0E48" w:rsidRPr="003E0E48" w:rsidRDefault="003E0E48" w:rsidP="003E0E48">
            <w:pPr>
              <w:shd w:val="clear" w:color="auto" w:fill="FFFFFF"/>
              <w:autoSpaceDE w:val="0"/>
              <w:autoSpaceDN w:val="0"/>
              <w:adjustRightInd w:val="0"/>
              <w:jc w:val="center"/>
            </w:pPr>
          </w:p>
        </w:tc>
        <w:tc>
          <w:tcPr>
            <w:tcW w:w="1716"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9</w:t>
            </w:r>
          </w:p>
          <w:p w:rsidR="003E0E48" w:rsidRPr="003E0E48" w:rsidRDefault="003E0E48" w:rsidP="003E0E48">
            <w:pPr>
              <w:shd w:val="clear" w:color="auto" w:fill="FFFFFF"/>
              <w:autoSpaceDE w:val="0"/>
              <w:autoSpaceDN w:val="0"/>
              <w:adjustRightInd w:val="0"/>
              <w:jc w:val="center"/>
            </w:pPr>
          </w:p>
        </w:tc>
        <w:tc>
          <w:tcPr>
            <w:tcW w:w="1980"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8</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88,9</w:t>
            </w:r>
          </w:p>
          <w:p w:rsidR="003E0E48" w:rsidRPr="003E0E48" w:rsidRDefault="003E0E48" w:rsidP="003E0E48">
            <w:pPr>
              <w:shd w:val="clear" w:color="auto" w:fill="FFFFFF"/>
              <w:autoSpaceDE w:val="0"/>
              <w:autoSpaceDN w:val="0"/>
              <w:adjustRightInd w:val="0"/>
              <w:jc w:val="center"/>
            </w:pPr>
          </w:p>
        </w:tc>
      </w:tr>
      <w:tr w:rsidR="003E0E48">
        <w:trPr>
          <w:trHeight w:val="221"/>
        </w:trPr>
        <w:tc>
          <w:tcPr>
            <w:tcW w:w="2064" w:type="dxa"/>
            <w:tcBorders>
              <w:top w:val="nil"/>
              <w:left w:val="nil"/>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Усього...</w:t>
            </w:r>
          </w:p>
          <w:p w:rsidR="003E0E48" w:rsidRPr="003E0E48" w:rsidRDefault="003E0E48" w:rsidP="003E0E48">
            <w:pPr>
              <w:shd w:val="clear" w:color="auto" w:fill="FFFFFF"/>
              <w:autoSpaceDE w:val="0"/>
              <w:autoSpaceDN w:val="0"/>
              <w:adjustRightInd w:val="0"/>
              <w:jc w:val="center"/>
            </w:pPr>
          </w:p>
        </w:tc>
        <w:tc>
          <w:tcPr>
            <w:tcW w:w="1716"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54</w:t>
            </w:r>
          </w:p>
          <w:p w:rsidR="003E0E48" w:rsidRPr="003E0E48" w:rsidRDefault="003E0E48" w:rsidP="003E0E48">
            <w:pPr>
              <w:shd w:val="clear" w:color="auto" w:fill="FFFFFF"/>
              <w:autoSpaceDE w:val="0"/>
              <w:autoSpaceDN w:val="0"/>
              <w:adjustRightInd w:val="0"/>
              <w:jc w:val="center"/>
            </w:pPr>
          </w:p>
        </w:tc>
        <w:tc>
          <w:tcPr>
            <w:tcW w:w="1980" w:type="dxa"/>
            <w:tcBorders>
              <w:top w:val="nil"/>
              <w:left w:val="single" w:sz="6" w:space="0" w:color="auto"/>
              <w:bottom w:val="nil"/>
              <w:right w:val="single" w:sz="6" w:space="0" w:color="auto"/>
            </w:tcBorders>
          </w:tcPr>
          <w:p w:rsidR="003E0E48" w:rsidRPr="003E0E48" w:rsidRDefault="003E0E48" w:rsidP="003E0E48">
            <w:pPr>
              <w:shd w:val="clear" w:color="auto" w:fill="FFFFFF"/>
              <w:autoSpaceDE w:val="0"/>
              <w:autoSpaceDN w:val="0"/>
              <w:adjustRightInd w:val="0"/>
              <w:jc w:val="center"/>
            </w:pPr>
            <w:r w:rsidRPr="003E0E48">
              <w:rPr>
                <w:color w:val="000000"/>
                <w:lang w:val="uk-UA"/>
              </w:rPr>
              <w:t>52</w:t>
            </w:r>
          </w:p>
          <w:p w:rsidR="003E0E48" w:rsidRPr="003E0E48" w:rsidRDefault="003E0E48" w:rsidP="003E0E48">
            <w:pPr>
              <w:shd w:val="clear" w:color="auto" w:fill="FFFFFF"/>
              <w:autoSpaceDE w:val="0"/>
              <w:autoSpaceDN w:val="0"/>
              <w:adjustRightInd w:val="0"/>
              <w:jc w:val="center"/>
            </w:pPr>
          </w:p>
        </w:tc>
        <w:tc>
          <w:tcPr>
            <w:tcW w:w="3420" w:type="dxa"/>
            <w:tcBorders>
              <w:top w:val="nil"/>
              <w:left w:val="single" w:sz="6" w:space="0" w:color="auto"/>
              <w:bottom w:val="nil"/>
              <w:right w:val="nil"/>
            </w:tcBorders>
          </w:tcPr>
          <w:p w:rsidR="003E0E48" w:rsidRPr="003E0E48" w:rsidRDefault="003E0E48" w:rsidP="003E0E48">
            <w:pPr>
              <w:shd w:val="clear" w:color="auto" w:fill="FFFFFF"/>
              <w:autoSpaceDE w:val="0"/>
              <w:autoSpaceDN w:val="0"/>
              <w:adjustRightInd w:val="0"/>
              <w:jc w:val="center"/>
            </w:pPr>
            <w:r w:rsidRPr="003E0E48">
              <w:rPr>
                <w:color w:val="000000"/>
                <w:lang w:val="uk-UA"/>
              </w:rPr>
              <w:t>96,3</w:t>
            </w:r>
          </w:p>
          <w:p w:rsidR="003E0E48" w:rsidRPr="003E0E48" w:rsidRDefault="003E0E48" w:rsidP="003E0E48">
            <w:pPr>
              <w:shd w:val="clear" w:color="auto" w:fill="FFFFFF"/>
              <w:autoSpaceDE w:val="0"/>
              <w:autoSpaceDN w:val="0"/>
              <w:adjustRightInd w:val="0"/>
              <w:jc w:val="center"/>
            </w:pPr>
          </w:p>
        </w:tc>
      </w:tr>
    </w:tbl>
    <w:p w:rsidR="003E0E48" w:rsidRDefault="003E0E48" w:rsidP="003E0E48">
      <w:pPr>
        <w:shd w:val="clear" w:color="auto" w:fill="FFFFFF"/>
        <w:autoSpaceDE w:val="0"/>
        <w:autoSpaceDN w:val="0"/>
        <w:adjustRightInd w:val="0"/>
        <w:rPr>
          <w:i/>
          <w:iCs/>
          <w:color w:val="000000"/>
          <w:sz w:val="19"/>
          <w:szCs w:val="19"/>
          <w:lang w:val="uk-UA"/>
        </w:rPr>
      </w:pPr>
    </w:p>
    <w:p w:rsidR="003E0E48" w:rsidRDefault="003E0E48" w:rsidP="003E0E48">
      <w:pPr>
        <w:shd w:val="clear" w:color="auto" w:fill="FFFFFF"/>
        <w:autoSpaceDE w:val="0"/>
        <w:autoSpaceDN w:val="0"/>
        <w:adjustRightInd w:val="0"/>
        <w:rPr>
          <w:i/>
          <w:iCs/>
          <w:color w:val="000000"/>
          <w:sz w:val="19"/>
          <w:szCs w:val="19"/>
          <w:lang w:val="uk-UA"/>
        </w:rPr>
      </w:pPr>
    </w:p>
    <w:p w:rsidR="003E0E48" w:rsidRDefault="003E0E48" w:rsidP="003E0E48">
      <w:pPr>
        <w:pStyle w:val="2"/>
      </w:pPr>
      <w:bookmarkStart w:id="10" w:name="_Toc10177608"/>
      <w:r>
        <w:rPr>
          <w:lang w:val="uk-UA"/>
        </w:rPr>
        <w:t>Таблиця 7</w:t>
      </w:r>
      <w:bookmarkEnd w:id="10"/>
    </w:p>
    <w:p w:rsidR="003E0E48" w:rsidRPr="003E0E48" w:rsidRDefault="003E0E48" w:rsidP="003E0E48">
      <w:pPr>
        <w:shd w:val="clear" w:color="auto" w:fill="FFFFFF"/>
        <w:autoSpaceDE w:val="0"/>
        <w:autoSpaceDN w:val="0"/>
        <w:adjustRightInd w:val="0"/>
        <w:jc w:val="center"/>
        <w:rPr>
          <w:b/>
        </w:rPr>
      </w:pPr>
      <w:r w:rsidRPr="003E0E48">
        <w:rPr>
          <w:b/>
          <w:bCs/>
          <w:color w:val="000000"/>
          <w:lang w:val="uk-UA"/>
        </w:rPr>
        <w:t>Розподіл запропонованих і реалізованих у 1995 р. пакетів акцій за галузями</w:t>
      </w:r>
      <w:r w:rsidRPr="003E0E48">
        <w:rPr>
          <w:b/>
          <w:lang w:val="uk-UA"/>
        </w:rPr>
        <w:t xml:space="preserve"> </w:t>
      </w:r>
      <w:r w:rsidRPr="003E0E48">
        <w:rPr>
          <w:b/>
          <w:bCs/>
          <w:color w:val="000000"/>
          <w:lang w:val="uk-UA"/>
        </w:rPr>
        <w:t>виробництва</w:t>
      </w:r>
    </w:p>
    <w:tbl>
      <w:tblPr>
        <w:tblW w:w="0" w:type="auto"/>
        <w:tblInd w:w="40" w:type="dxa"/>
        <w:tblLayout w:type="fixed"/>
        <w:tblCellMar>
          <w:left w:w="40" w:type="dxa"/>
          <w:right w:w="40" w:type="dxa"/>
        </w:tblCellMar>
        <w:tblLook w:val="0000" w:firstRow="0" w:lastRow="0" w:firstColumn="0" w:lastColumn="0" w:noHBand="0" w:noVBand="0"/>
      </w:tblPr>
      <w:tblGrid>
        <w:gridCol w:w="2083"/>
        <w:gridCol w:w="2057"/>
        <w:gridCol w:w="1620"/>
        <w:gridCol w:w="3060"/>
      </w:tblGrid>
      <w:tr w:rsidR="003E0E48">
        <w:trPr>
          <w:trHeight w:val="394"/>
        </w:trPr>
        <w:tc>
          <w:tcPr>
            <w:tcW w:w="2083" w:type="dxa"/>
            <w:vMerge w:val="restart"/>
            <w:tcBorders>
              <w:top w:val="single" w:sz="6" w:space="0" w:color="auto"/>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Галузь</w:t>
            </w:r>
          </w:p>
          <w:p w:rsidR="003E0E48" w:rsidRPr="00923DB2" w:rsidRDefault="003E0E48" w:rsidP="00923DB2">
            <w:pPr>
              <w:shd w:val="clear" w:color="auto" w:fill="FFFFFF"/>
              <w:autoSpaceDE w:val="0"/>
              <w:autoSpaceDN w:val="0"/>
              <w:adjustRightInd w:val="0"/>
              <w:jc w:val="center"/>
            </w:pPr>
          </w:p>
        </w:tc>
        <w:tc>
          <w:tcPr>
            <w:tcW w:w="3677" w:type="dxa"/>
            <w:gridSpan w:val="2"/>
            <w:tcBorders>
              <w:top w:val="single" w:sz="6" w:space="0" w:color="auto"/>
              <w:left w:val="single" w:sz="6" w:space="0" w:color="auto"/>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Кількість пакетів, шт.</w:t>
            </w:r>
          </w:p>
          <w:p w:rsidR="003E0E48" w:rsidRPr="00923DB2" w:rsidRDefault="003E0E48" w:rsidP="00923DB2">
            <w:pPr>
              <w:shd w:val="clear" w:color="auto" w:fill="FFFFFF"/>
              <w:autoSpaceDE w:val="0"/>
              <w:autoSpaceDN w:val="0"/>
              <w:adjustRightInd w:val="0"/>
              <w:jc w:val="center"/>
            </w:pPr>
          </w:p>
        </w:tc>
        <w:tc>
          <w:tcPr>
            <w:tcW w:w="3060" w:type="dxa"/>
            <w:vMerge w:val="restart"/>
            <w:tcBorders>
              <w:top w:val="single" w:sz="6" w:space="0" w:color="auto"/>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Частка про</w:t>
            </w:r>
            <w:r w:rsidRPr="00923DB2">
              <w:rPr>
                <w:color w:val="000000"/>
                <w:lang w:val="uk-UA"/>
              </w:rPr>
              <w:softHyphen/>
              <w:t>даних паке</w:t>
            </w:r>
            <w:r w:rsidRPr="00923DB2">
              <w:rPr>
                <w:color w:val="000000"/>
                <w:lang w:val="uk-UA"/>
              </w:rPr>
              <w:softHyphen/>
              <w:t>тів у вистав</w:t>
            </w:r>
            <w:r w:rsidRPr="00923DB2">
              <w:rPr>
                <w:color w:val="000000"/>
                <w:lang w:val="uk-UA"/>
              </w:rPr>
              <w:softHyphen/>
              <w:t xml:space="preserve">лених на продаж, </w:t>
            </w:r>
            <w:r w:rsidRPr="00923DB2">
              <w:rPr>
                <w:i/>
                <w:iCs/>
                <w:color w:val="000000"/>
                <w:lang w:val="uk-UA"/>
              </w:rPr>
              <w:t>%</w:t>
            </w:r>
          </w:p>
          <w:p w:rsidR="003E0E48" w:rsidRPr="00923DB2" w:rsidRDefault="003E0E48" w:rsidP="00923DB2">
            <w:pPr>
              <w:shd w:val="clear" w:color="auto" w:fill="FFFFFF"/>
              <w:autoSpaceDE w:val="0"/>
              <w:autoSpaceDN w:val="0"/>
              <w:adjustRightInd w:val="0"/>
              <w:jc w:val="center"/>
            </w:pPr>
          </w:p>
        </w:tc>
      </w:tr>
      <w:tr w:rsidR="003E0E48">
        <w:trPr>
          <w:trHeight w:val="499"/>
        </w:trPr>
        <w:tc>
          <w:tcPr>
            <w:tcW w:w="2083" w:type="dxa"/>
            <w:vMerge/>
            <w:tcBorders>
              <w:top w:val="nil"/>
              <w:left w:val="nil"/>
              <w:bottom w:val="single" w:sz="6" w:space="0" w:color="auto"/>
              <w:right w:val="single" w:sz="6" w:space="0" w:color="auto"/>
            </w:tcBorders>
          </w:tcPr>
          <w:p w:rsidR="003E0E48" w:rsidRPr="00923DB2" w:rsidRDefault="003E0E48" w:rsidP="00923DB2">
            <w:pPr>
              <w:autoSpaceDE w:val="0"/>
              <w:autoSpaceDN w:val="0"/>
              <w:adjustRightInd w:val="0"/>
              <w:jc w:val="center"/>
            </w:pPr>
          </w:p>
        </w:tc>
        <w:tc>
          <w:tcPr>
            <w:tcW w:w="2057" w:type="dxa"/>
            <w:tcBorders>
              <w:top w:val="single" w:sz="6" w:space="0" w:color="auto"/>
              <w:left w:val="single" w:sz="6" w:space="0" w:color="auto"/>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вистав</w:t>
            </w:r>
            <w:r w:rsidRPr="00923DB2">
              <w:rPr>
                <w:color w:val="000000"/>
                <w:lang w:val="uk-UA"/>
              </w:rPr>
              <w:softHyphen/>
              <w:t>лених на продаж</w:t>
            </w:r>
          </w:p>
          <w:p w:rsidR="003E0E48" w:rsidRPr="00923DB2" w:rsidRDefault="003E0E48" w:rsidP="00923DB2">
            <w:pPr>
              <w:shd w:val="clear" w:color="auto" w:fill="FFFFFF"/>
              <w:autoSpaceDE w:val="0"/>
              <w:autoSpaceDN w:val="0"/>
              <w:adjustRightInd w:val="0"/>
              <w:jc w:val="center"/>
            </w:pPr>
          </w:p>
        </w:tc>
        <w:tc>
          <w:tcPr>
            <w:tcW w:w="1620" w:type="dxa"/>
            <w:tcBorders>
              <w:top w:val="single" w:sz="6" w:space="0" w:color="auto"/>
              <w:left w:val="single" w:sz="6" w:space="0" w:color="auto"/>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прода</w:t>
            </w:r>
            <w:r w:rsidRPr="00923DB2">
              <w:rPr>
                <w:color w:val="000000"/>
                <w:lang w:val="uk-UA"/>
              </w:rPr>
              <w:softHyphen/>
              <w:t>них</w:t>
            </w:r>
          </w:p>
          <w:p w:rsidR="003E0E48" w:rsidRPr="00923DB2" w:rsidRDefault="003E0E48" w:rsidP="00923DB2">
            <w:pPr>
              <w:shd w:val="clear" w:color="auto" w:fill="FFFFFF"/>
              <w:autoSpaceDE w:val="0"/>
              <w:autoSpaceDN w:val="0"/>
              <w:adjustRightInd w:val="0"/>
              <w:jc w:val="center"/>
            </w:pPr>
          </w:p>
        </w:tc>
        <w:tc>
          <w:tcPr>
            <w:tcW w:w="3060" w:type="dxa"/>
            <w:vMerge/>
            <w:tcBorders>
              <w:top w:val="nil"/>
              <w:left w:val="single" w:sz="6" w:space="0" w:color="auto"/>
              <w:bottom w:val="single" w:sz="6" w:space="0" w:color="auto"/>
              <w:right w:val="single" w:sz="4" w:space="0" w:color="auto"/>
            </w:tcBorders>
          </w:tcPr>
          <w:p w:rsidR="003E0E48" w:rsidRPr="00923DB2" w:rsidRDefault="003E0E48" w:rsidP="00923DB2">
            <w:pPr>
              <w:autoSpaceDE w:val="0"/>
              <w:autoSpaceDN w:val="0"/>
              <w:adjustRightInd w:val="0"/>
              <w:jc w:val="center"/>
            </w:pPr>
          </w:p>
        </w:tc>
      </w:tr>
      <w:tr w:rsidR="003E0E48">
        <w:trPr>
          <w:trHeight w:val="250"/>
        </w:trPr>
        <w:tc>
          <w:tcPr>
            <w:tcW w:w="2083" w:type="dxa"/>
            <w:tcBorders>
              <w:top w:val="single" w:sz="6" w:space="0" w:color="auto"/>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Машинобудування</w:t>
            </w:r>
          </w:p>
          <w:p w:rsidR="003E0E48" w:rsidRPr="00923DB2" w:rsidRDefault="003E0E48" w:rsidP="00923DB2">
            <w:pPr>
              <w:shd w:val="clear" w:color="auto" w:fill="FFFFFF"/>
              <w:autoSpaceDE w:val="0"/>
              <w:autoSpaceDN w:val="0"/>
              <w:adjustRightInd w:val="0"/>
              <w:jc w:val="center"/>
            </w:pPr>
          </w:p>
        </w:tc>
        <w:tc>
          <w:tcPr>
            <w:tcW w:w="2057" w:type="dxa"/>
            <w:tcBorders>
              <w:top w:val="single" w:sz="6" w:space="0" w:color="auto"/>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single" w:sz="6" w:space="0" w:color="auto"/>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single" w:sz="6" w:space="0" w:color="auto"/>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і металообробка</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11</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90,90</w:t>
            </w:r>
          </w:p>
          <w:p w:rsidR="003E0E48" w:rsidRPr="00923DB2" w:rsidRDefault="003E0E48" w:rsidP="00923DB2">
            <w:pPr>
              <w:shd w:val="clear" w:color="auto" w:fill="FFFFFF"/>
              <w:autoSpaceDE w:val="0"/>
              <w:autoSpaceDN w:val="0"/>
              <w:adjustRightInd w:val="0"/>
              <w:jc w:val="center"/>
            </w:pPr>
          </w:p>
        </w:tc>
      </w:tr>
      <w:tr w:rsidR="003E0E48">
        <w:trPr>
          <w:trHeight w:val="18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Чорна металургія</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211"/>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Деревообробна</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73"/>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і целюлозно-паперова</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промисловість</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20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Промисловість</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8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будівельних</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матеріалів</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5</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5</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20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Легка промисловість</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6</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6</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Харчова</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8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промисловість</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221"/>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Переробка сільсько-</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73"/>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господарської</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8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продукції</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2</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20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Транспорт і зв'язок</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3</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3</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18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Будівництво</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12</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11</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91,67</w:t>
            </w: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Торгівля і громадське</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харчування</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3</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3</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Матеріально-технічне</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постачання і збут</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192"/>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Інші</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5</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5</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100,00</w:t>
            </w:r>
          </w:p>
          <w:p w:rsidR="003E0E48" w:rsidRPr="00923DB2" w:rsidRDefault="003E0E48" w:rsidP="00923DB2">
            <w:pPr>
              <w:shd w:val="clear" w:color="auto" w:fill="FFFFFF"/>
              <w:autoSpaceDE w:val="0"/>
              <w:autoSpaceDN w:val="0"/>
              <w:adjustRightInd w:val="0"/>
              <w:jc w:val="center"/>
            </w:pPr>
          </w:p>
        </w:tc>
      </w:tr>
      <w:tr w:rsidR="003E0E48">
        <w:trPr>
          <w:trHeight w:val="211"/>
        </w:trPr>
        <w:tc>
          <w:tcPr>
            <w:tcW w:w="2083"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Усього...</w:t>
            </w:r>
          </w:p>
          <w:p w:rsidR="003E0E48" w:rsidRPr="00923DB2" w:rsidRDefault="003E0E48" w:rsidP="00923DB2">
            <w:pPr>
              <w:shd w:val="clear" w:color="auto" w:fill="FFFFFF"/>
              <w:autoSpaceDE w:val="0"/>
              <w:autoSpaceDN w:val="0"/>
              <w:adjustRightInd w:val="0"/>
              <w:jc w:val="center"/>
            </w:pPr>
          </w:p>
        </w:tc>
        <w:tc>
          <w:tcPr>
            <w:tcW w:w="2057"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54</w:t>
            </w:r>
          </w:p>
          <w:p w:rsidR="003E0E48" w:rsidRPr="00923DB2" w:rsidRDefault="003E0E48" w:rsidP="00923DB2">
            <w:pPr>
              <w:shd w:val="clear" w:color="auto" w:fill="FFFFFF"/>
              <w:autoSpaceDE w:val="0"/>
              <w:autoSpaceDN w:val="0"/>
              <w:adjustRightInd w:val="0"/>
              <w:jc w:val="center"/>
            </w:pPr>
          </w:p>
        </w:tc>
        <w:tc>
          <w:tcPr>
            <w:tcW w:w="162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52</w:t>
            </w:r>
          </w:p>
          <w:p w:rsidR="003E0E48" w:rsidRPr="00923DB2" w:rsidRDefault="003E0E48" w:rsidP="00923DB2">
            <w:pPr>
              <w:shd w:val="clear" w:color="auto" w:fill="FFFFFF"/>
              <w:autoSpaceDE w:val="0"/>
              <w:autoSpaceDN w:val="0"/>
              <w:adjustRightInd w:val="0"/>
              <w:jc w:val="center"/>
            </w:pPr>
          </w:p>
        </w:tc>
        <w:tc>
          <w:tcPr>
            <w:tcW w:w="3060" w:type="dxa"/>
            <w:tcBorders>
              <w:top w:val="nil"/>
              <w:left w:val="single" w:sz="6" w:space="0" w:color="auto"/>
              <w:bottom w:val="nil"/>
              <w:right w:val="single" w:sz="4"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96,30</w:t>
            </w:r>
          </w:p>
          <w:p w:rsidR="003E0E48" w:rsidRPr="00923DB2" w:rsidRDefault="003E0E48" w:rsidP="00923DB2">
            <w:pPr>
              <w:shd w:val="clear" w:color="auto" w:fill="FFFFFF"/>
              <w:autoSpaceDE w:val="0"/>
              <w:autoSpaceDN w:val="0"/>
              <w:adjustRightInd w:val="0"/>
              <w:jc w:val="center"/>
            </w:pPr>
          </w:p>
        </w:tc>
      </w:tr>
    </w:tbl>
    <w:p w:rsidR="003E0E48" w:rsidRDefault="003E0E48" w:rsidP="00923DB2">
      <w:pPr>
        <w:pStyle w:val="2"/>
      </w:pPr>
      <w:bookmarkStart w:id="11" w:name="_Toc10177609"/>
      <w:r>
        <w:rPr>
          <w:lang w:val="uk-UA"/>
        </w:rPr>
        <w:t xml:space="preserve">Таблиця </w:t>
      </w:r>
      <w:r w:rsidR="00923DB2">
        <w:rPr>
          <w:lang w:val="uk-UA"/>
        </w:rPr>
        <w:t>8</w:t>
      </w:r>
      <w:bookmarkEnd w:id="11"/>
    </w:p>
    <w:p w:rsidR="003E0E48" w:rsidRPr="00923DB2" w:rsidRDefault="003E0E48" w:rsidP="003E0E48">
      <w:pPr>
        <w:shd w:val="clear" w:color="auto" w:fill="FFFFFF"/>
        <w:autoSpaceDE w:val="0"/>
        <w:autoSpaceDN w:val="0"/>
        <w:adjustRightInd w:val="0"/>
      </w:pPr>
      <w:r w:rsidRPr="00923DB2">
        <w:rPr>
          <w:b/>
          <w:bCs/>
          <w:color w:val="000000"/>
          <w:lang w:val="uk-UA"/>
        </w:rPr>
        <w:t>Розподіл пакетів акцій, виставлених на продаж і проданих у 1996 р., за розміром</w:t>
      </w:r>
    </w:p>
    <w:tbl>
      <w:tblPr>
        <w:tblW w:w="0" w:type="auto"/>
        <w:tblInd w:w="40" w:type="dxa"/>
        <w:tblLayout w:type="fixed"/>
        <w:tblCellMar>
          <w:left w:w="40" w:type="dxa"/>
          <w:right w:w="40" w:type="dxa"/>
        </w:tblCellMar>
        <w:tblLook w:val="0000" w:firstRow="0" w:lastRow="0" w:firstColumn="0" w:lastColumn="0" w:noHBand="0" w:noVBand="0"/>
      </w:tblPr>
      <w:tblGrid>
        <w:gridCol w:w="2064"/>
        <w:gridCol w:w="2076"/>
        <w:gridCol w:w="2160"/>
        <w:gridCol w:w="2520"/>
      </w:tblGrid>
      <w:tr w:rsidR="003E0E48">
        <w:trPr>
          <w:trHeight w:val="240"/>
        </w:trPr>
        <w:tc>
          <w:tcPr>
            <w:tcW w:w="2064" w:type="dxa"/>
            <w:tcBorders>
              <w:top w:val="single" w:sz="6" w:space="0" w:color="auto"/>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4236" w:type="dxa"/>
            <w:gridSpan w:val="2"/>
            <w:tcBorders>
              <w:top w:val="single" w:sz="6" w:space="0" w:color="auto"/>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Кількість</w:t>
            </w:r>
          </w:p>
          <w:p w:rsidR="003E0E48" w:rsidRPr="00923DB2" w:rsidRDefault="003E0E48" w:rsidP="00923DB2">
            <w:pPr>
              <w:shd w:val="clear" w:color="auto" w:fill="FFFFFF"/>
              <w:autoSpaceDE w:val="0"/>
              <w:autoSpaceDN w:val="0"/>
              <w:adjustRightInd w:val="0"/>
              <w:jc w:val="center"/>
            </w:pPr>
          </w:p>
        </w:tc>
        <w:tc>
          <w:tcPr>
            <w:tcW w:w="2520" w:type="dxa"/>
            <w:tcBorders>
              <w:top w:val="single" w:sz="6" w:space="0" w:color="auto"/>
              <w:left w:val="single" w:sz="6" w:space="0" w:color="auto"/>
              <w:bottom w:val="nil"/>
              <w:right w:val="nil"/>
            </w:tcBorders>
          </w:tcPr>
          <w:p w:rsidR="003E0E48" w:rsidRPr="00923DB2" w:rsidRDefault="003E0E48" w:rsidP="00923DB2">
            <w:pPr>
              <w:shd w:val="clear" w:color="auto" w:fill="FFFFFF"/>
              <w:autoSpaceDE w:val="0"/>
              <w:autoSpaceDN w:val="0"/>
              <w:adjustRightInd w:val="0"/>
              <w:jc w:val="center"/>
            </w:pPr>
            <w:r w:rsidRPr="00923DB2">
              <w:rPr>
                <w:color w:val="000000"/>
                <w:lang w:val="uk-UA"/>
              </w:rPr>
              <w:t>Частка про-</w:t>
            </w:r>
          </w:p>
          <w:p w:rsidR="003E0E48" w:rsidRPr="00923DB2" w:rsidRDefault="003E0E48" w:rsidP="00923DB2">
            <w:pPr>
              <w:shd w:val="clear" w:color="auto" w:fill="FFFFFF"/>
              <w:autoSpaceDE w:val="0"/>
              <w:autoSpaceDN w:val="0"/>
              <w:adjustRightInd w:val="0"/>
              <w:jc w:val="center"/>
            </w:pPr>
          </w:p>
        </w:tc>
      </w:tr>
      <w:tr w:rsidR="003E0E48">
        <w:trPr>
          <w:trHeight w:val="173"/>
        </w:trPr>
        <w:tc>
          <w:tcPr>
            <w:tcW w:w="2064"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Група пакетів</w:t>
            </w:r>
          </w:p>
          <w:p w:rsidR="003E0E48" w:rsidRPr="00923DB2" w:rsidRDefault="003E0E48" w:rsidP="00923DB2">
            <w:pPr>
              <w:shd w:val="clear" w:color="auto" w:fill="FFFFFF"/>
              <w:autoSpaceDE w:val="0"/>
              <w:autoSpaceDN w:val="0"/>
              <w:adjustRightInd w:val="0"/>
              <w:jc w:val="center"/>
            </w:pPr>
          </w:p>
        </w:tc>
        <w:tc>
          <w:tcPr>
            <w:tcW w:w="4236" w:type="dxa"/>
            <w:gridSpan w:val="2"/>
            <w:tcBorders>
              <w:top w:val="nil"/>
              <w:left w:val="single" w:sz="6" w:space="0" w:color="auto"/>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пакетів, шт.</w:t>
            </w:r>
          </w:p>
          <w:p w:rsidR="003E0E48" w:rsidRPr="00923DB2" w:rsidRDefault="003E0E48" w:rsidP="00923DB2">
            <w:pPr>
              <w:shd w:val="clear" w:color="auto" w:fill="FFFFFF"/>
              <w:autoSpaceDE w:val="0"/>
              <w:autoSpaceDN w:val="0"/>
              <w:adjustRightInd w:val="0"/>
              <w:jc w:val="center"/>
            </w:pPr>
          </w:p>
        </w:tc>
        <w:tc>
          <w:tcPr>
            <w:tcW w:w="2520" w:type="dxa"/>
            <w:tcBorders>
              <w:top w:val="nil"/>
              <w:left w:val="single" w:sz="6" w:space="0" w:color="auto"/>
              <w:bottom w:val="nil"/>
              <w:right w:val="nil"/>
            </w:tcBorders>
          </w:tcPr>
          <w:p w:rsidR="003E0E48" w:rsidRPr="00923DB2" w:rsidRDefault="003E0E48" w:rsidP="00923DB2">
            <w:pPr>
              <w:shd w:val="clear" w:color="auto" w:fill="FFFFFF"/>
              <w:autoSpaceDE w:val="0"/>
              <w:autoSpaceDN w:val="0"/>
              <w:adjustRightInd w:val="0"/>
              <w:jc w:val="center"/>
            </w:pPr>
            <w:r w:rsidRPr="00923DB2">
              <w:rPr>
                <w:color w:val="000000"/>
                <w:lang w:val="uk-UA"/>
              </w:rPr>
              <w:t>даних паке-</w:t>
            </w:r>
          </w:p>
          <w:p w:rsidR="003E0E48" w:rsidRPr="00923DB2" w:rsidRDefault="003E0E48" w:rsidP="00923DB2">
            <w:pPr>
              <w:shd w:val="clear" w:color="auto" w:fill="FFFFFF"/>
              <w:autoSpaceDE w:val="0"/>
              <w:autoSpaceDN w:val="0"/>
              <w:adjustRightInd w:val="0"/>
              <w:jc w:val="center"/>
            </w:pPr>
          </w:p>
        </w:tc>
      </w:tr>
      <w:tr w:rsidR="003E0E48">
        <w:trPr>
          <w:trHeight w:val="154"/>
        </w:trPr>
        <w:tc>
          <w:tcPr>
            <w:tcW w:w="2064"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2076" w:type="dxa"/>
            <w:tcBorders>
              <w:top w:val="single" w:sz="6" w:space="0" w:color="auto"/>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вистав-</w:t>
            </w:r>
          </w:p>
          <w:p w:rsidR="003E0E48" w:rsidRPr="00923DB2" w:rsidRDefault="003E0E48" w:rsidP="00923DB2">
            <w:pPr>
              <w:shd w:val="clear" w:color="auto" w:fill="FFFFFF"/>
              <w:autoSpaceDE w:val="0"/>
              <w:autoSpaceDN w:val="0"/>
              <w:adjustRightInd w:val="0"/>
              <w:jc w:val="center"/>
            </w:pPr>
          </w:p>
        </w:tc>
        <w:tc>
          <w:tcPr>
            <w:tcW w:w="2160" w:type="dxa"/>
            <w:tcBorders>
              <w:top w:val="single" w:sz="6" w:space="0" w:color="auto"/>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2520" w:type="dxa"/>
            <w:tcBorders>
              <w:top w:val="nil"/>
              <w:left w:val="single" w:sz="6" w:space="0" w:color="auto"/>
              <w:bottom w:val="nil"/>
              <w:right w:val="nil"/>
            </w:tcBorders>
          </w:tcPr>
          <w:p w:rsidR="003E0E48" w:rsidRPr="00923DB2" w:rsidRDefault="003E0E48" w:rsidP="00923DB2">
            <w:pPr>
              <w:shd w:val="clear" w:color="auto" w:fill="FFFFFF"/>
              <w:autoSpaceDE w:val="0"/>
              <w:autoSpaceDN w:val="0"/>
              <w:adjustRightInd w:val="0"/>
              <w:jc w:val="center"/>
            </w:pPr>
            <w:r w:rsidRPr="00923DB2">
              <w:rPr>
                <w:color w:val="000000"/>
                <w:lang w:val="uk-UA"/>
              </w:rPr>
              <w:t>тів у вистав-</w:t>
            </w:r>
          </w:p>
          <w:p w:rsidR="003E0E48" w:rsidRPr="00923DB2" w:rsidRDefault="003E0E48" w:rsidP="00923DB2">
            <w:pPr>
              <w:shd w:val="clear" w:color="auto" w:fill="FFFFFF"/>
              <w:autoSpaceDE w:val="0"/>
              <w:autoSpaceDN w:val="0"/>
              <w:adjustRightInd w:val="0"/>
              <w:jc w:val="center"/>
            </w:pPr>
          </w:p>
        </w:tc>
      </w:tr>
      <w:tr w:rsidR="003E0E48">
        <w:trPr>
          <w:trHeight w:val="154"/>
        </w:trPr>
        <w:tc>
          <w:tcPr>
            <w:tcW w:w="2064" w:type="dxa"/>
            <w:tcBorders>
              <w:top w:val="nil"/>
              <w:left w:val="nil"/>
              <w:bottom w:val="nil"/>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2076"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лених на</w:t>
            </w:r>
          </w:p>
          <w:p w:rsidR="003E0E48" w:rsidRPr="00923DB2" w:rsidRDefault="003E0E48" w:rsidP="00923DB2">
            <w:pPr>
              <w:shd w:val="clear" w:color="auto" w:fill="FFFFFF"/>
              <w:autoSpaceDE w:val="0"/>
              <w:autoSpaceDN w:val="0"/>
              <w:adjustRightInd w:val="0"/>
              <w:jc w:val="center"/>
            </w:pPr>
          </w:p>
        </w:tc>
        <w:tc>
          <w:tcPr>
            <w:tcW w:w="2160" w:type="dxa"/>
            <w:tcBorders>
              <w:top w:val="nil"/>
              <w:left w:val="single" w:sz="6" w:space="0" w:color="auto"/>
              <w:bottom w:val="nil"/>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прода-</w:t>
            </w:r>
          </w:p>
          <w:p w:rsidR="003E0E48" w:rsidRPr="00923DB2" w:rsidRDefault="003E0E48" w:rsidP="00923DB2">
            <w:pPr>
              <w:shd w:val="clear" w:color="auto" w:fill="FFFFFF"/>
              <w:autoSpaceDE w:val="0"/>
              <w:autoSpaceDN w:val="0"/>
              <w:adjustRightInd w:val="0"/>
              <w:jc w:val="center"/>
            </w:pPr>
          </w:p>
        </w:tc>
        <w:tc>
          <w:tcPr>
            <w:tcW w:w="2520" w:type="dxa"/>
            <w:tcBorders>
              <w:top w:val="nil"/>
              <w:left w:val="single" w:sz="6" w:space="0" w:color="auto"/>
              <w:bottom w:val="nil"/>
              <w:right w:val="nil"/>
            </w:tcBorders>
          </w:tcPr>
          <w:p w:rsidR="003E0E48" w:rsidRPr="00923DB2" w:rsidRDefault="003E0E48" w:rsidP="00923DB2">
            <w:pPr>
              <w:shd w:val="clear" w:color="auto" w:fill="FFFFFF"/>
              <w:autoSpaceDE w:val="0"/>
              <w:autoSpaceDN w:val="0"/>
              <w:adjustRightInd w:val="0"/>
              <w:jc w:val="center"/>
            </w:pPr>
            <w:r w:rsidRPr="00923DB2">
              <w:rPr>
                <w:color w:val="000000"/>
                <w:lang w:val="uk-UA"/>
              </w:rPr>
              <w:t>лених на</w:t>
            </w:r>
          </w:p>
          <w:p w:rsidR="003E0E48" w:rsidRPr="00923DB2" w:rsidRDefault="003E0E48" w:rsidP="00923DB2">
            <w:pPr>
              <w:shd w:val="clear" w:color="auto" w:fill="FFFFFF"/>
              <w:autoSpaceDE w:val="0"/>
              <w:autoSpaceDN w:val="0"/>
              <w:adjustRightInd w:val="0"/>
              <w:jc w:val="center"/>
            </w:pPr>
          </w:p>
        </w:tc>
      </w:tr>
      <w:tr w:rsidR="003E0E48">
        <w:trPr>
          <w:trHeight w:val="182"/>
        </w:trPr>
        <w:tc>
          <w:tcPr>
            <w:tcW w:w="2064" w:type="dxa"/>
            <w:tcBorders>
              <w:top w:val="nil"/>
              <w:left w:val="nil"/>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p>
          <w:p w:rsidR="003E0E48" w:rsidRPr="00923DB2" w:rsidRDefault="003E0E48" w:rsidP="00923DB2">
            <w:pPr>
              <w:shd w:val="clear" w:color="auto" w:fill="FFFFFF"/>
              <w:autoSpaceDE w:val="0"/>
              <w:autoSpaceDN w:val="0"/>
              <w:adjustRightInd w:val="0"/>
              <w:jc w:val="center"/>
            </w:pPr>
          </w:p>
        </w:tc>
        <w:tc>
          <w:tcPr>
            <w:tcW w:w="2076" w:type="dxa"/>
            <w:tcBorders>
              <w:top w:val="nil"/>
              <w:left w:val="single" w:sz="6" w:space="0" w:color="auto"/>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продаж</w:t>
            </w:r>
          </w:p>
          <w:p w:rsidR="003E0E48" w:rsidRPr="00923DB2" w:rsidRDefault="003E0E48" w:rsidP="00923DB2">
            <w:pPr>
              <w:shd w:val="clear" w:color="auto" w:fill="FFFFFF"/>
              <w:autoSpaceDE w:val="0"/>
              <w:autoSpaceDN w:val="0"/>
              <w:adjustRightInd w:val="0"/>
              <w:jc w:val="center"/>
            </w:pPr>
          </w:p>
        </w:tc>
        <w:tc>
          <w:tcPr>
            <w:tcW w:w="2160" w:type="dxa"/>
            <w:tcBorders>
              <w:top w:val="nil"/>
              <w:left w:val="single" w:sz="6" w:space="0" w:color="auto"/>
              <w:bottom w:val="single" w:sz="6" w:space="0" w:color="auto"/>
              <w:right w:val="single" w:sz="6" w:space="0" w:color="auto"/>
            </w:tcBorders>
          </w:tcPr>
          <w:p w:rsidR="003E0E48" w:rsidRPr="00923DB2" w:rsidRDefault="003E0E48" w:rsidP="00923DB2">
            <w:pPr>
              <w:shd w:val="clear" w:color="auto" w:fill="FFFFFF"/>
              <w:autoSpaceDE w:val="0"/>
              <w:autoSpaceDN w:val="0"/>
              <w:adjustRightInd w:val="0"/>
              <w:jc w:val="center"/>
            </w:pPr>
            <w:r w:rsidRPr="00923DB2">
              <w:rPr>
                <w:color w:val="000000"/>
                <w:lang w:val="uk-UA"/>
              </w:rPr>
              <w:t>них</w:t>
            </w:r>
          </w:p>
          <w:p w:rsidR="003E0E48" w:rsidRPr="00923DB2" w:rsidRDefault="003E0E48" w:rsidP="00923DB2">
            <w:pPr>
              <w:shd w:val="clear" w:color="auto" w:fill="FFFFFF"/>
              <w:autoSpaceDE w:val="0"/>
              <w:autoSpaceDN w:val="0"/>
              <w:adjustRightInd w:val="0"/>
              <w:jc w:val="center"/>
            </w:pPr>
          </w:p>
        </w:tc>
        <w:tc>
          <w:tcPr>
            <w:tcW w:w="2520" w:type="dxa"/>
            <w:tcBorders>
              <w:top w:val="nil"/>
              <w:left w:val="single" w:sz="6" w:space="0" w:color="auto"/>
              <w:bottom w:val="single" w:sz="6" w:space="0" w:color="auto"/>
              <w:right w:val="nil"/>
            </w:tcBorders>
          </w:tcPr>
          <w:p w:rsidR="003E0E48" w:rsidRPr="00923DB2" w:rsidRDefault="003E0E48" w:rsidP="00923DB2">
            <w:pPr>
              <w:shd w:val="clear" w:color="auto" w:fill="FFFFFF"/>
              <w:autoSpaceDE w:val="0"/>
              <w:autoSpaceDN w:val="0"/>
              <w:adjustRightInd w:val="0"/>
              <w:jc w:val="center"/>
            </w:pPr>
            <w:r w:rsidRPr="00923DB2">
              <w:rPr>
                <w:color w:val="000000"/>
                <w:lang w:val="uk-UA"/>
              </w:rPr>
              <w:t>продаж, %</w:t>
            </w:r>
          </w:p>
          <w:p w:rsidR="003E0E48" w:rsidRPr="00923DB2" w:rsidRDefault="003E0E48" w:rsidP="00923DB2">
            <w:pPr>
              <w:shd w:val="clear" w:color="auto" w:fill="FFFFFF"/>
              <w:autoSpaceDE w:val="0"/>
              <w:autoSpaceDN w:val="0"/>
              <w:adjustRightInd w:val="0"/>
              <w:jc w:val="center"/>
            </w:pPr>
          </w:p>
        </w:tc>
      </w:tr>
      <w:tr w:rsidR="003E0E48">
        <w:trPr>
          <w:trHeight w:val="250"/>
        </w:trPr>
        <w:tc>
          <w:tcPr>
            <w:tcW w:w="2064" w:type="dxa"/>
            <w:tcBorders>
              <w:top w:val="single" w:sz="6" w:space="0" w:color="auto"/>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Менш як 1% від СФ</w:t>
            </w:r>
          </w:p>
          <w:p w:rsidR="003E0E48" w:rsidRPr="00923DB2" w:rsidRDefault="003E0E48">
            <w:pPr>
              <w:shd w:val="clear" w:color="auto" w:fill="FFFFFF"/>
              <w:autoSpaceDE w:val="0"/>
              <w:autoSpaceDN w:val="0"/>
              <w:adjustRightInd w:val="0"/>
            </w:pPr>
          </w:p>
        </w:tc>
        <w:tc>
          <w:tcPr>
            <w:tcW w:w="2076" w:type="dxa"/>
            <w:tcBorders>
              <w:top w:val="single" w:sz="6" w:space="0" w:color="auto"/>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43</w:t>
            </w:r>
          </w:p>
          <w:p w:rsidR="003E0E48" w:rsidRPr="00923DB2" w:rsidRDefault="003E0E48">
            <w:pPr>
              <w:shd w:val="clear" w:color="auto" w:fill="FFFFFF"/>
              <w:autoSpaceDE w:val="0"/>
              <w:autoSpaceDN w:val="0"/>
              <w:adjustRightInd w:val="0"/>
            </w:pPr>
          </w:p>
        </w:tc>
        <w:tc>
          <w:tcPr>
            <w:tcW w:w="2160" w:type="dxa"/>
            <w:tcBorders>
              <w:top w:val="single" w:sz="6" w:space="0" w:color="auto"/>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39</w:t>
            </w:r>
          </w:p>
          <w:p w:rsidR="003E0E48" w:rsidRPr="00923DB2" w:rsidRDefault="003E0E48">
            <w:pPr>
              <w:shd w:val="clear" w:color="auto" w:fill="FFFFFF"/>
              <w:autoSpaceDE w:val="0"/>
              <w:autoSpaceDN w:val="0"/>
              <w:adjustRightInd w:val="0"/>
            </w:pPr>
          </w:p>
        </w:tc>
        <w:tc>
          <w:tcPr>
            <w:tcW w:w="2520" w:type="dxa"/>
            <w:tcBorders>
              <w:top w:val="single" w:sz="6" w:space="0" w:color="auto"/>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90,7</w:t>
            </w:r>
          </w:p>
          <w:p w:rsidR="003E0E48" w:rsidRPr="00923DB2" w:rsidRDefault="003E0E48">
            <w:pPr>
              <w:shd w:val="clear" w:color="auto" w:fill="FFFFFF"/>
              <w:autoSpaceDE w:val="0"/>
              <w:autoSpaceDN w:val="0"/>
              <w:adjustRightInd w:val="0"/>
            </w:pPr>
          </w:p>
        </w:tc>
      </w:tr>
      <w:tr w:rsidR="003E0E48">
        <w:trPr>
          <w:trHeight w:val="202"/>
        </w:trPr>
        <w:tc>
          <w:tcPr>
            <w:tcW w:w="2064" w:type="dxa"/>
            <w:tcBorders>
              <w:top w:val="nil"/>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Від 1 до 5% від СФ</w:t>
            </w:r>
          </w:p>
          <w:p w:rsidR="003E0E48" w:rsidRPr="00923DB2" w:rsidRDefault="003E0E48">
            <w:pPr>
              <w:shd w:val="clear" w:color="auto" w:fill="FFFFFF"/>
              <w:autoSpaceDE w:val="0"/>
              <w:autoSpaceDN w:val="0"/>
              <w:adjustRightInd w:val="0"/>
            </w:pPr>
          </w:p>
        </w:tc>
        <w:tc>
          <w:tcPr>
            <w:tcW w:w="2076"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57</w:t>
            </w:r>
          </w:p>
          <w:p w:rsidR="003E0E48" w:rsidRPr="00923DB2" w:rsidRDefault="003E0E48">
            <w:pPr>
              <w:shd w:val="clear" w:color="auto" w:fill="FFFFFF"/>
              <w:autoSpaceDE w:val="0"/>
              <w:autoSpaceDN w:val="0"/>
              <w:adjustRightInd w:val="0"/>
            </w:pPr>
          </w:p>
        </w:tc>
        <w:tc>
          <w:tcPr>
            <w:tcW w:w="2160"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52</w:t>
            </w:r>
          </w:p>
          <w:p w:rsidR="003E0E48" w:rsidRPr="00923DB2" w:rsidRDefault="003E0E48">
            <w:pPr>
              <w:shd w:val="clear" w:color="auto" w:fill="FFFFFF"/>
              <w:autoSpaceDE w:val="0"/>
              <w:autoSpaceDN w:val="0"/>
              <w:adjustRightInd w:val="0"/>
            </w:pPr>
          </w:p>
        </w:tc>
        <w:tc>
          <w:tcPr>
            <w:tcW w:w="2520" w:type="dxa"/>
            <w:tcBorders>
              <w:top w:val="nil"/>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91,2</w:t>
            </w:r>
          </w:p>
          <w:p w:rsidR="003E0E48" w:rsidRPr="00923DB2" w:rsidRDefault="003E0E48">
            <w:pPr>
              <w:shd w:val="clear" w:color="auto" w:fill="FFFFFF"/>
              <w:autoSpaceDE w:val="0"/>
              <w:autoSpaceDN w:val="0"/>
              <w:adjustRightInd w:val="0"/>
            </w:pPr>
          </w:p>
        </w:tc>
      </w:tr>
      <w:tr w:rsidR="003E0E48">
        <w:trPr>
          <w:trHeight w:val="192"/>
        </w:trPr>
        <w:tc>
          <w:tcPr>
            <w:tcW w:w="2064" w:type="dxa"/>
            <w:tcBorders>
              <w:top w:val="nil"/>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Від 5 до 10% від СФ</w:t>
            </w:r>
          </w:p>
          <w:p w:rsidR="003E0E48" w:rsidRPr="00923DB2" w:rsidRDefault="003E0E48">
            <w:pPr>
              <w:shd w:val="clear" w:color="auto" w:fill="FFFFFF"/>
              <w:autoSpaceDE w:val="0"/>
              <w:autoSpaceDN w:val="0"/>
              <w:adjustRightInd w:val="0"/>
            </w:pPr>
          </w:p>
        </w:tc>
        <w:tc>
          <w:tcPr>
            <w:tcW w:w="2076"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55</w:t>
            </w:r>
          </w:p>
          <w:p w:rsidR="003E0E48" w:rsidRPr="00923DB2" w:rsidRDefault="003E0E48">
            <w:pPr>
              <w:shd w:val="clear" w:color="auto" w:fill="FFFFFF"/>
              <w:autoSpaceDE w:val="0"/>
              <w:autoSpaceDN w:val="0"/>
              <w:adjustRightInd w:val="0"/>
            </w:pPr>
          </w:p>
        </w:tc>
        <w:tc>
          <w:tcPr>
            <w:tcW w:w="2160"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49</w:t>
            </w:r>
          </w:p>
          <w:p w:rsidR="003E0E48" w:rsidRPr="00923DB2" w:rsidRDefault="003E0E48">
            <w:pPr>
              <w:shd w:val="clear" w:color="auto" w:fill="FFFFFF"/>
              <w:autoSpaceDE w:val="0"/>
              <w:autoSpaceDN w:val="0"/>
              <w:adjustRightInd w:val="0"/>
            </w:pPr>
          </w:p>
        </w:tc>
        <w:tc>
          <w:tcPr>
            <w:tcW w:w="2520" w:type="dxa"/>
            <w:tcBorders>
              <w:top w:val="nil"/>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89,1</w:t>
            </w:r>
          </w:p>
          <w:p w:rsidR="003E0E48" w:rsidRPr="00923DB2" w:rsidRDefault="003E0E48">
            <w:pPr>
              <w:shd w:val="clear" w:color="auto" w:fill="FFFFFF"/>
              <w:autoSpaceDE w:val="0"/>
              <w:autoSpaceDN w:val="0"/>
              <w:adjustRightInd w:val="0"/>
            </w:pPr>
          </w:p>
        </w:tc>
      </w:tr>
      <w:tr w:rsidR="003E0E48">
        <w:trPr>
          <w:trHeight w:val="202"/>
        </w:trPr>
        <w:tc>
          <w:tcPr>
            <w:tcW w:w="2064" w:type="dxa"/>
            <w:tcBorders>
              <w:top w:val="nil"/>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Від 10 до 25% відСФ</w:t>
            </w:r>
          </w:p>
          <w:p w:rsidR="003E0E48" w:rsidRPr="00923DB2" w:rsidRDefault="003E0E48">
            <w:pPr>
              <w:shd w:val="clear" w:color="auto" w:fill="FFFFFF"/>
              <w:autoSpaceDE w:val="0"/>
              <w:autoSpaceDN w:val="0"/>
              <w:adjustRightInd w:val="0"/>
            </w:pPr>
          </w:p>
        </w:tc>
        <w:tc>
          <w:tcPr>
            <w:tcW w:w="2076"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93</w:t>
            </w:r>
          </w:p>
          <w:p w:rsidR="003E0E48" w:rsidRPr="00923DB2" w:rsidRDefault="003E0E48">
            <w:pPr>
              <w:shd w:val="clear" w:color="auto" w:fill="FFFFFF"/>
              <w:autoSpaceDE w:val="0"/>
              <w:autoSpaceDN w:val="0"/>
              <w:adjustRightInd w:val="0"/>
            </w:pPr>
          </w:p>
        </w:tc>
        <w:tc>
          <w:tcPr>
            <w:tcW w:w="2160"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80</w:t>
            </w:r>
          </w:p>
          <w:p w:rsidR="003E0E48" w:rsidRPr="00923DB2" w:rsidRDefault="003E0E48">
            <w:pPr>
              <w:shd w:val="clear" w:color="auto" w:fill="FFFFFF"/>
              <w:autoSpaceDE w:val="0"/>
              <w:autoSpaceDN w:val="0"/>
              <w:adjustRightInd w:val="0"/>
            </w:pPr>
          </w:p>
        </w:tc>
        <w:tc>
          <w:tcPr>
            <w:tcW w:w="2520" w:type="dxa"/>
            <w:tcBorders>
              <w:top w:val="nil"/>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86,0</w:t>
            </w:r>
          </w:p>
          <w:p w:rsidR="003E0E48" w:rsidRPr="00923DB2" w:rsidRDefault="003E0E48">
            <w:pPr>
              <w:shd w:val="clear" w:color="auto" w:fill="FFFFFF"/>
              <w:autoSpaceDE w:val="0"/>
              <w:autoSpaceDN w:val="0"/>
              <w:adjustRightInd w:val="0"/>
            </w:pPr>
          </w:p>
        </w:tc>
      </w:tr>
      <w:tr w:rsidR="003E0E48">
        <w:trPr>
          <w:trHeight w:val="192"/>
        </w:trPr>
        <w:tc>
          <w:tcPr>
            <w:tcW w:w="2064" w:type="dxa"/>
            <w:tcBorders>
              <w:top w:val="nil"/>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Від 25 до 50% від СФ</w:t>
            </w:r>
          </w:p>
          <w:p w:rsidR="003E0E48" w:rsidRPr="00923DB2" w:rsidRDefault="003E0E48">
            <w:pPr>
              <w:shd w:val="clear" w:color="auto" w:fill="FFFFFF"/>
              <w:autoSpaceDE w:val="0"/>
              <w:autoSpaceDN w:val="0"/>
              <w:adjustRightInd w:val="0"/>
            </w:pPr>
          </w:p>
        </w:tc>
        <w:tc>
          <w:tcPr>
            <w:tcW w:w="2076"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54</w:t>
            </w:r>
          </w:p>
          <w:p w:rsidR="003E0E48" w:rsidRPr="00923DB2" w:rsidRDefault="003E0E48">
            <w:pPr>
              <w:shd w:val="clear" w:color="auto" w:fill="FFFFFF"/>
              <w:autoSpaceDE w:val="0"/>
              <w:autoSpaceDN w:val="0"/>
              <w:adjustRightInd w:val="0"/>
            </w:pPr>
          </w:p>
        </w:tc>
        <w:tc>
          <w:tcPr>
            <w:tcW w:w="2160"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47</w:t>
            </w:r>
          </w:p>
          <w:p w:rsidR="003E0E48" w:rsidRPr="00923DB2" w:rsidRDefault="003E0E48">
            <w:pPr>
              <w:shd w:val="clear" w:color="auto" w:fill="FFFFFF"/>
              <w:autoSpaceDE w:val="0"/>
              <w:autoSpaceDN w:val="0"/>
              <w:adjustRightInd w:val="0"/>
            </w:pPr>
          </w:p>
        </w:tc>
        <w:tc>
          <w:tcPr>
            <w:tcW w:w="2520" w:type="dxa"/>
            <w:tcBorders>
              <w:top w:val="nil"/>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87,0</w:t>
            </w:r>
          </w:p>
          <w:p w:rsidR="003E0E48" w:rsidRPr="00923DB2" w:rsidRDefault="003E0E48">
            <w:pPr>
              <w:shd w:val="clear" w:color="auto" w:fill="FFFFFF"/>
              <w:autoSpaceDE w:val="0"/>
              <w:autoSpaceDN w:val="0"/>
              <w:adjustRightInd w:val="0"/>
            </w:pPr>
          </w:p>
        </w:tc>
      </w:tr>
      <w:tr w:rsidR="003E0E48">
        <w:trPr>
          <w:trHeight w:val="202"/>
        </w:trPr>
        <w:tc>
          <w:tcPr>
            <w:tcW w:w="2064" w:type="dxa"/>
            <w:tcBorders>
              <w:top w:val="nil"/>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Більш як 50% від СФ</w:t>
            </w:r>
          </w:p>
          <w:p w:rsidR="003E0E48" w:rsidRPr="00923DB2" w:rsidRDefault="003E0E48">
            <w:pPr>
              <w:shd w:val="clear" w:color="auto" w:fill="FFFFFF"/>
              <w:autoSpaceDE w:val="0"/>
              <w:autoSpaceDN w:val="0"/>
              <w:adjustRightInd w:val="0"/>
            </w:pPr>
          </w:p>
        </w:tc>
        <w:tc>
          <w:tcPr>
            <w:tcW w:w="2076"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ІЗ</w:t>
            </w:r>
          </w:p>
          <w:p w:rsidR="003E0E48" w:rsidRPr="00923DB2" w:rsidRDefault="003E0E48">
            <w:pPr>
              <w:shd w:val="clear" w:color="auto" w:fill="FFFFFF"/>
              <w:autoSpaceDE w:val="0"/>
              <w:autoSpaceDN w:val="0"/>
              <w:adjustRightInd w:val="0"/>
            </w:pPr>
          </w:p>
        </w:tc>
        <w:tc>
          <w:tcPr>
            <w:tcW w:w="2160"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9</w:t>
            </w:r>
          </w:p>
          <w:p w:rsidR="003E0E48" w:rsidRPr="00923DB2" w:rsidRDefault="003E0E48">
            <w:pPr>
              <w:shd w:val="clear" w:color="auto" w:fill="FFFFFF"/>
              <w:autoSpaceDE w:val="0"/>
              <w:autoSpaceDN w:val="0"/>
              <w:adjustRightInd w:val="0"/>
            </w:pPr>
          </w:p>
        </w:tc>
        <w:tc>
          <w:tcPr>
            <w:tcW w:w="2520" w:type="dxa"/>
            <w:tcBorders>
              <w:top w:val="nil"/>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69,2</w:t>
            </w:r>
          </w:p>
          <w:p w:rsidR="003E0E48" w:rsidRPr="00923DB2" w:rsidRDefault="003E0E48">
            <w:pPr>
              <w:shd w:val="clear" w:color="auto" w:fill="FFFFFF"/>
              <w:autoSpaceDE w:val="0"/>
              <w:autoSpaceDN w:val="0"/>
              <w:adjustRightInd w:val="0"/>
            </w:pPr>
          </w:p>
        </w:tc>
      </w:tr>
      <w:tr w:rsidR="003E0E48">
        <w:trPr>
          <w:trHeight w:val="221"/>
        </w:trPr>
        <w:tc>
          <w:tcPr>
            <w:tcW w:w="2064" w:type="dxa"/>
            <w:tcBorders>
              <w:top w:val="nil"/>
              <w:left w:val="nil"/>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Усього...</w:t>
            </w:r>
          </w:p>
          <w:p w:rsidR="003E0E48" w:rsidRPr="00923DB2" w:rsidRDefault="003E0E48">
            <w:pPr>
              <w:shd w:val="clear" w:color="auto" w:fill="FFFFFF"/>
              <w:autoSpaceDE w:val="0"/>
              <w:autoSpaceDN w:val="0"/>
              <w:adjustRightInd w:val="0"/>
            </w:pPr>
          </w:p>
        </w:tc>
        <w:tc>
          <w:tcPr>
            <w:tcW w:w="2076"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315</w:t>
            </w:r>
          </w:p>
          <w:p w:rsidR="003E0E48" w:rsidRPr="00923DB2" w:rsidRDefault="003E0E48">
            <w:pPr>
              <w:shd w:val="clear" w:color="auto" w:fill="FFFFFF"/>
              <w:autoSpaceDE w:val="0"/>
              <w:autoSpaceDN w:val="0"/>
              <w:adjustRightInd w:val="0"/>
            </w:pPr>
          </w:p>
        </w:tc>
        <w:tc>
          <w:tcPr>
            <w:tcW w:w="2160" w:type="dxa"/>
            <w:tcBorders>
              <w:top w:val="nil"/>
              <w:left w:val="single" w:sz="6" w:space="0" w:color="auto"/>
              <w:bottom w:val="nil"/>
              <w:right w:val="single" w:sz="6" w:space="0" w:color="auto"/>
            </w:tcBorders>
          </w:tcPr>
          <w:p w:rsidR="003E0E48" w:rsidRPr="00923DB2" w:rsidRDefault="003E0E48">
            <w:pPr>
              <w:shd w:val="clear" w:color="auto" w:fill="FFFFFF"/>
              <w:autoSpaceDE w:val="0"/>
              <w:autoSpaceDN w:val="0"/>
              <w:adjustRightInd w:val="0"/>
            </w:pPr>
            <w:r w:rsidRPr="00923DB2">
              <w:rPr>
                <w:color w:val="000000"/>
                <w:lang w:val="uk-UA"/>
              </w:rPr>
              <w:t>276</w:t>
            </w:r>
          </w:p>
          <w:p w:rsidR="003E0E48" w:rsidRPr="00923DB2" w:rsidRDefault="003E0E48">
            <w:pPr>
              <w:shd w:val="clear" w:color="auto" w:fill="FFFFFF"/>
              <w:autoSpaceDE w:val="0"/>
              <w:autoSpaceDN w:val="0"/>
              <w:adjustRightInd w:val="0"/>
            </w:pPr>
          </w:p>
        </w:tc>
        <w:tc>
          <w:tcPr>
            <w:tcW w:w="2520" w:type="dxa"/>
            <w:tcBorders>
              <w:top w:val="nil"/>
              <w:left w:val="single" w:sz="6" w:space="0" w:color="auto"/>
              <w:bottom w:val="nil"/>
              <w:right w:val="nil"/>
            </w:tcBorders>
          </w:tcPr>
          <w:p w:rsidR="003E0E48" w:rsidRPr="00923DB2" w:rsidRDefault="003E0E48">
            <w:pPr>
              <w:shd w:val="clear" w:color="auto" w:fill="FFFFFF"/>
              <w:autoSpaceDE w:val="0"/>
              <w:autoSpaceDN w:val="0"/>
              <w:adjustRightInd w:val="0"/>
            </w:pPr>
            <w:r w:rsidRPr="00923DB2">
              <w:rPr>
                <w:color w:val="000000"/>
                <w:lang w:val="uk-UA"/>
              </w:rPr>
              <w:t>87,6</w:t>
            </w:r>
          </w:p>
          <w:p w:rsidR="003E0E48" w:rsidRPr="00923DB2" w:rsidRDefault="003E0E48">
            <w:pPr>
              <w:shd w:val="clear" w:color="auto" w:fill="FFFFFF"/>
              <w:autoSpaceDE w:val="0"/>
              <w:autoSpaceDN w:val="0"/>
              <w:adjustRightInd w:val="0"/>
            </w:pPr>
          </w:p>
        </w:tc>
      </w:tr>
    </w:tbl>
    <w:p w:rsidR="003E0E48" w:rsidRPr="00923DB2" w:rsidRDefault="003E0E48" w:rsidP="003E0E48">
      <w:pPr>
        <w:shd w:val="clear" w:color="auto" w:fill="FFFFFF"/>
        <w:autoSpaceDE w:val="0"/>
        <w:autoSpaceDN w:val="0"/>
        <w:adjustRightInd w:val="0"/>
      </w:pPr>
      <w:r w:rsidRPr="00923DB2">
        <w:rPr>
          <w:color w:val="000000"/>
          <w:lang w:val="uk-UA"/>
        </w:rPr>
        <w:t>вона могла становити тисячні частки від копійки. Неліквідні пакети акцій після їх пропозиції на біржових торгах вис</w:t>
      </w:r>
      <w:r w:rsidRPr="00923DB2">
        <w:rPr>
          <w:color w:val="000000"/>
          <w:lang w:val="uk-UA"/>
        </w:rPr>
        <w:softHyphen/>
        <w:t>тавлялися на продаж на грошовому аукціоні і могли бути куплені навіть однією фізичною особою незалежно від його розміру. Це провокувало покупців на очікування продажу на грошовому аукціоні. Хоча цей вид продажу менш про</w:t>
      </w:r>
      <w:r w:rsidRPr="00923DB2">
        <w:rPr>
          <w:color w:val="000000"/>
          <w:lang w:val="uk-UA"/>
        </w:rPr>
        <w:softHyphen/>
        <w:t>зорий і більше нагадує лотерею, але його дешевизна бага</w:t>
      </w:r>
      <w:r w:rsidRPr="00923DB2">
        <w:rPr>
          <w:color w:val="000000"/>
          <w:lang w:val="uk-UA"/>
        </w:rPr>
        <w:softHyphen/>
        <w:t>тьох приваблювала.</w:t>
      </w:r>
    </w:p>
    <w:p w:rsidR="00923DB2" w:rsidRPr="00923DB2" w:rsidRDefault="003E0E48" w:rsidP="00923DB2">
      <w:pPr>
        <w:shd w:val="clear" w:color="auto" w:fill="FFFFFF"/>
        <w:autoSpaceDE w:val="0"/>
        <w:autoSpaceDN w:val="0"/>
        <w:adjustRightInd w:val="0"/>
        <w:ind w:firstLine="708"/>
        <w:rPr>
          <w:lang w:val="uk-UA"/>
        </w:rPr>
      </w:pPr>
      <w:r w:rsidRPr="00923DB2">
        <w:rPr>
          <w:color w:val="000000"/>
          <w:lang w:val="uk-UA"/>
        </w:rPr>
        <w:t>У 1998 р. дешо змінилася галузева характеристика підприємств, найбільша кількість пакетів акцій яких були запропоновані до продажу: машинобудування і металооб</w:t>
      </w:r>
      <w:r w:rsidRPr="00923DB2">
        <w:rPr>
          <w:color w:val="000000"/>
          <w:lang w:val="uk-UA"/>
        </w:rPr>
        <w:softHyphen/>
        <w:t>робка - 349 (реалізовано 35,5%), харчова промисловість -331 (42,9), транспорт і зв'язок - 260 (29,2), заготівля - 177 (реалізовано 40,1%)</w:t>
      </w:r>
      <w:r w:rsidR="00923DB2">
        <w:rPr>
          <w:color w:val="000000"/>
          <w:lang w:val="uk-UA"/>
        </w:rPr>
        <w:t>.</w:t>
      </w:r>
      <w:r w:rsidRPr="00923DB2">
        <w:rPr>
          <w:color w:val="000000"/>
          <w:lang w:val="uk-UA"/>
        </w:rPr>
        <w:t xml:space="preserve"> Найбільше відносно до зап</w:t>
      </w:r>
      <w:r w:rsidRPr="00923DB2">
        <w:rPr>
          <w:color w:val="000000"/>
          <w:lang w:val="uk-UA"/>
        </w:rPr>
        <w:softHyphen/>
        <w:t>ропонованих до продажу (76,9%) було продано пакетів акцій підприємств медичної промисловості. Незначна їх пропо</w:t>
      </w:r>
      <w:r w:rsidRPr="00923DB2">
        <w:rPr>
          <w:color w:val="000000"/>
          <w:lang w:val="uk-UA"/>
        </w:rPr>
        <w:softHyphen/>
        <w:t>зиція викликала до них інтерес. Найгірше продавались акції сільськогосподарських підприємств. Реалізація відповідно до Закону України «Про особливості приватизації майна в</w:t>
      </w:r>
      <w:r w:rsidR="00923DB2">
        <w:rPr>
          <w:color w:val="000000"/>
          <w:lang w:val="uk-UA"/>
        </w:rPr>
        <w:t xml:space="preserve"> </w:t>
      </w:r>
      <w:r w:rsidR="00923DB2" w:rsidRPr="00923DB2">
        <w:rPr>
          <w:color w:val="000000"/>
          <w:lang w:val="uk-UA"/>
        </w:rPr>
        <w:t>агропромисловому комплексі» контрольного пакета акцій цих підприємств шляхом безоплатної передачі акцій сільськогосподарським товаровиробникам робить придбан</w:t>
      </w:r>
      <w:r w:rsidR="00923DB2" w:rsidRPr="00923DB2">
        <w:rPr>
          <w:color w:val="000000"/>
          <w:lang w:val="uk-UA"/>
        </w:rPr>
        <w:softHyphen/>
        <w:t>ня решти їх акцій непривабливими для потенційних інвес</w:t>
      </w:r>
      <w:r w:rsidR="00923DB2" w:rsidRPr="00923DB2">
        <w:rPr>
          <w:color w:val="000000"/>
          <w:lang w:val="uk-UA"/>
        </w:rPr>
        <w:softHyphen/>
        <w:t>торів.</w:t>
      </w:r>
    </w:p>
    <w:p w:rsidR="00923DB2" w:rsidRPr="00923DB2" w:rsidRDefault="00923DB2" w:rsidP="00923DB2">
      <w:pPr>
        <w:shd w:val="clear" w:color="auto" w:fill="FFFFFF"/>
        <w:autoSpaceDE w:val="0"/>
        <w:autoSpaceDN w:val="0"/>
        <w:adjustRightInd w:val="0"/>
        <w:ind w:firstLine="708"/>
      </w:pPr>
      <w:r w:rsidRPr="00923DB2">
        <w:rPr>
          <w:color w:val="000000"/>
          <w:lang w:val="uk-UA"/>
        </w:rPr>
        <w:t>У 1999 р. ряди торгових майданчиків поповнили При</w:t>
      </w:r>
      <w:r w:rsidRPr="00923DB2">
        <w:rPr>
          <w:color w:val="000000"/>
          <w:lang w:val="uk-UA"/>
        </w:rPr>
        <w:softHyphen/>
        <w:t>дніпровська фондова біржа та Кримська фондова біржа. Кількість пакетів акцій, що були запропоновані до прода</w:t>
      </w:r>
      <w:r w:rsidRPr="00923DB2">
        <w:rPr>
          <w:color w:val="000000"/>
          <w:lang w:val="uk-UA"/>
        </w:rPr>
        <w:softHyphen/>
        <w:t>жу на фондових біржах, порівняно з 1998 р. зменшилася, але відсоток проданих збільшився більше ніж у 3 рази. Це зумовлено деякими змінами в нормативних документах щодо грошових способів продажу. По-перше, обмежено розмір пакета акцій, який може бути запропоновано до продажу на грошовому аукціоні, до 10% від СФ. По-друге, встановлено обмеження щодо мінімальної ціни продажу</w:t>
      </w:r>
    </w:p>
    <w:p w:rsidR="00923DB2" w:rsidRPr="00923DB2" w:rsidRDefault="00923DB2" w:rsidP="00923DB2">
      <w:pPr>
        <w:shd w:val="clear" w:color="auto" w:fill="FFFFFF"/>
        <w:autoSpaceDE w:val="0"/>
        <w:autoSpaceDN w:val="0"/>
        <w:adjustRightInd w:val="0"/>
      </w:pPr>
      <w:r w:rsidRPr="00923DB2">
        <w:rPr>
          <w:color w:val="000000"/>
          <w:lang w:val="uk-UA"/>
        </w:rPr>
        <w:t>акції, яке діє як на біржових торгах, так і на грошових аукціонах.</w:t>
      </w:r>
    </w:p>
    <w:p w:rsidR="00923DB2" w:rsidRDefault="00923DB2" w:rsidP="00923DB2">
      <w:pPr>
        <w:ind w:firstLine="708"/>
        <w:rPr>
          <w:color w:val="000000"/>
          <w:lang w:val="uk-UA"/>
        </w:rPr>
      </w:pPr>
      <w:r w:rsidRPr="00923DB2">
        <w:rPr>
          <w:color w:val="000000"/>
          <w:lang w:val="uk-UA"/>
        </w:rPr>
        <w:t>Найбільше було запропоновано пакетів акцій розмі</w:t>
      </w:r>
      <w:r w:rsidRPr="00923DB2">
        <w:rPr>
          <w:color w:val="000000"/>
          <w:lang w:val="uk-UA"/>
        </w:rPr>
        <w:softHyphen/>
        <w:t>ром від 10 до 25% від СФ (586). І лише 231</w:t>
      </w:r>
      <w:r>
        <w:rPr>
          <w:color w:val="000000"/>
          <w:lang w:val="uk-UA"/>
        </w:rPr>
        <w:t xml:space="preserve"> з них знайшов своїх власників</w:t>
      </w:r>
      <w:r w:rsidRPr="00923DB2">
        <w:rPr>
          <w:color w:val="000000"/>
        </w:rPr>
        <w:t xml:space="preserve">. </w:t>
      </w:r>
      <w:r w:rsidRPr="00923DB2">
        <w:rPr>
          <w:color w:val="000000"/>
          <w:lang w:val="uk-UA"/>
        </w:rPr>
        <w:t>Наступними йдуть пакети акцій розміром від 25 до 50% та від 10 до 25%. Для продажу най</w:t>
      </w:r>
      <w:r w:rsidRPr="00923DB2">
        <w:rPr>
          <w:color w:val="000000"/>
          <w:lang w:val="uk-UA"/>
        </w:rPr>
        <w:softHyphen/>
        <w:t>більше було запропоновано пакетів акцій заготівельних підприємств - 299 (реалізовано 141), підприємств машино</w:t>
      </w:r>
      <w:r w:rsidRPr="00923DB2">
        <w:rPr>
          <w:color w:val="000000"/>
          <w:lang w:val="uk-UA"/>
        </w:rPr>
        <w:softHyphen/>
        <w:t>будування та металообробки - 223 (69), будівельних підприємств- 138 (53), підприємств харчової промисловості - 139 (реалізо</w:t>
      </w:r>
      <w:r>
        <w:rPr>
          <w:color w:val="000000"/>
          <w:lang w:val="uk-UA"/>
        </w:rPr>
        <w:t>вано 70)</w:t>
      </w:r>
      <w:r w:rsidRPr="00923DB2">
        <w:rPr>
          <w:color w:val="000000"/>
          <w:lang w:val="uk-UA"/>
        </w:rPr>
        <w:t>. Найбільший відсоток реа</w:t>
      </w:r>
      <w:r w:rsidRPr="00923DB2">
        <w:rPr>
          <w:color w:val="000000"/>
          <w:lang w:val="uk-UA"/>
        </w:rPr>
        <w:softHyphen/>
        <w:t>лізованих акцій по підприємствах електроенергетики -85,7%. Найнижча заінтересованість у покупців до акцій сільськогосподарських підприємств. Незначна частина була реалізована акцій підприємств транспорту і зв'язку, про</w:t>
      </w:r>
      <w:r w:rsidRPr="00923DB2">
        <w:rPr>
          <w:color w:val="000000"/>
          <w:lang w:val="uk-UA"/>
        </w:rPr>
        <w:softHyphen/>
        <w:t>мисловості будівельних матеріалів.</w:t>
      </w:r>
    </w:p>
    <w:p w:rsidR="003E0E48" w:rsidRDefault="00923DB2" w:rsidP="00923DB2">
      <w:pPr>
        <w:pStyle w:val="1"/>
        <w:rPr>
          <w:lang w:val="uk-UA"/>
        </w:rPr>
      </w:pPr>
      <w:r>
        <w:rPr>
          <w:lang w:val="uk-UA"/>
        </w:rPr>
        <w:br w:type="page"/>
      </w:r>
      <w:bookmarkStart w:id="12" w:name="_Toc10177610"/>
      <w:r>
        <w:rPr>
          <w:lang w:val="uk-UA"/>
        </w:rPr>
        <w:t>Висновок</w:t>
      </w:r>
      <w:bookmarkEnd w:id="12"/>
    </w:p>
    <w:p w:rsidR="00923DB2" w:rsidRDefault="00923DB2" w:rsidP="00923DB2">
      <w:pPr>
        <w:pStyle w:val="2"/>
        <w:rPr>
          <w:lang w:val="uk-UA"/>
        </w:rPr>
      </w:pPr>
      <w:bookmarkStart w:id="13" w:name="_Toc10177611"/>
      <w:r>
        <w:rPr>
          <w:lang w:val="uk-UA"/>
        </w:rPr>
        <w:t>Грудневі біржові торги</w:t>
      </w:r>
      <w:bookmarkEnd w:id="13"/>
    </w:p>
    <w:p w:rsidR="00923DB2" w:rsidRPr="00923DB2" w:rsidRDefault="00923DB2" w:rsidP="00923DB2">
      <w:pPr>
        <w:shd w:val="clear" w:color="auto" w:fill="FFFFFF"/>
        <w:autoSpaceDE w:val="0"/>
        <w:autoSpaceDN w:val="0"/>
        <w:adjustRightInd w:val="0"/>
        <w:ind w:firstLine="708"/>
      </w:pPr>
      <w:r w:rsidRPr="00923DB2">
        <w:rPr>
          <w:color w:val="000000"/>
          <w:lang w:val="uk-UA"/>
        </w:rPr>
        <w:t>Наприкінці року на фондових майданчиках накрес</w:t>
      </w:r>
      <w:r w:rsidRPr="00923DB2">
        <w:rPr>
          <w:color w:val="000000"/>
          <w:lang w:val="uk-UA"/>
        </w:rPr>
        <w:softHyphen/>
        <w:t>лилась стійка тенденція до зменшення пропозиції дер</w:t>
      </w:r>
      <w:r w:rsidRPr="00923DB2">
        <w:rPr>
          <w:color w:val="000000"/>
          <w:lang w:val="uk-UA"/>
        </w:rPr>
        <w:softHyphen/>
        <w:t>жавних пакетів акцій як у кількісному, так і у вартіс</w:t>
      </w:r>
      <w:r w:rsidRPr="00923DB2">
        <w:rPr>
          <w:color w:val="000000"/>
          <w:lang w:val="uk-UA"/>
        </w:rPr>
        <w:softHyphen/>
        <w:t>ному виразі. У грудні на біржовий ринок приватизації ФДМУ було запропоновано в цілому 276 пакетів акцій загальною номінальною вартістю 286,9 млн. грн. Для порівняння: у грудні 2000 року таку саму кількість пакетів отримала лише УФБ.</w:t>
      </w:r>
    </w:p>
    <w:p w:rsidR="00923DB2" w:rsidRPr="00923DB2" w:rsidRDefault="00923DB2" w:rsidP="00923DB2">
      <w:pPr>
        <w:shd w:val="clear" w:color="auto" w:fill="FFFFFF"/>
        <w:autoSpaceDE w:val="0"/>
        <w:autoSpaceDN w:val="0"/>
        <w:adjustRightInd w:val="0"/>
        <w:ind w:firstLine="708"/>
      </w:pPr>
      <w:r w:rsidRPr="00923DB2">
        <w:rPr>
          <w:color w:val="000000"/>
          <w:lang w:val="uk-UA"/>
        </w:rPr>
        <w:t>На біржах не з'явилося жодного нового пакета акцій високоліквідного підприємства, спроможного підняти рівень грошових надходжень. У цьому й немає сенсу, оскільки на біржові торги вже протягом року виставляються і не мають належного попиту близько десятка держпакетів акцій інвестиційно привабливих об'єктів.</w:t>
      </w:r>
    </w:p>
    <w:p w:rsidR="00923DB2" w:rsidRPr="00923DB2" w:rsidRDefault="00923DB2" w:rsidP="00923DB2">
      <w:pPr>
        <w:shd w:val="clear" w:color="auto" w:fill="FFFFFF"/>
        <w:autoSpaceDE w:val="0"/>
        <w:autoSpaceDN w:val="0"/>
        <w:adjustRightInd w:val="0"/>
        <w:ind w:firstLine="708"/>
        <w:rPr>
          <w:lang w:val="uk-UA"/>
        </w:rPr>
      </w:pPr>
      <w:r w:rsidRPr="00923DB2">
        <w:rPr>
          <w:color w:val="000000"/>
          <w:lang w:val="uk-UA"/>
        </w:rPr>
        <w:t>Як і у попередні місяці, у грудні основний біржо</w:t>
      </w:r>
      <w:r w:rsidRPr="00923DB2">
        <w:rPr>
          <w:color w:val="000000"/>
          <w:lang w:val="uk-UA"/>
        </w:rPr>
        <w:softHyphen/>
        <w:t>вий товар складали цінні папери підприємств харчової та будівельної промисловості, авто</w:t>
      </w:r>
      <w:r w:rsidRPr="00923DB2">
        <w:rPr>
          <w:color w:val="000000"/>
          <w:lang w:val="uk-UA"/>
        </w:rPr>
        <w:softHyphen/>
        <w:t>транспортні об'єкти, сільськогосподар</w:t>
      </w:r>
      <w:r w:rsidRPr="00923DB2">
        <w:rPr>
          <w:color w:val="000000"/>
          <w:lang w:val="uk-UA"/>
        </w:rPr>
        <w:softHyphen/>
        <w:t>ські підприємства, а також елеватори, хлібозаводи та хлібокомбінати.</w:t>
      </w:r>
    </w:p>
    <w:p w:rsidR="00923DB2" w:rsidRPr="00923DB2" w:rsidRDefault="00923DB2" w:rsidP="00923DB2">
      <w:pPr>
        <w:shd w:val="clear" w:color="auto" w:fill="FFFFFF"/>
        <w:autoSpaceDE w:val="0"/>
        <w:autoSpaceDN w:val="0"/>
        <w:adjustRightInd w:val="0"/>
        <w:ind w:firstLine="708"/>
      </w:pPr>
      <w:r w:rsidRPr="00923DB2">
        <w:rPr>
          <w:color w:val="000000"/>
          <w:lang w:val="uk-UA"/>
        </w:rPr>
        <w:t>Причому, якщо б на біржі не вистав</w:t>
      </w:r>
      <w:r w:rsidRPr="00923DB2">
        <w:rPr>
          <w:color w:val="000000"/>
          <w:lang w:val="uk-UA"/>
        </w:rPr>
        <w:softHyphen/>
        <w:t>лялися акції об'єктів останніх трьох груп, результати торгів були б ще гіршими. Саме ці підприєм</w:t>
      </w:r>
      <w:r w:rsidRPr="00923DB2">
        <w:rPr>
          <w:color w:val="000000"/>
          <w:lang w:val="uk-UA"/>
        </w:rPr>
        <w:softHyphen/>
        <w:t>ства вже другий рік</w:t>
      </w:r>
    </w:p>
    <w:p w:rsidR="00923DB2" w:rsidRPr="00923DB2" w:rsidRDefault="00923DB2" w:rsidP="00923DB2">
      <w:pPr>
        <w:shd w:val="clear" w:color="auto" w:fill="FFFFFF"/>
        <w:autoSpaceDE w:val="0"/>
        <w:autoSpaceDN w:val="0"/>
        <w:adjustRightInd w:val="0"/>
      </w:pPr>
      <w:r w:rsidRPr="00923DB2">
        <w:rPr>
          <w:color w:val="000000"/>
          <w:lang w:val="uk-UA"/>
        </w:rPr>
        <w:t>поспіль користуються підвищеним попитом і прино</w:t>
      </w:r>
      <w:r w:rsidRPr="00923DB2">
        <w:rPr>
          <w:color w:val="000000"/>
          <w:lang w:val="uk-UA"/>
        </w:rPr>
        <w:softHyphen/>
        <w:t>сять значну частину надходжень.</w:t>
      </w:r>
    </w:p>
    <w:p w:rsidR="00923DB2" w:rsidRPr="00923DB2" w:rsidRDefault="00923DB2" w:rsidP="00923DB2">
      <w:pPr>
        <w:shd w:val="clear" w:color="auto" w:fill="FFFFFF"/>
        <w:autoSpaceDE w:val="0"/>
        <w:autoSpaceDN w:val="0"/>
        <w:adjustRightInd w:val="0"/>
        <w:ind w:firstLine="708"/>
      </w:pPr>
      <w:r w:rsidRPr="00923DB2">
        <w:rPr>
          <w:color w:val="000000"/>
          <w:lang w:val="uk-UA"/>
        </w:rPr>
        <w:t>У цілому в грудні до нових власників перейшли 22 пакети акцій, або 8% від пропозиції, і було отри</w:t>
      </w:r>
      <w:r w:rsidRPr="00923DB2">
        <w:rPr>
          <w:color w:val="000000"/>
          <w:lang w:val="uk-UA"/>
        </w:rPr>
        <w:softHyphen/>
        <w:t>мано 4,9 млн. грн., що є найбільшим показником за останні місяці. Зокрема, у листопаді на біржовий ри</w:t>
      </w:r>
      <w:r w:rsidRPr="00923DB2">
        <w:rPr>
          <w:color w:val="000000"/>
          <w:lang w:val="uk-UA"/>
        </w:rPr>
        <w:softHyphen/>
        <w:t>нок приватизації було запропоновано 310 пакетів за</w:t>
      </w:r>
      <w:r w:rsidRPr="00923DB2">
        <w:rPr>
          <w:color w:val="000000"/>
          <w:lang w:val="uk-UA"/>
        </w:rPr>
        <w:softHyphen/>
        <w:t>гальною номінальною вартістю 300,3 млн. грн., з яких було продано 21 пакет, або 6,7%, й отримано 3,08 млн. грн.</w:t>
      </w:r>
    </w:p>
    <w:p w:rsidR="00923DB2" w:rsidRPr="00923DB2" w:rsidRDefault="00923DB2" w:rsidP="00923DB2">
      <w:pPr>
        <w:shd w:val="clear" w:color="auto" w:fill="FFFFFF"/>
        <w:autoSpaceDE w:val="0"/>
        <w:autoSpaceDN w:val="0"/>
        <w:adjustRightInd w:val="0"/>
        <w:ind w:firstLine="708"/>
      </w:pPr>
      <w:r w:rsidRPr="00923DB2">
        <w:rPr>
          <w:color w:val="000000"/>
          <w:lang w:val="uk-UA"/>
        </w:rPr>
        <w:t>З перевищенням номінальної вартості акцій у грудні реалізовано три пакети, а в листопаді - два. Незважаючи на це, груднева загальна вартість про</w:t>
      </w:r>
      <w:r w:rsidRPr="00923DB2">
        <w:rPr>
          <w:color w:val="000000"/>
          <w:lang w:val="uk-UA"/>
        </w:rPr>
        <w:softHyphen/>
        <w:t>даних акцій знову, як і у листопаді, виявилась ниж</w:t>
      </w:r>
      <w:r w:rsidRPr="00923DB2">
        <w:rPr>
          <w:color w:val="000000"/>
          <w:lang w:val="uk-UA"/>
        </w:rPr>
        <w:softHyphen/>
        <w:t>че їх номінальної вартості. Це співвідношення скла</w:t>
      </w:r>
      <w:r w:rsidRPr="00923DB2">
        <w:rPr>
          <w:color w:val="000000"/>
          <w:lang w:val="uk-UA"/>
        </w:rPr>
        <w:softHyphen/>
        <w:t>ло 1,4 раза.</w:t>
      </w:r>
    </w:p>
    <w:p w:rsidR="00923DB2" w:rsidRPr="00923DB2" w:rsidRDefault="00923DB2" w:rsidP="00923DB2">
      <w:pPr>
        <w:shd w:val="clear" w:color="auto" w:fill="FFFFFF"/>
        <w:autoSpaceDE w:val="0"/>
        <w:autoSpaceDN w:val="0"/>
        <w:adjustRightInd w:val="0"/>
      </w:pPr>
      <w:r w:rsidRPr="00923DB2">
        <w:rPr>
          <w:color w:val="000000"/>
          <w:lang w:val="uk-UA"/>
        </w:rPr>
        <w:t xml:space="preserve">У кінці року значно знизились результати торгівлі на </w:t>
      </w:r>
      <w:r w:rsidRPr="00923DB2">
        <w:rPr>
          <w:b/>
          <w:bCs/>
          <w:color w:val="000000"/>
          <w:lang w:val="uk-UA"/>
        </w:rPr>
        <w:t xml:space="preserve">Українській фондовій біржі. </w:t>
      </w:r>
      <w:r w:rsidRPr="00923DB2">
        <w:rPr>
          <w:color w:val="000000"/>
          <w:lang w:val="uk-UA"/>
        </w:rPr>
        <w:t>Однією з головних причин цього є відчутне зменшення пропозиції держ</w:t>
      </w:r>
      <w:r w:rsidRPr="00923DB2">
        <w:rPr>
          <w:color w:val="000000"/>
          <w:lang w:val="uk-UA"/>
        </w:rPr>
        <w:softHyphen/>
        <w:t>пакетів акцій. Так, у грудні на УФБ було виставлено лише 95 пакетів загальною номінальною вартістю 57,7 млн. грн. У попередні місяці цей показник ніко</w:t>
      </w:r>
      <w:r w:rsidRPr="00923DB2">
        <w:rPr>
          <w:color w:val="000000"/>
          <w:lang w:val="uk-UA"/>
        </w:rPr>
        <w:softHyphen/>
        <w:t>ли не був нижчим за 100 пакетів акцій.</w:t>
      </w:r>
    </w:p>
    <w:p w:rsidR="00923DB2" w:rsidRPr="00923DB2" w:rsidRDefault="00923DB2" w:rsidP="00923DB2">
      <w:pPr>
        <w:shd w:val="clear" w:color="auto" w:fill="FFFFFF"/>
        <w:autoSpaceDE w:val="0"/>
        <w:autoSpaceDN w:val="0"/>
        <w:adjustRightInd w:val="0"/>
      </w:pPr>
      <w:r w:rsidRPr="00923DB2">
        <w:rPr>
          <w:color w:val="000000"/>
          <w:lang w:val="uk-UA"/>
        </w:rPr>
        <w:t>У результаті торгів до нових власників перейшло вісім пакетів, або 8,4% запропонованих. При цьому було отримано 0,92 млн. грн.</w:t>
      </w:r>
    </w:p>
    <w:p w:rsidR="00923DB2" w:rsidRPr="00923DB2" w:rsidRDefault="00923DB2" w:rsidP="00923DB2">
      <w:pPr>
        <w:shd w:val="clear" w:color="auto" w:fill="FFFFFF"/>
        <w:autoSpaceDE w:val="0"/>
        <w:autoSpaceDN w:val="0"/>
        <w:adjustRightInd w:val="0"/>
        <w:ind w:firstLine="708"/>
        <w:rPr>
          <w:lang w:val="uk-UA"/>
        </w:rPr>
      </w:pPr>
      <w:r w:rsidRPr="00923DB2">
        <w:rPr>
          <w:color w:val="000000"/>
          <w:lang w:val="uk-UA"/>
        </w:rPr>
        <w:t>З перевищенням номінальної вартості на УФБ у грудні не було продано жодного пакета, що також не є характерним для цього майданчика. Слід також за</w:t>
      </w:r>
      <w:r w:rsidRPr="00923DB2">
        <w:rPr>
          <w:color w:val="000000"/>
          <w:lang w:val="uk-UA"/>
        </w:rPr>
        <w:softHyphen/>
        <w:t>значити, що на цій біржі не змогли знайти нового власника акції таких підприємств, як ВАТ «Луцький кар</w:t>
      </w:r>
      <w:r w:rsidRPr="00923DB2">
        <w:rPr>
          <w:color w:val="000000"/>
          <w:lang w:val="uk-UA"/>
        </w:rPr>
        <w:softHyphen/>
        <w:t>тонно-руберойдовий комбінат», «Харківський завод аг</w:t>
      </w:r>
      <w:r w:rsidRPr="00923DB2">
        <w:rPr>
          <w:color w:val="000000"/>
          <w:lang w:val="uk-UA"/>
        </w:rPr>
        <w:softHyphen/>
        <w:t>регатних верстатів», «Керченський металургійний ком</w:t>
      </w:r>
      <w:r w:rsidRPr="00923DB2">
        <w:rPr>
          <w:color w:val="000000"/>
          <w:lang w:val="uk-UA"/>
        </w:rPr>
        <w:softHyphen/>
        <w:t>бінат» тощо.</w:t>
      </w:r>
    </w:p>
    <w:p w:rsidR="00923DB2" w:rsidRPr="00923DB2" w:rsidRDefault="00923DB2" w:rsidP="00923DB2">
      <w:pPr>
        <w:shd w:val="clear" w:color="auto" w:fill="FFFFFF"/>
        <w:autoSpaceDE w:val="0"/>
        <w:autoSpaceDN w:val="0"/>
        <w:adjustRightInd w:val="0"/>
        <w:ind w:firstLine="708"/>
        <w:rPr>
          <w:lang w:val="uk-UA"/>
        </w:rPr>
      </w:pPr>
      <w:r w:rsidRPr="00923DB2">
        <w:rPr>
          <w:color w:val="000000"/>
          <w:lang w:val="uk-UA"/>
        </w:rPr>
        <w:t xml:space="preserve">Лідером грудневих торгів стала </w:t>
      </w:r>
      <w:r w:rsidRPr="00923DB2">
        <w:rPr>
          <w:b/>
          <w:bCs/>
          <w:color w:val="000000"/>
          <w:lang w:val="uk-UA"/>
        </w:rPr>
        <w:t xml:space="preserve">Київська міжнародна фондова біржа. </w:t>
      </w:r>
      <w:r w:rsidRPr="00923DB2">
        <w:rPr>
          <w:color w:val="000000"/>
          <w:lang w:val="uk-UA"/>
        </w:rPr>
        <w:t>Майже п'ятимільйонного рівня загальних надходжень в останньому місяці року було досягнуто саме завдяки вдалим торгам на цьому май</w:t>
      </w:r>
      <w:r w:rsidRPr="00923DB2">
        <w:rPr>
          <w:color w:val="000000"/>
          <w:lang w:val="uk-UA"/>
        </w:rPr>
        <w:softHyphen/>
        <w:t>данчику. Пропозиція КМФБ дорівнювала 34 пакетам акцій загальною номінальною вартістю 22,2 млн. грн., з яких упродовж місяця було реалізовано п'ять пакетів, або 14,7%.</w:t>
      </w:r>
    </w:p>
    <w:p w:rsidR="00923DB2" w:rsidRPr="00923DB2" w:rsidRDefault="00923DB2" w:rsidP="00923DB2">
      <w:pPr>
        <w:shd w:val="clear" w:color="auto" w:fill="FFFFFF"/>
        <w:autoSpaceDE w:val="0"/>
        <w:autoSpaceDN w:val="0"/>
        <w:adjustRightInd w:val="0"/>
        <w:ind w:firstLine="708"/>
      </w:pPr>
      <w:r w:rsidRPr="00923DB2">
        <w:rPr>
          <w:color w:val="000000"/>
          <w:lang w:val="uk-UA"/>
        </w:rPr>
        <w:t>Вартість проданих акцій на КМФБ у грудні склала 3,4 млн. грн., що дорівнює 69% загальних біржових надходжень. При цьому з перевищенням номінальної вартості було продане два пакети акцій. Слід особ</w:t>
      </w:r>
      <w:r w:rsidRPr="00923DB2">
        <w:rPr>
          <w:color w:val="000000"/>
          <w:lang w:val="uk-UA"/>
        </w:rPr>
        <w:softHyphen/>
        <w:t>ливо відзначити реалізацію 26% статутного фонду ВАТ «Комсомольський хлібозавод» за 1,9 млн. грн. з перевищенням номінальної вартості у 34 рази.</w:t>
      </w:r>
    </w:p>
    <w:p w:rsidR="00923DB2" w:rsidRPr="00923DB2" w:rsidRDefault="00923DB2" w:rsidP="00923DB2">
      <w:pPr>
        <w:shd w:val="clear" w:color="auto" w:fill="FFFFFF"/>
        <w:autoSpaceDE w:val="0"/>
        <w:autoSpaceDN w:val="0"/>
        <w:adjustRightInd w:val="0"/>
        <w:ind w:firstLine="708"/>
      </w:pPr>
      <w:r w:rsidRPr="00923DB2">
        <w:rPr>
          <w:color w:val="000000"/>
          <w:lang w:val="uk-UA"/>
        </w:rPr>
        <w:t xml:space="preserve">Результати торгівлі на інших майданчиках виявилися набагато гіршими. Ніяк не може повернути лідируючі позиції </w:t>
      </w:r>
      <w:r w:rsidRPr="00923DB2">
        <w:rPr>
          <w:b/>
          <w:bCs/>
          <w:color w:val="000000"/>
          <w:lang w:val="uk-UA"/>
        </w:rPr>
        <w:t>Українська міжбанківська валютна біржа.</w:t>
      </w:r>
    </w:p>
    <w:p w:rsidR="00923DB2" w:rsidRPr="00923DB2" w:rsidRDefault="00923DB2" w:rsidP="00923DB2">
      <w:pPr>
        <w:shd w:val="clear" w:color="auto" w:fill="FFFFFF"/>
        <w:autoSpaceDE w:val="0"/>
        <w:autoSpaceDN w:val="0"/>
        <w:adjustRightInd w:val="0"/>
      </w:pPr>
      <w:r w:rsidRPr="00923DB2">
        <w:rPr>
          <w:color w:val="000000"/>
          <w:lang w:val="uk-UA"/>
        </w:rPr>
        <w:t>яка досить ефектив</w:t>
      </w:r>
      <w:r w:rsidRPr="00923DB2">
        <w:rPr>
          <w:color w:val="000000"/>
          <w:lang w:val="uk-UA"/>
        </w:rPr>
        <w:softHyphen/>
        <w:t>но працювала у по</w:t>
      </w:r>
      <w:r w:rsidRPr="00923DB2">
        <w:rPr>
          <w:color w:val="000000"/>
          <w:lang w:val="uk-UA"/>
        </w:rPr>
        <w:softHyphen/>
        <w:t>передні роки. Про</w:t>
      </w:r>
      <w:r w:rsidRPr="00923DB2">
        <w:rPr>
          <w:color w:val="000000"/>
          <w:lang w:val="uk-UA"/>
        </w:rPr>
        <w:softHyphen/>
        <w:t>даж 10% акцій ВАТ «Миколаївський гли</w:t>
      </w:r>
      <w:r w:rsidRPr="00923DB2">
        <w:rPr>
          <w:color w:val="000000"/>
          <w:lang w:val="uk-UA"/>
        </w:rPr>
        <w:softHyphen/>
        <w:t>ноземний завод» із стартовою ціною 60,5 млн. грн. так і не відбувся.</w:t>
      </w:r>
    </w:p>
    <w:p w:rsidR="00923DB2" w:rsidRPr="00923DB2" w:rsidRDefault="00923DB2" w:rsidP="00923DB2">
      <w:pPr>
        <w:shd w:val="clear" w:color="auto" w:fill="FFFFFF"/>
        <w:autoSpaceDE w:val="0"/>
        <w:autoSpaceDN w:val="0"/>
        <w:adjustRightInd w:val="0"/>
      </w:pPr>
      <w:r w:rsidRPr="00923DB2">
        <w:rPr>
          <w:color w:val="000000"/>
          <w:lang w:val="uk-UA"/>
        </w:rPr>
        <w:t>Груднева пропо</w:t>
      </w:r>
      <w:r w:rsidRPr="00923DB2">
        <w:rPr>
          <w:color w:val="000000"/>
          <w:lang w:val="uk-UA"/>
        </w:rPr>
        <w:softHyphen/>
        <w:t>зиція УМВБ склада</w:t>
      </w:r>
      <w:r w:rsidRPr="00923DB2">
        <w:rPr>
          <w:color w:val="000000"/>
          <w:lang w:val="uk-UA"/>
        </w:rPr>
        <w:softHyphen/>
        <w:t>лась із 42 пакетів загальною номіналь</w:t>
      </w:r>
      <w:r w:rsidRPr="00923DB2">
        <w:rPr>
          <w:color w:val="000000"/>
          <w:lang w:val="uk-UA"/>
        </w:rPr>
        <w:softHyphen/>
        <w:t>ною вартістю 75 млн. грн.,- з яких було продано лише</w:t>
      </w:r>
    </w:p>
    <w:p w:rsidR="00923DB2" w:rsidRPr="00923DB2" w:rsidRDefault="00923DB2" w:rsidP="00923DB2">
      <w:pPr>
        <w:shd w:val="clear" w:color="auto" w:fill="FFFFFF"/>
        <w:autoSpaceDE w:val="0"/>
        <w:autoSpaceDN w:val="0"/>
        <w:adjustRightInd w:val="0"/>
      </w:pPr>
      <w:r w:rsidRPr="00923DB2">
        <w:rPr>
          <w:color w:val="000000"/>
          <w:lang w:val="uk-UA"/>
        </w:rPr>
        <w:t>два пакети без перевищення номіналу, або 4,7%, й отримано 0,034 млн. грн.</w:t>
      </w:r>
    </w:p>
    <w:p w:rsidR="00923DB2" w:rsidRPr="00923DB2" w:rsidRDefault="00923DB2" w:rsidP="00923DB2">
      <w:pPr>
        <w:shd w:val="clear" w:color="auto" w:fill="FFFFFF"/>
        <w:autoSpaceDE w:val="0"/>
        <w:autoSpaceDN w:val="0"/>
        <w:adjustRightInd w:val="0"/>
        <w:ind w:firstLine="708"/>
      </w:pPr>
      <w:r w:rsidRPr="00923DB2">
        <w:rPr>
          <w:color w:val="000000"/>
          <w:lang w:val="uk-UA"/>
        </w:rPr>
        <w:t xml:space="preserve">Пропозиція </w:t>
      </w:r>
      <w:r w:rsidRPr="00923DB2">
        <w:rPr>
          <w:b/>
          <w:bCs/>
          <w:color w:val="000000"/>
          <w:lang w:val="uk-UA"/>
        </w:rPr>
        <w:t xml:space="preserve">Придніпровської фондової біржі </w:t>
      </w:r>
      <w:r w:rsidRPr="00923DB2">
        <w:rPr>
          <w:color w:val="000000"/>
          <w:lang w:val="uk-UA"/>
        </w:rPr>
        <w:t>у грудні становила шість пакетів акцій загальною но</w:t>
      </w:r>
      <w:r w:rsidRPr="00923DB2">
        <w:rPr>
          <w:color w:val="000000"/>
          <w:lang w:val="uk-UA"/>
        </w:rPr>
        <w:softHyphen/>
        <w:t>мінальною вартістю 4,1 млн. грн. У ході торгів до нового власника перейшов один пакет, або 16% від пропозиції, що стало найкращим показником торгівлі серед усіх майданчиків. Йдеться про 4,16% СФ ВАТ «Дніпроважпапірмаш», які продали за 0,1 млн. грн. з перевищенням номінальної вартості в 11 разів.</w:t>
      </w:r>
    </w:p>
    <w:p w:rsidR="00923DB2" w:rsidRPr="00923DB2" w:rsidRDefault="00923DB2" w:rsidP="00923DB2">
      <w:pPr>
        <w:shd w:val="clear" w:color="auto" w:fill="FFFFFF"/>
        <w:autoSpaceDE w:val="0"/>
        <w:autoSpaceDN w:val="0"/>
        <w:adjustRightInd w:val="0"/>
        <w:ind w:firstLine="708"/>
      </w:pPr>
      <w:r w:rsidRPr="00923DB2">
        <w:rPr>
          <w:b/>
          <w:bCs/>
          <w:color w:val="000000"/>
          <w:lang w:val="uk-UA"/>
        </w:rPr>
        <w:t xml:space="preserve">Кримська фондова біржа </w:t>
      </w:r>
      <w:r w:rsidRPr="00923DB2">
        <w:rPr>
          <w:color w:val="000000"/>
          <w:lang w:val="uk-UA"/>
        </w:rPr>
        <w:t>у грудні отримала на реалізацію 69 пакетів загальною номінальною вартістю 28,2 млн. грн. Упродовж місяця нових власників знай</w:t>
      </w:r>
      <w:r w:rsidRPr="00923DB2">
        <w:rPr>
          <w:color w:val="000000"/>
          <w:lang w:val="uk-UA"/>
        </w:rPr>
        <w:softHyphen/>
        <w:t>шли шість пакетів без перевищення номіналу, або 8,7% запропонованих. Сума грошових надходжень КФБ дорівнювала 0,5 млн. грн.</w:t>
      </w:r>
    </w:p>
    <w:p w:rsidR="00923DB2" w:rsidRPr="00923DB2" w:rsidRDefault="00923DB2" w:rsidP="00923DB2">
      <w:pPr>
        <w:shd w:val="clear" w:color="auto" w:fill="FFFFFF"/>
        <w:autoSpaceDE w:val="0"/>
        <w:autoSpaceDN w:val="0"/>
        <w:adjustRightInd w:val="0"/>
        <w:ind w:firstLine="708"/>
      </w:pPr>
      <w:r w:rsidRPr="00923DB2">
        <w:rPr>
          <w:color w:val="000000"/>
          <w:lang w:val="uk-UA"/>
        </w:rPr>
        <w:t xml:space="preserve">Інші майданчики у графі проданих пакетів у грудні мали нульові показники. При Цьому на торги </w:t>
      </w:r>
      <w:r w:rsidRPr="00923DB2">
        <w:rPr>
          <w:b/>
          <w:bCs/>
          <w:color w:val="000000"/>
          <w:lang w:val="uk-UA"/>
        </w:rPr>
        <w:t xml:space="preserve">Першої фондової торговельної системи </w:t>
      </w:r>
      <w:r w:rsidRPr="00923DB2">
        <w:rPr>
          <w:color w:val="000000"/>
          <w:lang w:val="uk-UA"/>
        </w:rPr>
        <w:t>ФДМУ за</w:t>
      </w:r>
      <w:r w:rsidRPr="00923DB2">
        <w:rPr>
          <w:color w:val="000000"/>
          <w:lang w:val="uk-UA"/>
        </w:rPr>
        <w:softHyphen/>
        <w:t xml:space="preserve">пропонував 14 держпакетів загальною номінальною вартістю 62,2 млн. грн., серед яких акції ВАТ «Львів-обленерго», «Макіївський металургійний комбінат», «Баглійкокс» та ін., Пропозиція </w:t>
      </w:r>
      <w:r w:rsidRPr="00923DB2">
        <w:rPr>
          <w:b/>
          <w:bCs/>
          <w:color w:val="000000"/>
          <w:lang w:val="uk-UA"/>
        </w:rPr>
        <w:t xml:space="preserve">Донецької фондової біржі </w:t>
      </w:r>
      <w:r w:rsidRPr="00923DB2">
        <w:rPr>
          <w:color w:val="000000"/>
          <w:lang w:val="uk-UA"/>
        </w:rPr>
        <w:t>складалась з 13 пакетів загальною номінальною вартістю 34,2 млн. грн. Проте потенційних покупців не зацікавили акції таких ВАТ, як «Донецький металургійний завод», «Енергомашспецсталь», «Краматорський завод важкого верстатобудування» тощо.</w:t>
      </w:r>
    </w:p>
    <w:p w:rsidR="00A52B54" w:rsidRDefault="00923DB2" w:rsidP="00923DB2">
      <w:pPr>
        <w:ind w:firstLine="708"/>
        <w:rPr>
          <w:color w:val="000000"/>
          <w:lang w:val="uk-UA"/>
        </w:rPr>
      </w:pPr>
      <w:r w:rsidRPr="00923DB2">
        <w:rPr>
          <w:color w:val="000000"/>
          <w:lang w:val="uk-UA"/>
        </w:rPr>
        <w:t xml:space="preserve">Нова </w:t>
      </w:r>
      <w:r w:rsidRPr="00923DB2">
        <w:rPr>
          <w:b/>
          <w:bCs/>
          <w:color w:val="000000"/>
          <w:lang w:val="uk-UA"/>
        </w:rPr>
        <w:t xml:space="preserve">Українська міжнародна фондова біржа </w:t>
      </w:r>
      <w:r w:rsidRPr="00923DB2">
        <w:rPr>
          <w:color w:val="000000"/>
          <w:lang w:val="uk-UA"/>
        </w:rPr>
        <w:t>у грудні торгувала трьома держпакетами загальною но</w:t>
      </w:r>
      <w:r w:rsidRPr="00923DB2">
        <w:rPr>
          <w:color w:val="000000"/>
          <w:lang w:val="uk-UA"/>
        </w:rPr>
        <w:softHyphen/>
        <w:t>мінальною вартістю 3,1 млн. грн., однак її дебют ви</w:t>
      </w:r>
      <w:r w:rsidRPr="00923DB2">
        <w:rPr>
          <w:color w:val="000000"/>
          <w:lang w:val="uk-UA"/>
        </w:rPr>
        <w:softHyphen/>
        <w:t>явився невдалим.</w:t>
      </w:r>
    </w:p>
    <w:p w:rsidR="00923DB2" w:rsidRDefault="00A52B54" w:rsidP="00A52B54">
      <w:pPr>
        <w:pStyle w:val="1"/>
        <w:rPr>
          <w:lang w:val="uk-UA"/>
        </w:rPr>
      </w:pPr>
      <w:r>
        <w:rPr>
          <w:lang w:val="uk-UA"/>
        </w:rPr>
        <w:br w:type="page"/>
      </w:r>
      <w:bookmarkStart w:id="14" w:name="_Toc10177612"/>
      <w:r>
        <w:rPr>
          <w:lang w:val="uk-UA"/>
        </w:rPr>
        <w:t>Література</w:t>
      </w:r>
      <w:bookmarkEnd w:id="14"/>
    </w:p>
    <w:p w:rsidR="00A52B54" w:rsidRPr="000B44CB" w:rsidRDefault="00A52B54" w:rsidP="00A52B54">
      <w:pPr>
        <w:numPr>
          <w:ilvl w:val="0"/>
          <w:numId w:val="1"/>
        </w:numPr>
        <w:rPr>
          <w:b/>
          <w:sz w:val="28"/>
          <w:szCs w:val="28"/>
          <w:lang w:val="uk-UA"/>
        </w:rPr>
      </w:pPr>
      <w:r w:rsidRPr="000B44CB">
        <w:rPr>
          <w:b/>
          <w:sz w:val="28"/>
          <w:szCs w:val="28"/>
          <w:lang w:val="uk-UA"/>
        </w:rPr>
        <w:t>Ринок цінних паперів. Мендрул О.Г.</w:t>
      </w:r>
    </w:p>
    <w:p w:rsidR="00A52B54" w:rsidRPr="000B44CB" w:rsidRDefault="00A52B54" w:rsidP="00A52B54">
      <w:pPr>
        <w:numPr>
          <w:ilvl w:val="0"/>
          <w:numId w:val="1"/>
        </w:numPr>
        <w:rPr>
          <w:b/>
          <w:sz w:val="28"/>
          <w:szCs w:val="28"/>
          <w:lang w:val="uk-UA"/>
        </w:rPr>
      </w:pPr>
      <w:r w:rsidRPr="000B44CB">
        <w:rPr>
          <w:b/>
          <w:sz w:val="28"/>
          <w:szCs w:val="28"/>
          <w:lang w:val="uk-UA"/>
        </w:rPr>
        <w:t>Вондовий ринок. Мозговой О.Н.</w:t>
      </w:r>
    </w:p>
    <w:p w:rsidR="00A52B54" w:rsidRPr="000B44CB" w:rsidRDefault="000B44CB" w:rsidP="00A52B54">
      <w:pPr>
        <w:numPr>
          <w:ilvl w:val="0"/>
          <w:numId w:val="1"/>
        </w:numPr>
        <w:rPr>
          <w:b/>
          <w:sz w:val="28"/>
          <w:szCs w:val="28"/>
          <w:lang w:val="uk-UA"/>
        </w:rPr>
      </w:pPr>
      <w:r w:rsidRPr="000B44CB">
        <w:rPr>
          <w:b/>
          <w:sz w:val="28"/>
          <w:szCs w:val="28"/>
          <w:lang w:val="uk-UA"/>
        </w:rPr>
        <w:t>Инвестиционная газета. Фодові біржі. 2001 №48. с.7-9.</w:t>
      </w:r>
    </w:p>
    <w:p w:rsidR="000B44CB" w:rsidRPr="000B44CB" w:rsidRDefault="000B44CB" w:rsidP="00A52B54">
      <w:pPr>
        <w:numPr>
          <w:ilvl w:val="0"/>
          <w:numId w:val="1"/>
        </w:numPr>
        <w:rPr>
          <w:b/>
          <w:sz w:val="28"/>
          <w:szCs w:val="28"/>
          <w:lang w:val="uk-UA"/>
        </w:rPr>
      </w:pPr>
      <w:r w:rsidRPr="000B44CB">
        <w:rPr>
          <w:b/>
          <w:sz w:val="28"/>
          <w:szCs w:val="28"/>
          <w:lang w:val="uk-UA"/>
        </w:rPr>
        <w:t>Цінні папери України. 1999 №37. с.14.</w:t>
      </w:r>
    </w:p>
    <w:p w:rsidR="000B44CB" w:rsidRPr="000B44CB" w:rsidRDefault="000B44CB" w:rsidP="00A52B54">
      <w:pPr>
        <w:numPr>
          <w:ilvl w:val="0"/>
          <w:numId w:val="1"/>
        </w:numPr>
        <w:rPr>
          <w:b/>
          <w:sz w:val="28"/>
          <w:szCs w:val="28"/>
          <w:lang w:val="uk-UA"/>
        </w:rPr>
      </w:pPr>
      <w:r w:rsidRPr="000B44CB">
        <w:rPr>
          <w:b/>
          <w:sz w:val="28"/>
          <w:szCs w:val="28"/>
          <w:lang w:val="uk-UA"/>
        </w:rPr>
        <w:t>Цінні папери України. 2002 №2. с.8.</w:t>
      </w:r>
    </w:p>
    <w:p w:rsidR="000B44CB" w:rsidRPr="000B44CB" w:rsidRDefault="000B44CB" w:rsidP="00A52B54">
      <w:pPr>
        <w:numPr>
          <w:ilvl w:val="0"/>
          <w:numId w:val="1"/>
        </w:numPr>
        <w:rPr>
          <w:b/>
          <w:sz w:val="28"/>
          <w:szCs w:val="28"/>
          <w:lang w:val="uk-UA"/>
        </w:rPr>
      </w:pPr>
      <w:r w:rsidRPr="000B44CB">
        <w:rPr>
          <w:b/>
          <w:sz w:val="28"/>
          <w:szCs w:val="28"/>
          <w:lang w:val="uk-UA"/>
        </w:rPr>
        <w:t>Цінні папери України. 2001 №1. с.10.</w:t>
      </w:r>
    </w:p>
    <w:p w:rsidR="000B44CB" w:rsidRPr="000B44CB" w:rsidRDefault="000B44CB" w:rsidP="00A52B54">
      <w:pPr>
        <w:numPr>
          <w:ilvl w:val="0"/>
          <w:numId w:val="1"/>
        </w:numPr>
        <w:rPr>
          <w:b/>
          <w:sz w:val="28"/>
          <w:szCs w:val="28"/>
          <w:lang w:val="uk-UA"/>
        </w:rPr>
      </w:pPr>
      <w:r w:rsidRPr="000B44CB">
        <w:rPr>
          <w:b/>
          <w:sz w:val="28"/>
          <w:szCs w:val="28"/>
          <w:lang w:val="uk-UA"/>
        </w:rPr>
        <w:t>Цінні папери України. 2002 №3. с.10.</w:t>
      </w:r>
    </w:p>
    <w:p w:rsidR="000B44CB" w:rsidRPr="000B44CB" w:rsidRDefault="000B44CB" w:rsidP="00A52B54">
      <w:pPr>
        <w:numPr>
          <w:ilvl w:val="0"/>
          <w:numId w:val="1"/>
        </w:numPr>
        <w:rPr>
          <w:b/>
          <w:sz w:val="28"/>
          <w:szCs w:val="28"/>
          <w:lang w:val="uk-UA"/>
        </w:rPr>
      </w:pPr>
      <w:r w:rsidRPr="000B44CB">
        <w:rPr>
          <w:b/>
          <w:sz w:val="28"/>
          <w:szCs w:val="28"/>
          <w:lang w:val="uk-UA"/>
        </w:rPr>
        <w:t>Україна-бізнес. 2001. №2. с.4.</w:t>
      </w:r>
      <w:bookmarkStart w:id="15" w:name="_GoBack"/>
      <w:bookmarkEnd w:id="15"/>
    </w:p>
    <w:sectPr w:rsidR="000B44CB" w:rsidRPr="000B44CB" w:rsidSect="003E0E4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F0D" w:rsidRDefault="009B5F0D">
      <w:r>
        <w:separator/>
      </w:r>
    </w:p>
  </w:endnote>
  <w:endnote w:type="continuationSeparator" w:id="0">
    <w:p w:rsidR="009B5F0D" w:rsidRDefault="009B5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4" w:rsidRDefault="00A52B54" w:rsidP="009003EA">
    <w:pPr>
      <w:pStyle w:val="a4"/>
      <w:framePr w:wrap="around" w:vAnchor="text" w:hAnchor="margin" w:xAlign="right" w:y="1"/>
      <w:rPr>
        <w:rStyle w:val="a5"/>
      </w:rPr>
    </w:pPr>
  </w:p>
  <w:p w:rsidR="00A52B54" w:rsidRDefault="00A52B54" w:rsidP="009003E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54" w:rsidRDefault="00D368AB" w:rsidP="009003EA">
    <w:pPr>
      <w:pStyle w:val="a4"/>
      <w:framePr w:wrap="around" w:vAnchor="text" w:hAnchor="margin" w:xAlign="right" w:y="1"/>
      <w:rPr>
        <w:rStyle w:val="a5"/>
      </w:rPr>
    </w:pPr>
    <w:r>
      <w:rPr>
        <w:rStyle w:val="a5"/>
        <w:noProof/>
      </w:rPr>
      <w:t>1</w:t>
    </w:r>
  </w:p>
  <w:p w:rsidR="00A52B54" w:rsidRDefault="00A52B54" w:rsidP="009003E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F0D" w:rsidRDefault="009B5F0D">
      <w:r>
        <w:separator/>
      </w:r>
    </w:p>
  </w:footnote>
  <w:footnote w:type="continuationSeparator" w:id="0">
    <w:p w:rsidR="009B5F0D" w:rsidRDefault="009B5F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DF0333"/>
    <w:multiLevelType w:val="hybridMultilevel"/>
    <w:tmpl w:val="C65C41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12D"/>
    <w:rsid w:val="000A0C9B"/>
    <w:rsid w:val="000B44CB"/>
    <w:rsid w:val="001A4578"/>
    <w:rsid w:val="003E0E48"/>
    <w:rsid w:val="004D3D91"/>
    <w:rsid w:val="006F30E3"/>
    <w:rsid w:val="0075312D"/>
    <w:rsid w:val="007D072F"/>
    <w:rsid w:val="00874085"/>
    <w:rsid w:val="009003EA"/>
    <w:rsid w:val="00923DB2"/>
    <w:rsid w:val="00992CFD"/>
    <w:rsid w:val="009B5F0D"/>
    <w:rsid w:val="00A52B54"/>
    <w:rsid w:val="00B453AF"/>
    <w:rsid w:val="00BA4EA8"/>
    <w:rsid w:val="00CA09C1"/>
    <w:rsid w:val="00CB6593"/>
    <w:rsid w:val="00D368AB"/>
    <w:rsid w:val="00F96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01649B-AB2B-461C-AD5F-8F42D270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A0C9B"/>
    <w:pPr>
      <w:keepNext/>
      <w:spacing w:before="240" w:after="60"/>
      <w:outlineLvl w:val="0"/>
    </w:pPr>
    <w:rPr>
      <w:rFonts w:ascii="Arial" w:hAnsi="Arial" w:cs="Arial"/>
      <w:b/>
      <w:bCs/>
      <w:kern w:val="32"/>
      <w:sz w:val="32"/>
      <w:szCs w:val="32"/>
    </w:rPr>
  </w:style>
  <w:style w:type="paragraph" w:styleId="2">
    <w:name w:val="heading 2"/>
    <w:basedOn w:val="a"/>
    <w:next w:val="a"/>
    <w:qFormat/>
    <w:rsid w:val="00BA4EA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923DB2"/>
  </w:style>
  <w:style w:type="paragraph" w:styleId="20">
    <w:name w:val="toc 2"/>
    <w:basedOn w:val="a"/>
    <w:next w:val="a"/>
    <w:autoRedefine/>
    <w:semiHidden/>
    <w:rsid w:val="00923DB2"/>
    <w:pPr>
      <w:ind w:left="240"/>
    </w:pPr>
  </w:style>
  <w:style w:type="character" w:styleId="a3">
    <w:name w:val="Hyperlink"/>
    <w:rsid w:val="00923DB2"/>
    <w:rPr>
      <w:color w:val="0000FF"/>
      <w:u w:val="single"/>
    </w:rPr>
  </w:style>
  <w:style w:type="paragraph" w:styleId="a4">
    <w:name w:val="footer"/>
    <w:basedOn w:val="a"/>
    <w:rsid w:val="009003EA"/>
    <w:pPr>
      <w:tabs>
        <w:tab w:val="center" w:pos="4677"/>
        <w:tab w:val="right" w:pos="9355"/>
      </w:tabs>
    </w:pPr>
  </w:style>
  <w:style w:type="character" w:styleId="a5">
    <w:name w:val="page number"/>
    <w:basedOn w:val="a0"/>
    <w:rsid w:val="00900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6996</Words>
  <Characters>39883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1</vt:lpstr>
    </vt:vector>
  </TitlesOfParts>
  <Company>КНЕУ</Company>
  <LinksUpToDate>false</LinksUpToDate>
  <CharactersWithSpaces>46786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Антон Василенко</dc:creator>
  <cp:keywords/>
  <dc:description/>
  <cp:lastModifiedBy>Irina</cp:lastModifiedBy>
  <cp:revision>2</cp:revision>
  <cp:lastPrinted>2002-05-26T09:03:00Z</cp:lastPrinted>
  <dcterms:created xsi:type="dcterms:W3CDTF">2014-08-04T14:55:00Z</dcterms:created>
  <dcterms:modified xsi:type="dcterms:W3CDTF">2014-08-04T14:55:00Z</dcterms:modified>
</cp:coreProperties>
</file>