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Оглавление.</w:t>
      </w:r>
    </w:p>
    <w:p w:rsidR="00674235" w:rsidRDefault="00674235">
      <w:pPr>
        <w:pStyle w:val="20"/>
      </w:pPr>
      <w:r>
        <w:t>Введение.</w:t>
      </w:r>
      <w:r>
        <w:tab/>
        <w:t>2</w:t>
      </w:r>
    </w:p>
    <w:p w:rsidR="00674235" w:rsidRDefault="00674235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Инвестиционная политика предприятия.</w:t>
      </w:r>
      <w:r>
        <w:rPr>
          <w:sz w:val="28"/>
        </w:rPr>
        <w:tab/>
        <w:t>4</w:t>
      </w:r>
      <w:r>
        <w:rPr>
          <w:sz w:val="28"/>
        </w:rPr>
        <w:tab/>
      </w:r>
    </w:p>
    <w:p w:rsidR="00674235" w:rsidRDefault="00674235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Виды инвестиций.</w:t>
      </w:r>
      <w:r>
        <w:rPr>
          <w:sz w:val="28"/>
        </w:rPr>
        <w:tab/>
        <w:t>9</w:t>
      </w:r>
    </w:p>
    <w:p w:rsidR="00674235" w:rsidRDefault="00674235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Источники, объекты и субъекты инвестиций.</w:t>
      </w:r>
      <w:r>
        <w:rPr>
          <w:sz w:val="28"/>
        </w:rPr>
        <w:tab/>
        <w:t>11</w:t>
      </w:r>
    </w:p>
    <w:p w:rsidR="00674235" w:rsidRDefault="00674235">
      <w:pPr>
        <w:pStyle w:val="a3"/>
        <w:tabs>
          <w:tab w:val="left" w:pos="88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Теория портфеля и модель оценки доходности финансовых активов.</w:t>
      </w:r>
      <w:r>
        <w:rPr>
          <w:rFonts w:ascii="Times New Roman" w:hAnsi="Times New Roman" w:cs="Times New Roman"/>
          <w:sz w:val="28"/>
          <w:szCs w:val="27"/>
        </w:rPr>
        <w:tab/>
        <w:t>20</w:t>
      </w:r>
    </w:p>
    <w:p w:rsidR="00674235" w:rsidRDefault="00674235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Вывод.</w:t>
      </w:r>
      <w:r>
        <w:rPr>
          <w:sz w:val="28"/>
        </w:rPr>
        <w:tab/>
        <w:t>24</w:t>
      </w:r>
    </w:p>
    <w:p w:rsidR="00674235" w:rsidRDefault="00674235">
      <w:pPr>
        <w:pStyle w:val="1"/>
        <w:tabs>
          <w:tab w:val="left" w:pos="882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Список использованной литературы.</w:t>
      </w:r>
      <w:r>
        <w:rPr>
          <w:rFonts w:ascii="Times New Roman" w:hAnsi="Times New Roman"/>
          <w:b w:val="0"/>
        </w:rPr>
        <w:tab/>
        <w:t>25</w:t>
      </w: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Введение.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Важность правильной инвестиционной политики на предприятиях определяется рядом факторов. Прежде всего, поскольку эффект принятия инвестиционных решений может сказываться в течение нескольких лет, это приводит к определенным ограничениям. С одной стороны, предприятие обладает ограниченными инвестиционными ресурсами. Это толкает предприятие на инвестиции в недорогие малопроизводительные технологии.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Другой аспект </w:t>
      </w:r>
      <w:r>
        <w:rPr>
          <w:rFonts w:ascii="AGaramond Bold" w:hAnsi="AGaramond Bold" w:cs="Times New Roman" w:hint="eastAsia"/>
          <w:sz w:val="28"/>
          <w:szCs w:val="27"/>
        </w:rPr>
        <w:t>инвестирования</w:t>
      </w:r>
      <w:r>
        <w:rPr>
          <w:rFonts w:ascii="Times New Roman" w:hAnsi="Times New Roman" w:cs="Times New Roman" w:hint="eastAsia"/>
          <w:sz w:val="28"/>
          <w:szCs w:val="27"/>
        </w:rPr>
        <w:t xml:space="preserve"> - </w:t>
      </w:r>
      <w:r>
        <w:rPr>
          <w:rFonts w:ascii="Times New Roman" w:hAnsi="Times New Roman" w:cs="Times New Roman" w:hint="eastAsia"/>
          <w:sz w:val="28"/>
          <w:szCs w:val="27"/>
        </w:rPr>
        <w:t>это</w:t>
      </w:r>
      <w:r>
        <w:rPr>
          <w:rFonts w:ascii="Times New Roman" w:hAnsi="Times New Roman" w:cs="Times New Roman"/>
          <w:sz w:val="28"/>
          <w:szCs w:val="27"/>
        </w:rPr>
        <w:t xml:space="preserve"> своевременность, т. е. основные средства должны быть в полной готовности именно тогда, когда они нужны.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Рассмотрим пример. Знаменитая американская компьютерная корпорация «IBM» в своих инвестиционных программах недооценила рынок персональных компьютеров и посчитала, что одного завода для производства компьютеров IBM-PC более чем достаточно. За последующие пять лет, корпорация потеряла более чем 80 % рынка.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После резкого подъема спроса «IBM» решила увеличить свои производственные мощности. Потребовалось 25 месяцев, чтобы дополнительные мощности были готовы, но, как это часто бывает, к этому времени возникли проблемы с реализацией дополнительно произведенной продукции, поскольку другие фирмы уже завладели большей частью рынка. Если бы «IBM» подготовила должным образом прогноз спроса и спланировала свои мощности на полгода или год ранее, она не потеряла бы своих покупателей, а возможно, и увеличила свою долю на рынке.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Другие ошибки, допущенные «IBM» при инвестировании в программное обеспечение для персональных компьютеров, привели к тому, что они потеряли 100 % рынка. Этот сегмент рынка полностью захватила тогда никому не известная фирма «Microsoft».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Итак, эффективные инвестиции подразумевают как своевременность, так и качество вводимого оборудования (технологии). Фирма, которая прогнозирует свои нужды в основных средствах заранее, может приобретать и устанавливать оборудование раньше, чем производство достигнет предельной мощности. Тем не менее, большинство фирм устанавливает новые мощности только в том случае, если действующие основные средства используются на пределе возможностей, или нужна их замена в силу изношенности, или планируется внедрение новых технологических линий. Если спрос на продукцию увеличивается, все фирмы, действующие в данном сегменте рынка, примерно в одно и то же время вознамерятся нарастить свои производственные мощности. В результате возникают задержки с выполнением заказов на поставку оборудования, могут снизиться качественные характеристики этого оборудования и увеличатся затраты по его приобретению.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Фирма, которая заранее прогнозирует свои производственные потребности, может избежать этих проблем. Заметим, однако, что если фирма прогнозирует увеличение спроса и расширяется в соответствии с ожидаемым спросом, но прогноз оказывается ошибочным, она будет обременена избытком мощностей и слишком высокими затратами. Это может привести к убыткам или даже банкротству.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Итак, очевидный вывод - прогноз объема реализации крайне необходим.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Ошибочный прогноз в отношении необходимого и достаточного объема инвестиций может привести к трем проблемам.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Первая -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инвестиции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предприятия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могут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быть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недостаточно</w:t>
      </w:r>
      <w:r>
        <w:rPr>
          <w:rFonts w:ascii="Times New Roman" w:hAnsi="Times New Roman" w:cs="Times New Roman"/>
          <w:sz w:val="28"/>
          <w:szCs w:val="27"/>
        </w:rPr>
        <w:t xml:space="preserve"> современными, что не обеспечит ей производство в условиях конкуренции.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Вторая -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если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они</w:t>
      </w:r>
      <w:r>
        <w:rPr>
          <w:rFonts w:ascii="Times New Roman" w:hAnsi="Times New Roman" w:cs="Times New Roman"/>
          <w:sz w:val="28"/>
          <w:szCs w:val="27"/>
        </w:rPr>
        <w:t xml:space="preserve"> недостаточны, фирма может потерять часть своего рынка, уступив его конкурентам.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Третья - инвестиции избыточны, что приведет к необоснованному росту затрат, цен, снижение объемов производства и др.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Инвестирование важно потому, что наращивание производственных мощностей обычно сопровождается значительными расходами, и прежде чем потратить огромное количество денег, необходимо иметь хорошо составленный инвестиционный план, поскольку свободные финансовые ресурсы в больших объемах не всегда имеются в наличии. Фирме, намеревающейся произвести серьезные капиталовложения, может понадобиться упорядочение вопросов финансирования на несколько лет вперед, чтобы быть уверенной, что средства, требуемые для развития, будут доступны в нужное время.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Таким образом, инвестиции это процесс вложения капитала в денежной, материальной и нематериальной формах в объекты предпринимательской деятельности или финансовые инструменты. С целью получения текущего дохода (прибыли) и обеспечения возрастания капитала. Инвестиции являются главной формой, реализующей стратегию развития предприятия.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Инвестиции обеспечивают динамичное развитие предприятия и позволяют решать следующие задачи:</w:t>
      </w:r>
    </w:p>
    <w:p w:rsidR="00674235" w:rsidRDefault="00674235">
      <w:pPr>
        <w:numPr>
          <w:ilvl w:val="0"/>
          <w:numId w:val="2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расширение собственной предпринимательской деятельности за счет накопления финансовых и материальных ресурсов; </w:t>
      </w:r>
    </w:p>
    <w:p w:rsidR="00674235" w:rsidRDefault="00674235">
      <w:pPr>
        <w:numPr>
          <w:ilvl w:val="0"/>
          <w:numId w:val="2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приобретение новых предприятий; </w:t>
      </w:r>
    </w:p>
    <w:p w:rsidR="00674235" w:rsidRDefault="00674235">
      <w:pPr>
        <w:numPr>
          <w:ilvl w:val="0"/>
          <w:numId w:val="2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диверсификация (освоение новых областей бизнеса, стратегическая ориентация на создание многопрофильного производства). </w:t>
      </w: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Инвестиционная политика предприятия.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Любые инвестиции связаны с инвестиционной деятельностью предприятия, которая представляет собой процесс обоснования и реализации наиболее эффективных форм вложений капитала, направленных на расширение экономического потенциала предприятия.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Для осуществления инвестиционной деятельности предприятия вырабатывают инвестиционную политику. Эта политика является частью стратегии развития предприятия и общей политики управления прибылью. Она заключается в выборе и реализации наиболее эффективных форм вложения капитала с целью расширения объема операционной деятельности и формирования инвестиционной прибыли.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 своей инвестиционной политике предприятие может выбирать различные ее виды:</w:t>
      </w:r>
    </w:p>
    <w:p w:rsidR="00674235" w:rsidRDefault="00674235">
      <w:pPr>
        <w:pStyle w:val="a3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Консервативная инвестиционная политика. </w:t>
      </w:r>
    </w:p>
    <w:p w:rsidR="00674235" w:rsidRDefault="00674235">
      <w:pPr>
        <w:pStyle w:val="2"/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Компромиссная (умеренная) инвестиционная политика. </w:t>
      </w:r>
    </w:p>
    <w:p w:rsidR="00674235" w:rsidRDefault="00674235">
      <w:pPr>
        <w:pStyle w:val="2"/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Агрессивная инвестиционная политика.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Консервативная инвестиционная политика - вариант политики инвестиционной деятельности предприятия, приоритетной целью которой является минимизация уровня инвестиционного риска. При осуществлении такой политики инвестор не стремится ни к максимизации уровня текущей прибыльности инвестиций, ни к максимизации темпов роста капитала.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Компромиссная (умеренная) инвестиционная политика - вариант политики осуществления инвестиционной деятельности предприятия, направленной на выбор таких объектов инвестирования, по которым уровни прибыльности и риска в наибольшей степени приближены к среднерыночным.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Агрессивная инвестиционная политика - вариант политики осуществления инвестиционной деятельности предприятия, направленной на выбор таких объектов инвестирования, по которым уровни прибыльности и риска значительно выше среднерыночных.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Для реализации инвестиционной политики предприятиями разрабатывается инвестиционная программа, которая представляет собой совокупность реальных инвестиционных проектов, сгруппированных по отраслевым, региональным и привлекательным для инвестиций (инвестиционная привлекательность) признакам. Программа представляет собой единый объект управления.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Инвестиционная привлекательность - обобщающая характеристика преимуществ и недостатков отдельных объектов инвестирования с позиций конкретного инвестора по формируемым им критериям.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Сформировав инвестиционную программу и определившись с объектами инвестирования предприятие, может приступить к формированию инвестиционных проектов.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Инвестиционный проект это объект реального инвестирования, намечаемый к реализации в форме приобретения целостного имущественного комплекса, реконструкции, модернизации, капитального ремонта и т.п. Подготовка инвестиционного проекта к реализации требует обычно разработки бизнес-плана.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Общий объем затрат инвестиционных ресурсов, распределенный по конкретным периодам осуществления инвестиций, описывается графиком инвестиций. Он разрабатывается в составе бизнес-плана по реальным инвестиционным проектам, требующим продолжительного периода реализации. График инвестиций включает прогнозирование и расчет общего денежного потока предприятия.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Под денежным потоком понимается поступление (положительный денежный поток) и расходование (отрицательный денежный поток) денежных средств в процессе осуществления хозяйственной деятельности предприятия. Различают следующие потоки:</w:t>
      </w:r>
    </w:p>
    <w:p w:rsidR="00674235" w:rsidRDefault="00674235">
      <w:pPr>
        <w:pStyle w:val="a3"/>
        <w:numPr>
          <w:ilvl w:val="0"/>
          <w:numId w:val="26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Денежный поток по операционной (производственно-коммерческой) деятельности. </w:t>
      </w:r>
    </w:p>
    <w:p w:rsidR="00674235" w:rsidRDefault="00674235">
      <w:pPr>
        <w:pStyle w:val="2"/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Денежный поток по инвестиционной деятельности. </w:t>
      </w:r>
    </w:p>
    <w:p w:rsidR="00674235" w:rsidRDefault="00674235">
      <w:pPr>
        <w:pStyle w:val="2"/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Денежный поток по финансовой деятельности.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Разница между положительным и отрицательным денежным потоком по конкретному виду деятельности или по хозяйственной деятельности предприятия в целом представляет собой чистый денежный поток.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 практике используются обычно пять методов финансирования инвестиционных проектов: </w:t>
      </w:r>
    </w:p>
    <w:p w:rsidR="00674235" w:rsidRDefault="00674235">
      <w:pPr>
        <w:pStyle w:val="a3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полное самофинансирование; </w:t>
      </w:r>
    </w:p>
    <w:p w:rsidR="00674235" w:rsidRDefault="00674235">
      <w:pPr>
        <w:pStyle w:val="21"/>
        <w:numPr>
          <w:ilvl w:val="0"/>
          <w:numId w:val="2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акционирование; </w:t>
      </w:r>
    </w:p>
    <w:p w:rsidR="00674235" w:rsidRDefault="00674235">
      <w:pPr>
        <w:pStyle w:val="21"/>
        <w:numPr>
          <w:ilvl w:val="0"/>
          <w:numId w:val="2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кредитное финансирование; </w:t>
      </w:r>
    </w:p>
    <w:p w:rsidR="00674235" w:rsidRDefault="00674235">
      <w:pPr>
        <w:pStyle w:val="21"/>
        <w:numPr>
          <w:ilvl w:val="0"/>
          <w:numId w:val="2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финансовый лизинг; </w:t>
      </w:r>
    </w:p>
    <w:p w:rsidR="00674235" w:rsidRDefault="00674235">
      <w:pPr>
        <w:pStyle w:val="21"/>
        <w:numPr>
          <w:ilvl w:val="0"/>
          <w:numId w:val="2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смешанное финансирование.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Таким образом, методы финансирования инвестиционных проектов это принципиальные подходы к финансированию отдельных реальных инвестиционных проектов, используемые предприятием при разработке политики формирования инвестиционных ресурсов.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 целью привлечения и мобилизации финансовых ресурсов для реализации инвестиционных проектов предприятия осуществляют эмиссионную политику. Это система критериев и мер, разрабатываемых предприятием для обеспечения привлечения необходимого объема финансовых ресурсов. За счет внешних источников путем выпуска и размещения на первичном фондовом рынке собственных ценных бумаг: акций или облигаций.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Различают следующие виды эмиссионной политики:</w:t>
      </w:r>
    </w:p>
    <w:p w:rsidR="00674235" w:rsidRDefault="00674235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Консервативная дивидендная политика. </w:t>
      </w:r>
    </w:p>
    <w:p w:rsidR="00674235" w:rsidRDefault="00674235">
      <w:pPr>
        <w:pStyle w:val="2"/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Компромиссная (умеренная) дивидендная политика. </w:t>
      </w:r>
    </w:p>
    <w:p w:rsidR="00674235" w:rsidRDefault="00674235">
      <w:pPr>
        <w:pStyle w:val="2"/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Агрессивная дивидендная политика.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Консервативная дивидендная политика вариант дивидендной политики, основной целью которой является первоочередное удовлетворение инвестиционных потребностей предприятия, а выплата дивидендов осуществляется в минимальном стабильном размере или по остаточному принципу.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Компромиссная (умеренная) дивидендная политика вариант дивидендной политики, предусматривающий стабильный уровень выплаты дивидендов с надбавкой в отдельные периоды. Эта политика в наибольшей степени увязана с результатами финансовой деятельности предприятия и уровнем удовлетворения его инвестиционных потребностей.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Агрессивная дивидендная политика вариант дивидендной политики, предусматривающий стабильный уровень выплаты дивидендов с агрессивной надбавкой в отдельные периоды с целью рыночной фондовой «раскрутки» предприятия. Эта политика в наименьшей степени увязана с результатами финансовой деятельности предприятия.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Для оценки эффективности реальных инвестиций (проектов) предприятия используют систему принципов и показателей, определяющих эффективность выбора для реализации отдельных реальных инвестиционных проектов.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Основными из показателей являются: </w:t>
      </w:r>
    </w:p>
    <w:p w:rsidR="00674235" w:rsidRDefault="00674235">
      <w:pPr>
        <w:pStyle w:val="a3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Срок окупаемости. </w:t>
      </w:r>
    </w:p>
    <w:p w:rsidR="00674235" w:rsidRDefault="00674235">
      <w:pPr>
        <w:pStyle w:val="2"/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Учетная доходность. </w:t>
      </w:r>
    </w:p>
    <w:p w:rsidR="00674235" w:rsidRDefault="00674235">
      <w:pPr>
        <w:pStyle w:val="2"/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Чистый приведенный эффект. </w:t>
      </w:r>
    </w:p>
    <w:p w:rsidR="00674235" w:rsidRDefault="00674235">
      <w:pPr>
        <w:pStyle w:val="2"/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Внутренняя доходность. </w:t>
      </w:r>
    </w:p>
    <w:p w:rsidR="00674235" w:rsidRDefault="00674235">
      <w:pPr>
        <w:pStyle w:val="2"/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Модифицированная внутренняя доходность. </w:t>
      </w:r>
    </w:p>
    <w:p w:rsidR="00674235" w:rsidRDefault="00674235">
      <w:pPr>
        <w:pStyle w:val="2"/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Индекс рентабельности.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Кроме этого осуществляется:</w:t>
      </w:r>
    </w:p>
    <w:p w:rsidR="00674235" w:rsidRDefault="00674235">
      <w:pPr>
        <w:pStyle w:val="a3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Оценка денежных потоков. </w:t>
      </w:r>
    </w:p>
    <w:p w:rsidR="00674235" w:rsidRDefault="00674235">
      <w:pPr>
        <w:pStyle w:val="2"/>
        <w:numPr>
          <w:ilvl w:val="0"/>
          <w:numId w:val="3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Оценка инвестиционного риска. </w:t>
      </w:r>
    </w:p>
    <w:p w:rsidR="00674235" w:rsidRDefault="00674235">
      <w:pPr>
        <w:pStyle w:val="2"/>
        <w:numPr>
          <w:ilvl w:val="0"/>
          <w:numId w:val="3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Формирование оптимального инвестиционного бюджета. 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необходимости преодоления дальнейшего спада производства и ограниченности финансовых возможностей государства инвестиционную предусматривается осуществлять на основе следующих принципов: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последовательная децентрализация инвестиционного процесса путем развития многообразных форм собственности, повышение роли внутренних (собственных) источников накоплений предприятий для финансирования их инвестиционных проектов;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государственная поддержка предприятий за счет централизованных инвестиций;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основе;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усиление государственного контроля за целевым расходованием средств федерального бюджета;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совершенствование нормативной базы в целях привлечения иностранных инвестиций;</w:t>
      </w:r>
    </w:p>
    <w:p w:rsidR="00674235" w:rsidRDefault="00674235">
      <w:pPr>
        <w:pStyle w:val="2"/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>значительное расширение практики совместного государственно-коммерческого финансирования инвестиционных проектов.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Виды инвестиций.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Инвестиции могут быть двух видов: валовые и чистые.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Валовые инвестиции общий объем инвестиционных ресурсов во всех их формах, направленных в определенном периоде на осуществление реального и финансового инвестирования.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Чистые инвестиции сумма валовых инвестиций в определенном периоде, уменьшенная на сумму амортизационных отчислений в том же периоде.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По источникам финансирования инвестиций различаются: </w:t>
      </w:r>
    </w:p>
    <w:p w:rsidR="00674235" w:rsidRDefault="00674235">
      <w:pPr>
        <w:pStyle w:val="a3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государственные, образуемые из средств государственного бюджета, из государственных финансовых источников; </w:t>
      </w:r>
    </w:p>
    <w:p w:rsidR="00674235" w:rsidRDefault="00674235">
      <w:pPr>
        <w:pStyle w:val="2"/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иностранные - вкладываемые иностранными инвесторами, др. государствами, иностранными банками, компаниями, предпринимателями; </w:t>
      </w:r>
    </w:p>
    <w:p w:rsidR="00674235" w:rsidRDefault="00674235">
      <w:pPr>
        <w:pStyle w:val="2"/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частные, образуемые из средств частных, корпоративных предприятий и организаций, граждан, включая как собственные, так и привлеченные средства.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Увеличение инвестиции означает рост потребления в будущем. Инвестиции повышают эффективность хозяйствования и создают основу для роста доходов. Они могут оказаться также и нерациональными. Чаще всего это происходит в отношении государственных бюджетных ассигновании и льготных долгосрочных кредитов. Хотя и частные инвестиции сопряжены с риском и должны все время приспосабливаться к новым потребностям.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Проблемы соотношения государственных и частных инвестиции требуют своего решения. Различают также инвестиции: </w:t>
      </w:r>
    </w:p>
    <w:p w:rsidR="00674235" w:rsidRDefault="00674235">
      <w:pPr>
        <w:pStyle w:val="a3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Нефинансовые - не денежные инвестиции в форме вложения прав, лицензий, ноу-хау, имущества в проект инвестиционный, в предприятие, в бизнес. </w:t>
      </w:r>
    </w:p>
    <w:p w:rsidR="00674235" w:rsidRDefault="00674235">
      <w:pPr>
        <w:pStyle w:val="2"/>
        <w:numPr>
          <w:ilvl w:val="0"/>
          <w:numId w:val="3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Прямые инвестиции, которые вкладываются: </w:t>
      </w:r>
    </w:p>
    <w:p w:rsidR="00674235" w:rsidRDefault="00674235">
      <w:pPr>
        <w:pStyle w:val="a3"/>
        <w:numPr>
          <w:ilvl w:val="1"/>
          <w:numId w:val="3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 реальные активы, в производство и сбыт определенного вида продукции. </w:t>
      </w:r>
    </w:p>
    <w:p w:rsidR="00674235" w:rsidRDefault="00674235">
      <w:pPr>
        <w:pStyle w:val="3"/>
        <w:numPr>
          <w:ilvl w:val="1"/>
          <w:numId w:val="3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 материально-вещественные виды экономической деятельности. </w:t>
      </w:r>
    </w:p>
    <w:p w:rsidR="00674235" w:rsidRDefault="00674235">
      <w:pPr>
        <w:pStyle w:val="2"/>
        <w:numPr>
          <w:ilvl w:val="0"/>
          <w:numId w:val="3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Портфельные - инвестиции в ценные бумаги, формируемые в виде портфеля ценных бумаг. </w:t>
      </w:r>
    </w:p>
    <w:p w:rsidR="00674235" w:rsidRDefault="00674235">
      <w:pPr>
        <w:pStyle w:val="2"/>
        <w:numPr>
          <w:ilvl w:val="0"/>
          <w:numId w:val="3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Инновационные инвестиции это одна из форм реального инвестирования, осуществляемая с целью внедрения уже созданных технологических инноваций в операционную деятельность предприятия. Инновационные инвестиции осуществляются предприятием в двух основных формах: </w:t>
      </w:r>
    </w:p>
    <w:p w:rsidR="00674235" w:rsidRDefault="00674235">
      <w:pPr>
        <w:pStyle w:val="a3"/>
        <w:numPr>
          <w:ilvl w:val="1"/>
          <w:numId w:val="3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путем приобретения готовой научно-технической продукции (патентов на открытия и изобретения; ноу-хау); </w:t>
      </w:r>
    </w:p>
    <w:p w:rsidR="00674235" w:rsidRDefault="00674235">
      <w:pPr>
        <w:pStyle w:val="3"/>
        <w:numPr>
          <w:ilvl w:val="1"/>
          <w:numId w:val="3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путем разработки новой научно-технической продукции самим предприятием или по его заказу. 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Венчурные инвестиции - операции по финансированию научно-исследовательских разработок и изобретений. Эти инвестиции характеризуются повышенной степенью риска.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Источники, объекты и субъекты инвестиций.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u w:val="single"/>
        </w:rPr>
        <w:t>Субъектами инвестиционной деятельности</w:t>
      </w:r>
      <w:r>
        <w:rPr>
          <w:rFonts w:ascii="Times New Roman" w:hAnsi="Times New Roman" w:cs="Times New Roman"/>
          <w:sz w:val="28"/>
          <w:szCs w:val="27"/>
        </w:rPr>
        <w:t xml:space="preserve"> могут выступать: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государственные органы управления; 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местные органы управления; 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финансово-кредитные институты; 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коммерческие организации; 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граждане Российской Федерации; </w:t>
      </w:r>
    </w:p>
    <w:p w:rsidR="00674235" w:rsidRDefault="00674235">
      <w:pPr>
        <w:numPr>
          <w:ilvl w:val="0"/>
          <w:numId w:val="3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иностранные юридические и физические лица.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Субъекты управления инвестициями в агрегированном виде можно представить следующим образом:</w:t>
      </w:r>
    </w:p>
    <w:p w:rsidR="00674235" w:rsidRDefault="00674235">
      <w:pPr>
        <w:numPr>
          <w:ilvl w:val="0"/>
          <w:numId w:val="4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собственники; </w:t>
      </w:r>
    </w:p>
    <w:p w:rsidR="00674235" w:rsidRDefault="00674235">
      <w:pPr>
        <w:numPr>
          <w:ilvl w:val="0"/>
          <w:numId w:val="4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государство; </w:t>
      </w:r>
    </w:p>
    <w:p w:rsidR="00674235" w:rsidRDefault="00674235">
      <w:pPr>
        <w:numPr>
          <w:ilvl w:val="0"/>
          <w:numId w:val="43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иностранные инвесторы.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7"/>
        </w:rPr>
        <w:t>Им соответствуют определенные правовые формы инвестиций и источники финансирования (табл.1)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7"/>
        </w:rPr>
      </w:pPr>
      <w:r>
        <w:rPr>
          <w:rFonts w:ascii="Times New Roman" w:hAnsi="Times New Roman" w:cs="Times New Roman"/>
          <w:i/>
          <w:iCs/>
          <w:sz w:val="28"/>
          <w:szCs w:val="27"/>
        </w:rPr>
        <w:t>Таблица 1.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7"/>
          <w:u w:val="single"/>
        </w:rPr>
      </w:pPr>
      <w:r>
        <w:rPr>
          <w:rFonts w:ascii="Times New Roman" w:hAnsi="Times New Roman" w:cs="Times New Roman"/>
          <w:sz w:val="28"/>
          <w:szCs w:val="27"/>
          <w:u w:val="single"/>
        </w:rPr>
        <w:t>Субъекты, правовые формы и источники инвестиций</w:t>
      </w:r>
    </w:p>
    <w:tbl>
      <w:tblPr>
        <w:tblW w:w="984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59"/>
        <w:gridCol w:w="4072"/>
        <w:gridCol w:w="2709"/>
      </w:tblGrid>
      <w:tr w:rsidR="00674235">
        <w:trPr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Правовая форма инвестиций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Источники финансирования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Субъект управления инвестициями</w:t>
            </w:r>
          </w:p>
        </w:tc>
      </w:tr>
      <w:tr w:rsidR="00674235">
        <w:trPr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Частные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Собственный частный капитал, займы (включая облигационные), привлеченный капитал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Собственники</w:t>
            </w:r>
          </w:p>
        </w:tc>
      </w:tr>
      <w:tr w:rsidR="00674235">
        <w:trPr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Государственные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Бюджетные ассигнования, ссуды, средства в денежном обороте государственных предприятий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Государство</w:t>
            </w:r>
          </w:p>
        </w:tc>
      </w:tr>
      <w:tr w:rsidR="00674235">
        <w:trPr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Иностранные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Финансовые кредитные ресурсы нерезидентов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rFonts w:eastAsia="Arial Unicode MS"/>
                <w:sz w:val="28"/>
              </w:rPr>
            </w:pPr>
            <w:r>
              <w:rPr>
                <w:sz w:val="28"/>
                <w:szCs w:val="27"/>
              </w:rPr>
              <w:t>Иностранные инвесторы (возможно долевое участие иностранных инвесторов)</w:t>
            </w:r>
          </w:p>
        </w:tc>
      </w:tr>
    </w:tbl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 развитой рыночной экономике ведущим инвестором является частный сектор. Российская экономика отличается значительной долей государственных инвестиций и инвестиций, основанных на смешанной собственности.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Важную роль в развитии частных инвестиций играет действующий порядок их стимулирования. Он предусматривает выделение государством капитальных вложений в размере 0,5 % внутреннего валового продукта (ВВП) на финансирование высокоэффективных инвестиционных проектов, подготовленных с участием коммерческих структур, при условии их размещения на конкурсной основе. Инвестор обязан вложить не менее 80% собственных и заемных средств, включая иностранные инвестиции. Собственный капитал инвестора должен составлять не менее 20%.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u w:val="single"/>
        </w:rPr>
        <w:t>Объектами инвестиционной деятельности</w:t>
      </w:r>
      <w:r>
        <w:rPr>
          <w:rFonts w:ascii="Times New Roman" w:hAnsi="Times New Roman" w:cs="Times New Roman"/>
          <w:sz w:val="28"/>
          <w:szCs w:val="27"/>
        </w:rPr>
        <w:t xml:space="preserve"> в Российской Федерации являются:</w:t>
      </w:r>
    </w:p>
    <w:p w:rsidR="00674235" w:rsidRDefault="00674235">
      <w:pPr>
        <w:numPr>
          <w:ilvl w:val="0"/>
          <w:numId w:val="35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вновь создаваемые и модернизируемые основные фонды; </w:t>
      </w:r>
    </w:p>
    <w:p w:rsidR="00674235" w:rsidRDefault="00674235">
      <w:pPr>
        <w:numPr>
          <w:ilvl w:val="0"/>
          <w:numId w:val="35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ценные бумаги; </w:t>
      </w:r>
    </w:p>
    <w:p w:rsidR="00674235" w:rsidRDefault="00674235">
      <w:pPr>
        <w:numPr>
          <w:ilvl w:val="0"/>
          <w:numId w:val="35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научно-техническая продукция; </w:t>
      </w:r>
    </w:p>
    <w:p w:rsidR="00674235" w:rsidRDefault="00674235">
      <w:pPr>
        <w:numPr>
          <w:ilvl w:val="0"/>
          <w:numId w:val="35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имущественные права; </w:t>
      </w:r>
    </w:p>
    <w:p w:rsidR="00674235" w:rsidRDefault="00674235">
      <w:pPr>
        <w:numPr>
          <w:ilvl w:val="0"/>
          <w:numId w:val="35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права на интеллектуальную собственность 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Развернутая схема объектов, видов и источников инвестиций приведена на рис.1.</w:t>
      </w:r>
      <w:r>
        <w:rPr>
          <w:sz w:val="28"/>
        </w:rPr>
        <w:t xml:space="preserve"> 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2B2F29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group id="_x0000_s1026" style="position:absolute;left:0;text-align:left;margin-left:-36pt;margin-top:-.45pt;width:511.2pt;height:367.2pt;z-index:251656704" coordorigin="1152,1152" coordsize="10224,7344">
            <v:group id="_x0000_s1027" style="position:absolute;left:1728;top:1152;width:8352;height:1296" coordorigin="1728,1152" coordsize="8352,129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728;top:1152;width:2304;height:1296" fillcolor="aqua" strokecolor="blue" strokeweight="2.25pt">
                <v:textbox style="mso-next-textbox:#_x0000_s1028">
                  <w:txbxContent>
                    <w:p w:rsidR="00674235" w:rsidRDefault="00674235">
                      <w:pPr>
                        <w:pStyle w:val="22"/>
                      </w:pPr>
                      <w:r>
                        <w:t>Финансовые ресурсы инвестиционной деятельности</w:t>
                      </w:r>
                    </w:p>
                  </w:txbxContent>
                </v:textbox>
              </v:shape>
              <v:shape id="_x0000_s1029" type="#_x0000_t202" style="position:absolute;left:4752;top:1152;width:2304;height:1296" fillcolor="aqua" strokecolor="blue" strokeweight="2.25pt">
                <v:textbox style="mso-next-textbox:#_x0000_s1029">
                  <w:txbxContent>
                    <w:p w:rsidR="00674235" w:rsidRDefault="00674235">
                      <w:pPr>
                        <w:jc w:val="center"/>
                      </w:pPr>
                    </w:p>
                    <w:p w:rsidR="00674235" w:rsidRDefault="00674235">
                      <w:pPr>
                        <w:jc w:val="center"/>
                      </w:pPr>
                      <w:r>
                        <w:t>Инвестиции</w:t>
                      </w:r>
                    </w:p>
                  </w:txbxContent>
                </v:textbox>
              </v:shape>
              <v:shape id="_x0000_s1030" type="#_x0000_t202" style="position:absolute;left:7776;top:1152;width:2304;height:1296" fillcolor="aqua" strokecolor="blue" strokeweight="2.25pt">
                <v:textbox style="mso-next-textbox:#_x0000_s1030">
                  <w:txbxContent>
                    <w:p w:rsidR="00674235" w:rsidRDefault="00674235">
                      <w:pPr>
                        <w:jc w:val="center"/>
                      </w:pPr>
                      <w:r>
                        <w:t>Объекты инвестиционной деятельности</w:t>
                      </w:r>
                    </w:p>
                  </w:txbxContent>
                </v:textbox>
              </v:shape>
              <v:line id="_x0000_s1031" style="position:absolute" from="4032,1728" to="4752,1728" strokecolor="blue" strokeweight="2.25pt">
                <v:stroke endarrow="block"/>
              </v:line>
              <v:line id="_x0000_s1032" style="position:absolute" from="7056,1728" to="7776,1728" strokecolor="blue" strokeweight="2.25pt">
                <v:stroke endarrow="block"/>
              </v:line>
            </v:group>
            <v:group id="_x0000_s1033" style="position:absolute;left:1152;top:1728;width:10224;height:6768" coordorigin="1152,1728" coordsize="10224,6768">
              <v:group id="_x0000_s1034" style="position:absolute;left:1152;top:1728;width:3600;height:6768" coordorigin="1152,1728" coordsize="3600,6768">
                <v:group id="_x0000_s1035" style="position:absolute;left:1440;top:2736;width:3312;height:5760" coordorigin="1440,2736" coordsize="3312,5760">
                  <v:shape id="_x0000_s1036" type="#_x0000_t202" style="position:absolute;left:1440;top:2736;width:3312;height:864" fillcolor="aqua" strokecolor="blue" strokeweight="2.25pt">
                    <v:textbox style="mso-next-textbox:#_x0000_s1036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Собственные финансовые ресурсы</w:t>
                          </w:r>
                        </w:p>
                      </w:txbxContent>
                    </v:textbox>
                  </v:shape>
                  <v:shape id="_x0000_s1037" type="#_x0000_t202" style="position:absolute;left:1440;top:3888;width:3312;height:864" fillcolor="aqua" strokecolor="blue" strokeweight="2.25pt">
                    <v:textbox style="mso-next-textbox:#_x0000_s1037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Заемные средства: кредиты, облигационные займы и др.</w:t>
                          </w:r>
                        </w:p>
                      </w:txbxContent>
                    </v:textbox>
                  </v:shape>
                  <v:shape id="_x0000_s1038" type="#_x0000_t202" style="position:absolute;left:1440;top:5040;width:3312;height:1008" fillcolor="aqua" strokecolor="blue" strokeweight="2.25pt">
                    <v:textbox style="mso-next-textbox:#_x0000_s1038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Привлеченные средства: от продажи акций, паевые и иные взносы</w:t>
                          </w:r>
                        </w:p>
                      </w:txbxContent>
                    </v:textbox>
                  </v:shape>
                  <v:shape id="_x0000_s1039" type="#_x0000_t202" style="position:absolute;left:1440;top:6336;width:3312;height:1296" fillcolor="aqua" strokecolor="blue" strokeweight="2.25pt">
                    <v:textbox style="mso-next-textbox:#_x0000_s1039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Ассигнования из государственных и местных бюджетов, внебюджетных фондов</w:t>
                          </w:r>
                        </w:p>
                      </w:txbxContent>
                    </v:textbox>
                  </v:shape>
                  <v:shape id="_x0000_s1040" type="#_x0000_t202" style="position:absolute;left:1440;top:7920;width:3312;height:576" fillcolor="aqua" strokecolor="blue" strokeweight="2.25pt">
                    <v:textbox style="mso-next-textbox:#_x0000_s1040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Иностранные инвестиции</w:t>
                          </w:r>
                        </w:p>
                      </w:txbxContent>
                    </v:textbox>
                  </v:shape>
                </v:group>
                <v:group id="_x0000_s1041" style="position:absolute;left:1152;top:1728;width:576;height:6480" coordorigin="1152,1728" coordsize="576,6480">
                  <v:line id="_x0000_s1042" style="position:absolute;flip:x" from="1152,1728" to="1728,1728" strokecolor="blue" strokeweight="2.25pt"/>
                  <v:line id="_x0000_s1043" style="position:absolute" from="1152,1728" to="1152,8208" strokecolor="blue" strokeweight="2.25pt"/>
                  <v:line id="_x0000_s1044" style="position:absolute" from="1152,8208" to="1440,8208" strokecolor="blue" strokeweight="2.25pt"/>
                  <v:line id="_x0000_s1045" style="position:absolute" from="1152,6912" to="1440,6912" strokecolor="blue" strokeweight="2.25pt"/>
                  <v:line id="_x0000_s1046" style="position:absolute" from="1152,5472" to="1440,5472" strokecolor="blue" strokeweight="2.25pt"/>
                  <v:line id="_x0000_s1047" style="position:absolute" from="1152,3168" to="1440,3168" strokecolor="blue" strokeweight="2.25pt"/>
                  <v:line id="_x0000_s1048" style="position:absolute" from="1152,4320" to="1440,4320" strokecolor="blue" strokeweight="2.25pt"/>
                </v:group>
              </v:group>
              <v:group id="_x0000_s1049" style="position:absolute;left:5040;top:2448;width:2880;height:5904" coordorigin="5040,2448" coordsize="2880,5904">
                <v:group id="_x0000_s1050" style="position:absolute;left:5328;top:2880;width:2592;height:5472" coordorigin="5328,2880" coordsize="2592,5472">
                  <v:shape id="_x0000_s1051" type="#_x0000_t202" style="position:absolute;left:5328;top:2880;width:2592;height:576" fillcolor="aqua" strokecolor="blue" strokeweight="2.25pt">
                    <v:textbox style="mso-next-textbox:#_x0000_s1051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Денежные средства</w:t>
                          </w:r>
                        </w:p>
                      </w:txbxContent>
                    </v:textbox>
                  </v:shape>
                  <v:shape id="_x0000_s1052" type="#_x0000_t202" style="position:absolute;left:5328;top:3888;width:2592;height:720" fillcolor="aqua" strokecolor="blue" strokeweight="2.25pt">
                    <v:textbox style="mso-next-textbox:#_x0000_s1052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Акции и другие ценные бумаги</w:t>
                          </w:r>
                        </w:p>
                      </w:txbxContent>
                    </v:textbox>
                  </v:shape>
                  <v:shape id="_x0000_s1053" type="#_x0000_t202" style="position:absolute;left:5328;top:5184;width:2592;height:720" fillcolor="aqua" strokecolor="blue" strokeweight="2.25pt">
                    <v:textbox style="mso-next-textbox:#_x0000_s1053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Машины, оборудование</w:t>
                          </w:r>
                        </w:p>
                      </w:txbxContent>
                    </v:textbox>
                  </v:shape>
                  <v:shape id="_x0000_s1054" type="#_x0000_t202" style="position:absolute;left:5328;top:6336;width:2592;height:720" fillcolor="aqua" strokecolor="blue" strokeweight="2.25pt">
                    <v:textbox style="mso-next-textbox:#_x0000_s1054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Лицензии, технологии</w:t>
                          </w:r>
                        </w:p>
                      </w:txbxContent>
                    </v:textbox>
                  </v:shape>
                  <v:shape id="_x0000_s1055" type="#_x0000_t202" style="position:absolute;left:5328;top:7632;width:2592;height:720" fillcolor="aqua" strokecolor="blue" strokeweight="2.25pt">
                    <v:textbox style="mso-next-textbox:#_x0000_s1055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Имущественные права</w:t>
                          </w:r>
                        </w:p>
                      </w:txbxContent>
                    </v:textbox>
                  </v:shape>
                </v:group>
                <v:group id="_x0000_s1056" style="position:absolute;left:5040;top:2448;width:288;height:5616" coordorigin="5040,2448" coordsize="288,5616">
                  <v:line id="_x0000_s1057" style="position:absolute" from="5040,2448" to="5040,8064" strokecolor="blue" strokeweight="2.25pt"/>
                  <v:line id="_x0000_s1058" style="position:absolute" from="5040,3168" to="5328,3168" strokecolor="blue" strokeweight="2.25pt"/>
                  <v:line id="_x0000_s1059" style="position:absolute" from="5040,4176" to="5328,4176" strokecolor="blue" strokeweight="2.25pt"/>
                  <v:line id="_x0000_s1060" style="position:absolute" from="5040,5472" to="5328,5472" strokecolor="blue" strokeweight="2.25pt"/>
                  <v:line id="_x0000_s1061" style="position:absolute" from="5040,6624" to="5328,6624" strokecolor="blue" strokeweight="2.25pt"/>
                  <v:line id="_x0000_s1062" style="position:absolute" from="5040,8064" to="5328,8064" strokecolor="blue" strokeweight="2.25pt"/>
                </v:group>
              </v:group>
              <v:group id="_x0000_s1063" style="position:absolute;left:8352;top:2448;width:3024;height:5904" coordorigin="8352,2448" coordsize="3024,5904">
                <v:group id="_x0000_s1064" style="position:absolute;left:8640;top:2880;width:2736;height:5472" coordorigin="8640,2880" coordsize="2736,5472">
                  <v:shape id="_x0000_s1065" type="#_x0000_t202" style="position:absolute;left:8640;top:2880;width:2736;height:720" fillcolor="aqua" strokecolor="blue" strokeweight="2.25pt">
                    <v:textbox style="mso-next-textbox:#_x0000_s1065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Основные фонды и оборотные средства</w:t>
                          </w:r>
                        </w:p>
                      </w:txbxContent>
                    </v:textbox>
                  </v:shape>
                  <v:shape id="_x0000_s1066" type="#_x0000_t202" style="position:absolute;left:8640;top:6480;width:2736;height:576" fillcolor="aqua" strokecolor="blue" strokeweight="2.25pt">
                    <v:textbox style="mso-next-textbox:#_x0000_s1066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Имущественные права</w:t>
                          </w:r>
                        </w:p>
                      </w:txbxContent>
                    </v:textbox>
                  </v:shape>
                  <v:shape id="_x0000_s1067" type="#_x0000_t202" style="position:absolute;left:8640;top:4032;width:2736;height:576" fillcolor="aqua" strokecolor="blue" strokeweight="2.25pt">
                    <v:textbox style="mso-next-textbox:#_x0000_s1067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Ценные бумаги</w:t>
                          </w:r>
                        </w:p>
                      </w:txbxContent>
                    </v:textbox>
                  </v:shape>
                  <v:shape id="_x0000_s1068" type="#_x0000_t202" style="position:absolute;left:8640;top:5184;width:2736;height:720" fillcolor="aqua" strokecolor="blue" strokeweight="2.25pt">
                    <v:textbox style="mso-next-textbox:#_x0000_s1068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Научно-техническая продукция</w:t>
                          </w:r>
                        </w:p>
                      </w:txbxContent>
                    </v:textbox>
                  </v:shape>
                  <v:shape id="_x0000_s1069" type="#_x0000_t202" style="position:absolute;left:8640;top:7632;width:2736;height:720" fillcolor="aqua" strokecolor="blue" strokeweight="2.25pt">
                    <v:textbox style="mso-next-textbox:#_x0000_s1069">
                      <w:txbxContent>
                        <w:p w:rsidR="00674235" w:rsidRDefault="00674235">
                          <w:pPr>
                            <w:jc w:val="center"/>
                          </w:pPr>
                          <w:r>
                            <w:t>Права на интеллектуальную собственность</w:t>
                          </w:r>
                        </w:p>
                      </w:txbxContent>
                    </v:textbox>
                  </v:shape>
                </v:group>
                <v:group id="_x0000_s1070" style="position:absolute;left:8352;top:2448;width:288;height:5616" coordorigin="8352,2448" coordsize="288,5616">
                  <v:line id="_x0000_s1071" style="position:absolute" from="8352,2448" to="8352,8064" strokecolor="blue" strokeweight="2.25pt"/>
                  <v:line id="_x0000_s1072" style="position:absolute" from="8352,3168" to="8640,3168" strokecolor="blue" strokeweight="2.25pt"/>
                  <v:line id="_x0000_s1073" style="position:absolute" from="8352,4320" to="8640,4320" strokecolor="blue" strokeweight="2.25pt"/>
                  <v:line id="_x0000_s1074" style="position:absolute" from="8352,5472" to="8640,5472" strokecolor="blue" strokeweight="2.25pt"/>
                  <v:line id="_x0000_s1075" style="position:absolute" from="8352,6768" to="8640,6768" strokecolor="blue" strokeweight="2.25pt"/>
                  <v:line id="_x0000_s1076" style="position:absolute" from="8352,8064" to="8640,8064" strokecolor="blue" strokeweight="2.25pt"/>
                </v:group>
              </v:group>
            </v:group>
          </v:group>
        </w:pic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  <w:bookmarkStart w:id="0" w:name="Рис_4_1_2"/>
      <w:bookmarkEnd w:id="0"/>
      <w:r>
        <w:rPr>
          <w:sz w:val="28"/>
        </w:rPr>
        <w:t xml:space="preserve">Рис. 1. Финансовые источники, виды и объекты инвестиций.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Вложения в сферу производства из-за высокого риска малопривлекательны для банковского капитала, отечественных и иностранных инвесторов, населения. Инвесторы предпочитают вкладывать свои средства в более доходные и надежные финансовые активы.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Результатом и одновременно источником выгодных инвестиций является накопление. </w:t>
      </w:r>
      <w:r>
        <w:rPr>
          <w:rFonts w:ascii="Times New Roman" w:hAnsi="Times New Roman" w:cs="Times New Roman"/>
          <w:sz w:val="28"/>
          <w:szCs w:val="27"/>
          <w:u w:val="single"/>
        </w:rPr>
        <w:t>Накопление</w:t>
      </w:r>
      <w:r>
        <w:rPr>
          <w:rFonts w:ascii="Times New Roman" w:hAnsi="Times New Roman" w:cs="Times New Roman"/>
          <w:sz w:val="28"/>
          <w:szCs w:val="27"/>
        </w:rPr>
        <w:t xml:space="preserve"> - процесс формирования финансовых ресурсов, используемых на цели расширенного воспроизводства.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Реализуется эта взаимосвязь в рамках долгосрочной стратегии развития предприятия. Полученные в результате предпринимательской деятельности доходы направляются в целевые фонды денежных средств, обеспечивающие накопление капитала. Эти фонды служат источниками текущего финансирования и новых инвестиций, создавая предпосылки для накопления капитала в будущем, когда отдача превысит вложения.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Для предприятий важную роль играет изучение зависимости между суммой прибыли и амортизации и общим объемом инвестиций. В том случае, когда это соотношение имеет устойчивую тенденцию к повышению, растет уровень самофинансирования. Начиная с того момента, когда указанное соотношение превышает единицу, накопления опережают внутренние инвестиции. Эта разница может использоваться для долгосрочных финансовых вложений.</w:t>
      </w:r>
    </w:p>
    <w:p w:rsidR="00674235" w:rsidRDefault="002B2F2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noProof/>
          <w:sz w:val="28"/>
        </w:rPr>
        <w:pict>
          <v:group id="_x0000_s1077" style="position:absolute;left:0;text-align:left;margin-left:-18pt;margin-top:9.65pt;width:468pt;height:342pt;z-index:251657728" coordorigin="4560,800" coordsize="7820,6560">
            <v:group id="_x0000_s1078" style="position:absolute;left:4560;top:800;width:7820;height:6560" coordorigin="4480,1920" coordsize="7820,65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79" type="#_x0000_t5" style="position:absolute;left:4500;top:1920;width:7800;height:6560" strokecolor="blue" strokeweight="2.25pt"/>
              <v:shape id="_x0000_s1080" type="#_x0000_t5" style="position:absolute;left:4480;top:4160;width:7760;height:4300" strokecolor="blue" strokeweight="2.25pt"/>
              <v:group id="_x0000_s1081" style="position:absolute;left:7640;top:5500;width:1520;height:920" coordorigin="7300,5640" coordsize="2220,1220">
                <v:shape id="_x0000_s1082" type="#_x0000_t5" style="position:absolute;left:7300;top:5640;width:2220;height:1220" strokecolor="blue" strokeweight="2.25pt"/>
                <v:line id="_x0000_s1083" style="position:absolute;flip:x" from="7860,5660" to="8380,6240" strokecolor="blue" strokeweight="2.25pt">
                  <v:stroke endarrow="block"/>
                </v:line>
                <v:line id="_x0000_s1084" style="position:absolute" from="7360,6860" to="8540,6860" strokecolor="blue" strokeweight="2.25pt">
                  <v:stroke endarrow="block"/>
                </v:line>
                <v:line id="_x0000_s1085" style="position:absolute;flip:x y" from="8960,6240" to="9500,6860" strokecolor="blue" strokeweight="2.25pt">
                  <v:stroke endarrow="block"/>
                </v:line>
              </v:group>
              <v:shape id="_x0000_s1086" type="#_x0000_t202" style="position:absolute;left:7660;top:5080;width:1440;height:480" filled="f" stroked="f" strokecolor="blue" strokeweight="2.25pt">
                <v:textbox style="mso-next-textbox:#_x0000_s1086">
                  <w:txbxContent>
                    <w:p w:rsidR="00674235" w:rsidRDefault="00674235">
                      <w:pPr>
                        <w:jc w:val="center"/>
                      </w:pPr>
                      <w:r>
                        <w:t>доходы</w:t>
                      </w:r>
                    </w:p>
                  </w:txbxContent>
                </v:textbox>
              </v:shape>
              <v:shape id="_x0000_s1087" type="#_x0000_t202" style="position:absolute;left:6300;top:6720;width:1440;height:480" filled="f" stroked="f" strokecolor="blue" strokeweight="2.25pt">
                <v:textbox style="mso-next-textbox:#_x0000_s1087">
                  <w:txbxContent>
                    <w:p w:rsidR="00674235" w:rsidRDefault="00674235">
                      <w:pPr>
                        <w:pStyle w:val="a6"/>
                      </w:pPr>
                      <w:r>
                        <w:t>Накопления</w:t>
                      </w:r>
                    </w:p>
                  </w:txbxContent>
                </v:textbox>
              </v:shape>
              <v:group id="_x0000_s1088" style="position:absolute;left:8700;top:7120;width:1920;height:480" coordorigin="2540,5520" coordsize="2600,740">
                <v:line id="_x0000_s1089" style="position:absolute" from="2540,5740" to="3880,6240" strokecolor="blue" strokeweight="2.25pt"/>
                <v:line id="_x0000_s1090" style="position:absolute;flip:y" from="3880,5760" to="5140,6260" strokecolor="blue" strokeweight="2.25pt"/>
                <v:line id="_x0000_s1091" style="position:absolute" from="3040,5560" to="3040,5920" strokecolor="blue" strokeweight="2.25pt"/>
                <v:line id="_x0000_s1092" style="position:absolute" from="4640,5520" to="4640,5960" strokecolor="blue" strokeweight="2.25pt"/>
              </v:group>
              <v:group id="_x0000_s1093" style="position:absolute;left:6000;top:7080;width:1920;height:480" coordorigin="2540,5520" coordsize="2600,740">
                <v:line id="_x0000_s1094" style="position:absolute" from="2540,5740" to="3880,6240" strokecolor="blue" strokeweight="2.25pt"/>
                <v:line id="_x0000_s1095" style="position:absolute;flip:y" from="3880,5760" to="5140,6260" strokecolor="blue" strokeweight="2.25pt"/>
                <v:line id="_x0000_s1096" style="position:absolute" from="3040,5560" to="3040,5920" strokecolor="blue" strokeweight="2.25pt"/>
                <v:line id="_x0000_s1097" style="position:absolute" from="4640,5520" to="4640,5960" strokecolor="blue" strokeweight="2.25pt"/>
              </v:group>
              <v:shape id="_x0000_s1098" type="#_x0000_t202" style="position:absolute;left:8940;top:6700;width:1440;height:480" filled="f" stroked="f" strokecolor="blue" strokeweight="2.25pt">
                <v:textbox style="mso-next-textbox:#_x0000_s1098">
                  <w:txbxContent>
                    <w:p w:rsidR="00674235" w:rsidRDefault="00674235">
                      <w:pPr>
                        <w:jc w:val="center"/>
                      </w:pPr>
                      <w:r>
                        <w:t>Накопления</w:t>
                      </w:r>
                    </w:p>
                  </w:txbxContent>
                </v:textbox>
              </v:shape>
              <v:shape id="_x0000_s1099" type="#_x0000_t202" style="position:absolute;left:6260;top:7720;width:1440;height:600" filled="f" stroked="f" strokecolor="blue" strokeweight="2.25pt">
                <v:textbox style="mso-next-textbox:#_x0000_s1099">
                  <w:txbxContent>
                    <w:p w:rsidR="00674235" w:rsidRDefault="00674235">
                      <w:pPr>
                        <w:jc w:val="center"/>
                      </w:pPr>
                      <w:r>
                        <w:t>Источник Результат</w:t>
                      </w:r>
                    </w:p>
                  </w:txbxContent>
                </v:textbox>
              </v:shape>
              <v:shape id="_x0000_s1100" type="#_x0000_t202" style="position:absolute;left:8940;top:7760;width:1720;height:600" filled="f" stroked="f" strokecolor="blue" strokeweight="2.25pt">
                <v:textbox style="mso-next-textbox:#_x0000_s1100">
                  <w:txbxContent>
                    <w:p w:rsidR="00674235" w:rsidRDefault="00674235">
                      <w:pPr>
                        <w:jc w:val="center"/>
                      </w:pPr>
                      <w:r>
                        <w:t>Вложения</w:t>
                      </w:r>
                    </w:p>
                    <w:p w:rsidR="00674235" w:rsidRDefault="00674235">
                      <w:pPr>
                        <w:jc w:val="center"/>
                      </w:pPr>
                      <w:r>
                        <w:t>Использование</w:t>
                      </w:r>
                    </w:p>
                  </w:txbxContent>
                </v:textbox>
              </v:shape>
            </v:group>
            <v:shape id="_x0000_s1101" type="#_x0000_t202" style="position:absolute;left:7700;top:2240;width:1620;height:800" filled="f" stroked="f">
              <v:textbox style="mso-next-textbox:#_x0000_s1101">
                <w:txbxContent>
                  <w:p w:rsidR="00674235" w:rsidRDefault="00674235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Долгосрочная стратегия</w:t>
                    </w:r>
                  </w:p>
                </w:txbxContent>
              </v:textbox>
            </v:shape>
          </v:group>
        </w:pict>
      </w:r>
      <w:r w:rsidR="00674235">
        <w:rPr>
          <w:rFonts w:ascii="Times New Roman" w:hAnsi="Times New Roman" w:cs="Times New Roman"/>
          <w:sz w:val="28"/>
          <w:szCs w:val="27"/>
        </w:rPr>
        <w:t>Соотношение финансовых ресурсов и инвестиций приведено на рис.2.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  <w:bookmarkStart w:id="1" w:name="Рис_4_1_4"/>
      <w:bookmarkEnd w:id="1"/>
      <w:r>
        <w:rPr>
          <w:sz w:val="28"/>
        </w:rPr>
        <w:t xml:space="preserve">Рис.2. Схема взаимосвязи инвестиций и накоплений.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Инвестиции сопровождаются снижением ликвидности активов предприятия. Рост возможен за счет расширения вложений в факторы производства и более эффективного использования средств.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Увеличение инвестиций означает рост потребления в будущем. Инвестиции повышают эффективность хозяйствования и создают основу для роста доходов. Они могут оказаться также нерациональными, поскольку сопряжены с финансовым риском.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Основная проблема оживления инвестиционной деятельности заключается в том, что из-за высокой инфляции, тяжелого бремени налогов, высоких ставок банковских процентов (на средне - и долгосрочные кредиты), предприятия остались практически без источников финансирования своего развития.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Приоритетным направлением решения проблемы инвестиций в настоящее время является активизация участия предприятий в функционировании финансового рынка. Привлечение ресурсов для инвестиций обеспечивается в основном путем выпуска в обращение ценных бумаг (эмиссия).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Эмиссия капитала - выпуск ценных бумаг для дальнейшего размещения среди потенциальных инвесторов в целях финансирования инвестиционных затрат.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Эмиссионный процесс - это деятельность, связанная с выпуском, организацией обращения и изъятия из обращения ценных бумаг.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Содержание и участники эмиссионного процесса схематически изображены на рис.3.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2B2F29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group id="_x0000_s1102" style="position:absolute;left:0;text-align:left;margin-left:-54pt;margin-top:-9pt;width:540pt;height:313.05pt;z-index:251658752" coordorigin="3580,1431" coordsize="9960,5799">
            <v:group id="_x0000_s1103" style="position:absolute;left:3580;top:1431;width:9960;height:5460" coordorigin="3500,3091" coordsize="9960,5460">
              <v:line id="_x0000_s1104" style="position:absolute" from="5100,3731" to="5100,8551"/>
              <v:line id="_x0000_s1105" style="position:absolute" from="5080,8530" to="11120,8530"/>
              <v:shape id="_x0000_s1106" style="position:absolute;left:5900;top:3771;width:5820;height:2950" coordsize="5820,2950" path="m5820,c4715,985,3610,1970,2640,2460,1670,2950,443,2860,,2940e" filled="f">
                <v:path arrowok="t"/>
              </v:shape>
              <v:shape id="_x0000_s1107" style="position:absolute;left:5640;top:4731;width:6360;height:1560" coordsize="7660,2000" path="m,1560v1851,220,3703,440,4980,180c6257,1480,6958,740,7660,e" filled="f">
                <v:path arrowok="t"/>
              </v:shape>
              <v:shape id="_x0000_s1108" type="#_x0000_t202" style="position:absolute;left:11240;top:3091;width:1440;height:600" filled="f" stroked="f">
                <v:textbox style="mso-next-textbox:#_x0000_s1108">
                  <w:txbxContent>
                    <w:p w:rsidR="00674235" w:rsidRDefault="00674235">
                      <w:r>
                        <w:t>Накопления</w:t>
                      </w:r>
                    </w:p>
                  </w:txbxContent>
                </v:textbox>
              </v:shape>
              <v:shape id="_x0000_s1109" type="#_x0000_t202" style="position:absolute;left:12020;top:4734;width:1440;height:1440" filled="f" stroked="f">
                <v:textbox style="mso-next-textbox:#_x0000_s1109">
                  <w:txbxContent>
                    <w:p w:rsidR="00674235" w:rsidRDefault="00674235">
                      <w:pPr>
                        <w:jc w:val="center"/>
                      </w:pPr>
                      <w:r>
                        <w:t>Внутренние инвестиции</w:t>
                      </w:r>
                    </w:p>
                  </w:txbxContent>
                </v:textbox>
              </v:shape>
              <v:shape id="_x0000_s1110" type="#_x0000_t202" style="position:absolute;left:3500;top:3291;width:1440;height:600" filled="f" stroked="f">
                <v:textbox style="mso-next-textbox:#_x0000_s1110">
                  <w:txbxContent>
                    <w:p w:rsidR="00674235" w:rsidRDefault="00674235">
                      <w:pPr>
                        <w:jc w:val="center"/>
                      </w:pPr>
                      <w:r>
                        <w:t>Денежная единица</w:t>
                      </w:r>
                    </w:p>
                  </w:txbxContent>
                </v:textbox>
              </v:shape>
            </v:group>
            <v:shape id="_x0000_s1111" type="#_x0000_t202" style="position:absolute;left:11320;top:6630;width:1440;height:600" filled="f" stroked="f">
              <v:textbox style="mso-next-textbox:#_x0000_s1111">
                <w:txbxContent>
                  <w:p w:rsidR="00674235" w:rsidRDefault="00674235">
                    <w:r>
                      <w:t>Время</w:t>
                    </w:r>
                  </w:p>
                </w:txbxContent>
              </v:textbox>
            </v:shape>
          </v:group>
        </w:pic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  <w:bookmarkStart w:id="2" w:name="Рис_4_1_5"/>
      <w:bookmarkEnd w:id="2"/>
      <w:r>
        <w:rPr>
          <w:sz w:val="28"/>
        </w:rPr>
        <w:t xml:space="preserve">Рис.3. Соотношение финансовых ресурсов и инвестиций предприятия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Как следует из приведенной схемы участниками эмиссионного процесса наряду с эмитентами и инвесторами являются банки (финансовые брокеры). Они выполняют посреднические функции при купле-продаже ценных бумаг за счет и по поручению клиента.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Решение о выпуске ценных бумаг принимает имеющий на то полномочия орган управления эмитента. Регистрацию ценных бумаг производит федеральная комиссия по рынку ценных бумаг РФ, Министерство финансов РФ, Центральный банк РФ.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Государственное регулирование инвестиционной деятельности осуществляется: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в соответствии с государственными инвестиционными программами; 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прямым управлением государственными инвестициями; 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введением системы налогов с дифференцированием налоговых ставок и льгот; 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представлением дотаций, субсидий, бюджетных ссуд на развитие отдельных территорий, отраслей, производств; 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политикой ценообразования, выпуском в обращение ценных бумаг; </w:t>
      </w:r>
    </w:p>
    <w:p w:rsidR="00674235" w:rsidRDefault="00674235">
      <w:pPr>
        <w:numPr>
          <w:ilvl w:val="0"/>
          <w:numId w:val="36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условиями пользования землей и другими природными ресурсами.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Инвестиционная стратегия государства на современном этапе включает: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подавление инфляции и стимулирование инвестиционной склонности предприятий и населения; 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уменьшение бюджетного дефицита, его покрытие преимущественно за счет неинфляционных источников, ориентация на инвестиции в производство; 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полноценная защита прав и интересов инвесторов и акционеров; 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децентрализация инвестиционного процесса через стимулирование частных инвестиций и "точечную" приватизацию. Выделение "точек роста" будет происходить на уровне отдельных предприятий и проектов; 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смещение акцента бюджетного финансирования с масштабных программ к поддержанию эффективно работающих предприятий; </w:t>
      </w:r>
    </w:p>
    <w:p w:rsidR="00674235" w:rsidRDefault="00674235">
      <w:pPr>
        <w:numPr>
          <w:ilvl w:val="0"/>
          <w:numId w:val="37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расширение практики долевого государственно-коммерческого финансирования инвестиционных проектов (в том числе с привлечением иностранных инвесторов).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 настоящее время разработан новый механизм выделения бюджетных ассигнований на инвестиционные цели через формирование в составе федерального бюджета бюджета развития (табл.2).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7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7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7"/>
        </w:rPr>
      </w:pPr>
      <w:r>
        <w:rPr>
          <w:rFonts w:ascii="Times New Roman" w:hAnsi="Times New Roman" w:cs="Times New Roman"/>
          <w:i/>
          <w:iCs/>
          <w:sz w:val="28"/>
          <w:szCs w:val="27"/>
        </w:rPr>
        <w:t>Таблица 2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7"/>
          <w:u w:val="single"/>
        </w:rPr>
      </w:pPr>
      <w:r>
        <w:rPr>
          <w:rFonts w:ascii="Times New Roman" w:hAnsi="Times New Roman" w:cs="Times New Roman"/>
          <w:sz w:val="28"/>
          <w:szCs w:val="27"/>
          <w:u w:val="single"/>
        </w:rPr>
        <w:t>Основные источники и направления использования средств бюджета развития Российской Федерации</w:t>
      </w:r>
    </w:p>
    <w:tbl>
      <w:tblPr>
        <w:tblW w:w="984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0"/>
        <w:gridCol w:w="4920"/>
      </w:tblGrid>
      <w:tr w:rsidR="00674235">
        <w:trPr>
          <w:tblCellSpacing w:w="7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Источники средств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Направления использования средств</w:t>
            </w:r>
          </w:p>
        </w:tc>
      </w:tr>
      <w:tr w:rsidR="00674235">
        <w:trPr>
          <w:tblCellSpacing w:w="7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Иностранные инвестиционные кредиты, распределяемые на конкурсной и возвратной основе. 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Средства, привлекаемые с российского и международного финансовых рынков через механизм государственных заимствований.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Отчисления от средств внутренних заимствований.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Выплаты по выданным ранее из бюджета развития кредитам.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235" w:rsidRDefault="00674235">
            <w:pPr>
              <w:spacing w:line="360" w:lineRule="auto"/>
              <w:ind w:firstLine="709"/>
              <w:jc w:val="both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Производственные капитальные вложения 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Закупка оборудования в счет иностранных кредитов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Поддержка экспорта</w:t>
            </w:r>
          </w:p>
          <w:p w:rsidR="00674235" w:rsidRDefault="0067423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Выплаты по государственным гарантиям инвестиций</w:t>
            </w:r>
          </w:p>
        </w:tc>
      </w:tr>
    </w:tbl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Средства бюджета развития направляются на высокоэффективные и быстроокупаемые проекты.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Выплаты по государственным гарантиям должны покрывать до 40% рисков частных инвесторов.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Существует сходство между планированием инвестиций и оценкой ценных бумаг.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 концептуальном плане составление бюджета капиталовложений (инвестиций), как и оценка ценных бумаг, осуществляется в шесть этапов.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1. Прежде всего необходимо определить затраты по проекту. Это похоже на расчет цены, которую следует уплатить за приобретение долговой или долевой ценной бумаги.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2. Далее необходимо оценить ожидаемый денежный поток с учетом фактора времени. Эта процедура подобна исчислению потока будущих дивидендов по акциям или процентов по облигациям.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3. На данном этапе проводится анализ рискованности денежного потока, что подразумевает построение и обработку рядов распределений, связанных с этим потоком.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4. Оценив риск денежного потока, руководство выбирает подходящее значение цены капитала, необходимое для построения дисконтированного денежного потока (DCF).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5. Далее строится DCF и рассчитывается его приведенная стоимость. Эта процедура аналогична нахождению приведенной стоимости потока будущих дивидендов.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6. Наконец, приведенная стоимость ожидаемого денежного потока сравнивается с требуемыми затратами по проекту. Если она превышает затраты по проекту, его следует принять, в противном случае проект должен быть отвергнут. С другой стороны, может быть рассчитана ожидаемая доходность проекта, и если она превосходит требуемое значение, проект может быть принят.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Если некий инвестор выявляет на рынке ценных бумаг продающиеся, по его мнению, по заниженной цене и инвестирует в них свои денежные средства, капитализированная стоимость его инвестированного портфеля возрастет. Аналогично, если фирма делает инвестиции в проект, приносящий доход, капитализированная стоимость самой фирмы увеличится. Таким образом, планирование капиталовложений и оценка ценных бумаг имеют много общего: более того, чем эффективнее система капиталовложений в компании, тем выше цена ее акций.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7"/>
          <w:u w:val="single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7"/>
          <w:u w:val="single"/>
        </w:rPr>
      </w:pP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7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27"/>
          <w:u w:val="single"/>
        </w:rPr>
        <w:t>Теория портфеля и модель оценки доходности финансовых активов.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Концепция инвестиционного портфеля имеет важные следствия для многих сфер финансового управления. Например, цена капитала фирмы определяется степенью риска ценных бумаг, находящихся в ее портфеле, поскольку, во-первых, структура инвестиционного портфеля влияет на степень риска собственных ценных бумаг фирмы; во-вторых, требуемая инвесторами доходность зависит от величины этого риска.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Кроме того, любая фирма, акции которой находятся в портфеле, в свою очередь, может рассматриваться как некий портфель находящихся в ее эксплуатации активов (или проектов), и поэтому владение портфелем ценных бумаг представляет собой право собственности на множество различных проектов. В этом контексте уровень риска каждого проекта оказывает влияние на рискованность портфеля в целом.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Отцом современной теории портфеля является Гарри Марковиц, получивший за свои труды в 1990 г. Нобелевскую премию по экономике.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Суть теории Марковица состоит в том, что, как правило, совокупный уровень риска может быть снижен за счет объединения рисковых активов (это инвестиционные проекты и ценные бумаги) в портфели. Основная причина такого снижения риска заключается в отсутствии прямой функциональной связи между значениями доходности по большинству различных видов активов.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Эта теория состоит из следующих четырех разделов: </w:t>
      </w:r>
    </w:p>
    <w:p w:rsidR="00674235" w:rsidRDefault="00674235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оценка инвестиционных качеств отдельных видов финансовых инструментов инвестирования; </w:t>
      </w:r>
    </w:p>
    <w:p w:rsidR="00674235" w:rsidRDefault="00674235">
      <w:pPr>
        <w:pStyle w:val="21"/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формирование инвестиционных решений относительно включения в портфель индивидуальных финансовых инструментов инвестирования; </w:t>
      </w:r>
    </w:p>
    <w:p w:rsidR="00674235" w:rsidRDefault="00674235">
      <w:pPr>
        <w:pStyle w:val="21"/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оптимизация портфеля, направленная на снижение уровня его риска при заданном уровне прибыльности; </w:t>
      </w:r>
    </w:p>
    <w:p w:rsidR="00674235" w:rsidRDefault="00674235">
      <w:pPr>
        <w:pStyle w:val="21"/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совокупная оценка сформированного инвестиционного портфеля по соотношению уровня прибыльности и риска.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Теория портфеля приводит к следующим выводам: </w:t>
      </w:r>
    </w:p>
    <w:p w:rsidR="00674235" w:rsidRDefault="00674235">
      <w:pPr>
        <w:pStyle w:val="a3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для минимизации риска инвесторам следует объединять рисковые активы в портфели; </w:t>
      </w:r>
    </w:p>
    <w:p w:rsidR="00674235" w:rsidRDefault="00674235">
      <w:pPr>
        <w:pStyle w:val="21"/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уровень риска по каждому отдельному виду активов следует измерять не изолированно от остальных активов, а с точки зрения его влияния на общий уровень риска диверсифицированного портфеля инвестиций.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Хотя теория портфеля в том виде, в каком она была разработана Марковицем, учит инвесторов тому, как следует измерять уровень риска, она не конкретизирует взаимосвязь между уровнем риска и требуемой доходностью.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Данную взаимосвязь конкретизирует модель оценки доходности финансовых активов (Capital Asset Pricing Model, CAPM), разработанная более или менее независимо друг от друга Джоном Линтнером, Яном Мойссином и Уильямом Шарпом.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Модель CAPM основана на допущении наличия идеальных рынков капитала (к большому сожалению их, не существует, тогда верна ли теория!?) и на ряде других нереальных допущениях.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Согласно этой модели, требуемая доходность для любого вида рисковых активов представляет собой функцию трех переменных: </w:t>
      </w:r>
    </w:p>
    <w:p w:rsidR="00674235" w:rsidRDefault="00674235">
      <w:pPr>
        <w:pStyle w:val="a3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без рисковой доходности, </w:t>
      </w:r>
    </w:p>
    <w:p w:rsidR="00674235" w:rsidRDefault="00674235">
      <w:pPr>
        <w:pStyle w:val="2"/>
        <w:numPr>
          <w:ilvl w:val="0"/>
          <w:numId w:val="4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средней доходности на рынке ценных бумаг, </w:t>
      </w:r>
    </w:p>
    <w:p w:rsidR="00674235" w:rsidRDefault="00674235">
      <w:pPr>
        <w:pStyle w:val="2"/>
        <w:numPr>
          <w:ilvl w:val="0"/>
          <w:numId w:val="4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индекса колебания доходности данного финансового актива по отношению к доходности на рынке в среднем.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Модель CAPM важна для определения, как общей цены капитала фирмы, так и требуемой доходности для отдельных проектов, осуществляемых в рамках фирмы.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Под диверсификацией понимают расширение форм деятельности, видов продукции, используемых финансовых инструментов с целью минимизации уровня хозяйственных рисков.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Портфельный риск это совокупный риск вложения капитала по инвестиционному портфелю в целом. В результате диверсификации инвестиционного портфеля уровень портфельного риска всегда ниже уровня риска отдельных входящих в него инструментов инвестирования за счет эффекта диверсификации, уменьшающий несистематический риск.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Диверсификация инвестиционного портфеля это одна из видов инвестиционной политики предприятия в процессе формирования портфеля ценных бумаг, направленных на снижение портфельного несистематического риска (совокупный несистематический риск портфеля всегда ниже суммы индивидуальных несистематических рисков отдельных фондовых инструментов).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Таким образом, инвестиционный портфель, целенаправленно формируется из совокупности финансовых инструментов, инвестиционных проектов, предназначенных для осуществления инвестирования в соответствии с разработанной инвестиционной политикой. Приоритетность целей </w:t>
      </w:r>
      <w:r>
        <w:rPr>
          <w:rFonts w:ascii="Times New Roman" w:hAnsi="Times New Roman" w:cs="Times New Roman" w:hint="eastAsia"/>
          <w:sz w:val="28"/>
          <w:szCs w:val="27"/>
        </w:rPr>
        <w:t>формирования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инвестиционного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портфеля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определяет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принципиальный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его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 w:hint="eastAsia"/>
          <w:sz w:val="28"/>
          <w:szCs w:val="27"/>
        </w:rPr>
        <w:t>тип</w:t>
      </w:r>
      <w:r>
        <w:rPr>
          <w:rFonts w:ascii="Times New Roman" w:hAnsi="Times New Roman" w:cs="Times New Roman" w:hint="eastAsia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- агрессивный, компромиссный (умеренный) или консервативный.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Различают следующие виды портфелей:</w:t>
      </w:r>
    </w:p>
    <w:p w:rsidR="00674235" w:rsidRDefault="00674235">
      <w:pPr>
        <w:pStyle w:val="a3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Портфель дохода, сформированный по критерию максимизации уровня инвестиционной прибыли в текущем периоде вне зависимости от темпов прироста капитала в долгосрочной перспективе. Он ориентирован на высокую текущую отдачу инвестиционных затрат. </w:t>
      </w:r>
    </w:p>
    <w:p w:rsidR="00674235" w:rsidRDefault="00674235">
      <w:pPr>
        <w:pStyle w:val="2"/>
        <w:numPr>
          <w:ilvl w:val="0"/>
          <w:numId w:val="4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Портфель роста, сформированный по критерию максимизации темпов прироста инвестируемого капитала в предстоящей долгосрочной перспективе вне зависимости от уровня формирования инвестиционной прибыли в текущем периоде. Он ориентирован на обеспечение высоких темпов роста рыночной стоимости предприятия. </w:t>
      </w:r>
    </w:p>
    <w:p w:rsidR="00674235" w:rsidRDefault="00674235">
      <w:pPr>
        <w:pStyle w:val="2"/>
        <w:numPr>
          <w:ilvl w:val="0"/>
          <w:numId w:val="4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Рисковый портфель, сформированный из финансовых инструментов инвестирования с высоким уровнем текущего дохода или высокими темпами прироста капитала, но имеющий высокий общий уровень портфельного риска. </w:t>
      </w:r>
    </w:p>
    <w:p w:rsidR="00674235" w:rsidRDefault="00674235">
      <w:pPr>
        <w:pStyle w:val="2"/>
        <w:numPr>
          <w:ilvl w:val="0"/>
          <w:numId w:val="4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Сбалансированный инвестиционной портфель, состоящий из инструментов, в полной мере соответствующий целям и критериям его формирования исходя из разработанной инвестиционной политики предприятия. Синонимом сбалансированного портфеля является термин «эффективный инвестиционный портфель». </w:t>
      </w:r>
    </w:p>
    <w:p w:rsidR="00674235" w:rsidRDefault="00674235">
      <w:pPr>
        <w:pStyle w:val="2"/>
        <w:numPr>
          <w:ilvl w:val="0"/>
          <w:numId w:val="4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Несбалансированный инвестиционный портфель, состоящий из финансовых инструментов, в значительной степени несоответствующих целям и критериям его формирования. Разновидностью несбалансированного портфеля является «разбалансированный портфель», который представляет собой ранее оптимизированный портфель, уже не удовлетворяющий цели инвестора в связи с изменением факторов внешней инвестиционной среды (ставки ссудного процента, конъюнктуры финансового рынка, характера налогового регулирования и т.п.) или внутренних факторов. 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Вывод.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Инвестирование важно потому, что наращивание производственных мощностей обычно сопровождается значительными расходами, и прежде чем потратить огромное количество денег, необходимо иметь хорошо составленный инвестиционный план, поскольку свободные финансовые ресурсы в больших объемах не всегда имеются в наличии. Фирме, намеревающейся произвести серьезные капиталовложения, может понадобиться упорядочение вопросов финансирования на несколько лет вперед, чтобы быть уверенной, что средства, требуемые для развития, будут доступны в нужное время.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Инвестиции обеспечивают динамичное развитие предприятия и позволяют решать следующие задачи:</w:t>
      </w:r>
    </w:p>
    <w:p w:rsidR="00674235" w:rsidRDefault="00674235">
      <w:pPr>
        <w:numPr>
          <w:ilvl w:val="0"/>
          <w:numId w:val="4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расширение собственной предпринимательской деятельности за счет накопления финансовых и материальных ресурсов; </w:t>
      </w:r>
    </w:p>
    <w:p w:rsidR="00674235" w:rsidRDefault="00674235">
      <w:pPr>
        <w:numPr>
          <w:ilvl w:val="0"/>
          <w:numId w:val="4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приобретение новых предприятий; </w:t>
      </w:r>
    </w:p>
    <w:p w:rsidR="00674235" w:rsidRDefault="00674235">
      <w:pPr>
        <w:numPr>
          <w:ilvl w:val="0"/>
          <w:numId w:val="44"/>
        </w:numPr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диверсификация (освоение новых областей бизнеса, стратегическая ориентация на создание многопрофильного производства). </w:t>
      </w:r>
    </w:p>
    <w:p w:rsidR="00674235" w:rsidRDefault="0067423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Таким образом, инвестиции это процесс вложения капитала в денежной, материальной и нематериальной формах в объекты предпринимательской деятельности или финансовые инструменты. С целью получения текущего дохода (прибыли) и обеспечения возрастания капитала. Инвестиции являются главной формой, реализующей стратегию развития предприятия.</w:t>
      </w: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spacing w:line="360" w:lineRule="auto"/>
        <w:ind w:firstLine="709"/>
        <w:jc w:val="both"/>
        <w:rPr>
          <w:sz w:val="28"/>
        </w:rPr>
      </w:pPr>
    </w:p>
    <w:p w:rsidR="00674235" w:rsidRDefault="00674235">
      <w:pPr>
        <w:pStyle w:val="1"/>
        <w:jc w:val="center"/>
        <w:rPr>
          <w:rFonts w:ascii="Times New Roman" w:hAnsi="Times New Roman"/>
          <w:sz w:val="32"/>
          <w:u w:val="single"/>
        </w:rPr>
      </w:pPr>
    </w:p>
    <w:p w:rsidR="00674235" w:rsidRDefault="00674235">
      <w:pPr>
        <w:pStyle w:val="1"/>
        <w:jc w:val="center"/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Список использованной литературы.</w:t>
      </w:r>
    </w:p>
    <w:p w:rsidR="00674235" w:rsidRDefault="00674235">
      <w:pPr>
        <w:numPr>
          <w:ilvl w:val="0"/>
          <w:numId w:val="42"/>
        </w:numPr>
        <w:spacing w:line="360" w:lineRule="auto"/>
        <w:jc w:val="both"/>
        <w:rPr>
          <w:sz w:val="28"/>
        </w:rPr>
      </w:pPr>
      <w:r>
        <w:rPr>
          <w:sz w:val="28"/>
        </w:rPr>
        <w:t>Самсонов Н.Ф. Финансовый менеджмент. – М.: Финансы, 2000 г.</w:t>
      </w:r>
    </w:p>
    <w:p w:rsidR="00674235" w:rsidRDefault="00674235">
      <w:pPr>
        <w:numPr>
          <w:ilvl w:val="0"/>
          <w:numId w:val="42"/>
        </w:numPr>
        <w:spacing w:line="360" w:lineRule="auto"/>
        <w:jc w:val="both"/>
        <w:rPr>
          <w:sz w:val="28"/>
        </w:rPr>
      </w:pPr>
      <w:r>
        <w:rPr>
          <w:sz w:val="28"/>
        </w:rPr>
        <w:t>Дробизина Л.А. Финансы. Денежное обращение. Кредит. – М.: Юнити, 2000г.</w:t>
      </w:r>
    </w:p>
    <w:p w:rsidR="00674235" w:rsidRDefault="00674235">
      <w:pPr>
        <w:numPr>
          <w:ilvl w:val="0"/>
          <w:numId w:val="42"/>
        </w:numPr>
        <w:spacing w:line="360" w:lineRule="auto"/>
        <w:jc w:val="both"/>
        <w:rPr>
          <w:sz w:val="27"/>
          <w:szCs w:val="27"/>
        </w:rPr>
      </w:pPr>
      <w:r>
        <w:rPr>
          <w:sz w:val="28"/>
        </w:rPr>
        <w:t>Глазунов В.Н. Инновационная политика предприятия.//</w:t>
      </w:r>
      <w:r>
        <w:rPr>
          <w:sz w:val="27"/>
          <w:szCs w:val="27"/>
        </w:rPr>
        <w:t>Финансы. — 1999г. — № 12.</w:t>
      </w:r>
    </w:p>
    <w:p w:rsidR="00674235" w:rsidRDefault="00674235">
      <w:pPr>
        <w:pStyle w:val="a7"/>
        <w:numPr>
          <w:ilvl w:val="0"/>
          <w:numId w:val="42"/>
        </w:numPr>
      </w:pPr>
      <w:r>
        <w:t>Шеремет А. Д., Сайфуллин Р. С. Финансы предприятий. - М., Инфра -М., 1998г.</w:t>
      </w:r>
    </w:p>
    <w:p w:rsidR="00674235" w:rsidRDefault="00674235">
      <w:pPr>
        <w:numPr>
          <w:ilvl w:val="0"/>
          <w:numId w:val="42"/>
        </w:numPr>
        <w:spacing w:line="360" w:lineRule="auto"/>
        <w:jc w:val="both"/>
        <w:rPr>
          <w:sz w:val="28"/>
        </w:rPr>
      </w:pPr>
      <w:r>
        <w:rPr>
          <w:sz w:val="26"/>
        </w:rPr>
        <w:t>Фельзенбаум “Иностранные инвестиции в России”. Вопросы Экономики.</w:t>
      </w:r>
      <w:bookmarkStart w:id="3" w:name="_GoBack"/>
      <w:bookmarkEnd w:id="3"/>
    </w:p>
    <w:sectPr w:rsidR="0067423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235" w:rsidRDefault="00674235">
      <w:r>
        <w:separator/>
      </w:r>
    </w:p>
  </w:endnote>
  <w:endnote w:type="continuationSeparator" w:id="0">
    <w:p w:rsidR="00674235" w:rsidRDefault="0067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235" w:rsidRDefault="00674235">
      <w:r>
        <w:separator/>
      </w:r>
    </w:p>
  </w:footnote>
  <w:footnote w:type="continuationSeparator" w:id="0">
    <w:p w:rsidR="00674235" w:rsidRDefault="00674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235" w:rsidRDefault="00674235">
    <w:pPr>
      <w:pStyle w:val="a8"/>
      <w:framePr w:wrap="around" w:vAnchor="text" w:hAnchor="margin" w:xAlign="right" w:y="1"/>
      <w:rPr>
        <w:rStyle w:val="a9"/>
      </w:rPr>
    </w:pPr>
  </w:p>
  <w:p w:rsidR="00674235" w:rsidRDefault="0067423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235" w:rsidRDefault="00333D23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74235" w:rsidRDefault="0067423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5762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57E0D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0BF5022"/>
    <w:multiLevelType w:val="hybridMultilevel"/>
    <w:tmpl w:val="EDD6B68A"/>
    <w:lvl w:ilvl="0" w:tplc="49781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780C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AF3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844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0038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F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B411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4E47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669C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AD7052"/>
    <w:multiLevelType w:val="hybridMultilevel"/>
    <w:tmpl w:val="ABB49B66"/>
    <w:lvl w:ilvl="0" w:tplc="3FE485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ED2E3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24B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B98BB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A296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E22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EA93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79A8E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F0E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8F5E70"/>
    <w:multiLevelType w:val="hybridMultilevel"/>
    <w:tmpl w:val="75A0F568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3C54129"/>
    <w:multiLevelType w:val="hybridMultilevel"/>
    <w:tmpl w:val="EC586E80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5251836"/>
    <w:multiLevelType w:val="hybridMultilevel"/>
    <w:tmpl w:val="27928184"/>
    <w:lvl w:ilvl="0" w:tplc="26A84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763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6AAB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80A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8F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827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B2B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2D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066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063359"/>
    <w:multiLevelType w:val="hybridMultilevel"/>
    <w:tmpl w:val="36C6D04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07B60FFB"/>
    <w:multiLevelType w:val="hybridMultilevel"/>
    <w:tmpl w:val="7C6EFE06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B475C98"/>
    <w:multiLevelType w:val="hybridMultilevel"/>
    <w:tmpl w:val="D8B6355C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0C1C475E"/>
    <w:multiLevelType w:val="hybridMultilevel"/>
    <w:tmpl w:val="56C661EC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2E3345B"/>
    <w:multiLevelType w:val="hybridMultilevel"/>
    <w:tmpl w:val="85BCF6AC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4D140BB"/>
    <w:multiLevelType w:val="hybridMultilevel"/>
    <w:tmpl w:val="31505040"/>
    <w:lvl w:ilvl="0" w:tplc="246469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F68A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36DA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585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265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5060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AA0B6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A0F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B2AA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A06691"/>
    <w:multiLevelType w:val="hybridMultilevel"/>
    <w:tmpl w:val="08C48AA8"/>
    <w:lvl w:ilvl="0" w:tplc="B46E8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32C1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30F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BC1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78B4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A87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E9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7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E4A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E24243"/>
    <w:multiLevelType w:val="hybridMultilevel"/>
    <w:tmpl w:val="6AF84C64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1F966CE6"/>
    <w:multiLevelType w:val="hybridMultilevel"/>
    <w:tmpl w:val="E8E2E25E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94C7820"/>
    <w:multiLevelType w:val="hybridMultilevel"/>
    <w:tmpl w:val="5518F4D2"/>
    <w:lvl w:ilvl="0" w:tplc="DB1C47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364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CEE3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580A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8F641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083D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D98C2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45660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DE10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373E54"/>
    <w:multiLevelType w:val="hybridMultilevel"/>
    <w:tmpl w:val="A5C2A626"/>
    <w:lvl w:ilvl="0" w:tplc="70281C68">
      <w:start w:val="1"/>
      <w:numFmt w:val="bullet"/>
      <w:lvlText w:val=""/>
      <w:lvlJc w:val="left"/>
      <w:pPr>
        <w:tabs>
          <w:tab w:val="num" w:pos="984"/>
        </w:tabs>
        <w:ind w:left="98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B0F25BB"/>
    <w:multiLevelType w:val="hybridMultilevel"/>
    <w:tmpl w:val="482ACE12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F157B3A"/>
    <w:multiLevelType w:val="hybridMultilevel"/>
    <w:tmpl w:val="853CD506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2F1A3EFD"/>
    <w:multiLevelType w:val="hybridMultilevel"/>
    <w:tmpl w:val="7816441C"/>
    <w:lvl w:ilvl="0" w:tplc="6BCA8464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F2EE8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444B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7F8CF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0D8C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2AB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CAE3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5028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100CE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B67A17"/>
    <w:multiLevelType w:val="hybridMultilevel"/>
    <w:tmpl w:val="4732CD58"/>
    <w:lvl w:ilvl="0" w:tplc="67C2D5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50D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D27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E8EB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205C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8C57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A30F7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EC51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5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600682"/>
    <w:multiLevelType w:val="hybridMultilevel"/>
    <w:tmpl w:val="94CCC6FE"/>
    <w:lvl w:ilvl="0" w:tplc="8D0A5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6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5002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768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65B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816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7EC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E838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1A7B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C649ED"/>
    <w:multiLevelType w:val="hybridMultilevel"/>
    <w:tmpl w:val="8C18F04A"/>
    <w:lvl w:ilvl="0" w:tplc="DBEEDD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6851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CB833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62D0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32F7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5C02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74A00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0C2E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A4C4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41541B"/>
    <w:multiLevelType w:val="hybridMultilevel"/>
    <w:tmpl w:val="CE4A9140"/>
    <w:lvl w:ilvl="0" w:tplc="D8107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0626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28E6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E9AFB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D961F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9C6E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3DE24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6C1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50AB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132F65"/>
    <w:multiLevelType w:val="hybridMultilevel"/>
    <w:tmpl w:val="F830FB50"/>
    <w:lvl w:ilvl="0" w:tplc="C0B4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385D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1467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A940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0803A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A5C6D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0267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E1C1C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6A8D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79116F"/>
    <w:multiLevelType w:val="hybridMultilevel"/>
    <w:tmpl w:val="1F381A0E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6D63E57"/>
    <w:multiLevelType w:val="hybridMultilevel"/>
    <w:tmpl w:val="AFFE573A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8743B34"/>
    <w:multiLevelType w:val="hybridMultilevel"/>
    <w:tmpl w:val="197CFC6E"/>
    <w:lvl w:ilvl="0" w:tplc="8B6E6C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2A8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4C8C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A20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6CEB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ECA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5005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F096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F3E8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541CD9"/>
    <w:multiLevelType w:val="hybridMultilevel"/>
    <w:tmpl w:val="DC625CA8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D6605F6"/>
    <w:multiLevelType w:val="hybridMultilevel"/>
    <w:tmpl w:val="B98843FA"/>
    <w:lvl w:ilvl="0" w:tplc="3948C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48641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E29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A8D9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73247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FF6E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F4FF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040F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16F6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875DA6"/>
    <w:multiLevelType w:val="hybridMultilevel"/>
    <w:tmpl w:val="FA3C5212"/>
    <w:lvl w:ilvl="0" w:tplc="CC709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E2EC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FE1C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6A0B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C4C4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78F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9256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5CA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11CB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C42736"/>
    <w:multiLevelType w:val="hybridMultilevel"/>
    <w:tmpl w:val="1346C68A"/>
    <w:lvl w:ilvl="0" w:tplc="410E0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7C7E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75878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049A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3C4D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B21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3C45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346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DBAA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D73E31"/>
    <w:multiLevelType w:val="hybridMultilevel"/>
    <w:tmpl w:val="34E821CE"/>
    <w:lvl w:ilvl="0" w:tplc="3EC68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CA1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A80EB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B427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6C25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4C8E7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D481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F829C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085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B22AB0"/>
    <w:multiLevelType w:val="hybridMultilevel"/>
    <w:tmpl w:val="AEB25B32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3186EB8"/>
    <w:multiLevelType w:val="hybridMultilevel"/>
    <w:tmpl w:val="C818B3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63C37F68"/>
    <w:multiLevelType w:val="hybridMultilevel"/>
    <w:tmpl w:val="FB40754A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85300D3"/>
    <w:multiLevelType w:val="hybridMultilevel"/>
    <w:tmpl w:val="7680A3F2"/>
    <w:lvl w:ilvl="0" w:tplc="E5184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608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647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580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A87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EFC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4AE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863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4A0F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8A1F95"/>
    <w:multiLevelType w:val="hybridMultilevel"/>
    <w:tmpl w:val="B052D86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>
    <w:nsid w:val="757D15A6"/>
    <w:multiLevelType w:val="hybridMultilevel"/>
    <w:tmpl w:val="530C839E"/>
    <w:lvl w:ilvl="0" w:tplc="B4606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14DC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80DA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1CCE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405F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7C2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EADE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9E8A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889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F153B3"/>
    <w:multiLevelType w:val="hybridMultilevel"/>
    <w:tmpl w:val="6C2EA978"/>
    <w:lvl w:ilvl="0" w:tplc="70281C68">
      <w:start w:val="1"/>
      <w:numFmt w:val="bullet"/>
      <w:lvlText w:val=""/>
      <w:lvlJc w:val="left"/>
      <w:pPr>
        <w:tabs>
          <w:tab w:val="num" w:pos="1333"/>
        </w:tabs>
        <w:ind w:left="1333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EA25500"/>
    <w:multiLevelType w:val="hybridMultilevel"/>
    <w:tmpl w:val="ABB49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D2E3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24B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B98BB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A296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E22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EA93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79A8E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F0E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C7573F"/>
    <w:multiLevelType w:val="hybridMultilevel"/>
    <w:tmpl w:val="9022E7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40"/>
  </w:num>
  <w:num w:numId="3">
    <w:abstractNumId w:val="1"/>
  </w:num>
  <w:num w:numId="4">
    <w:abstractNumId w:val="4"/>
  </w:num>
  <w:num w:numId="5">
    <w:abstractNumId w:val="29"/>
  </w:num>
  <w:num w:numId="6">
    <w:abstractNumId w:val="38"/>
  </w:num>
  <w:num w:numId="7">
    <w:abstractNumId w:val="22"/>
  </w:num>
  <w:num w:numId="8">
    <w:abstractNumId w:val="14"/>
  </w:num>
  <w:num w:numId="9">
    <w:abstractNumId w:val="31"/>
  </w:num>
  <w:num w:numId="10">
    <w:abstractNumId w:val="0"/>
  </w:num>
  <w:num w:numId="11">
    <w:abstractNumId w:val="33"/>
  </w:num>
  <w:num w:numId="12">
    <w:abstractNumId w:val="25"/>
  </w:num>
  <w:num w:numId="13">
    <w:abstractNumId w:val="17"/>
  </w:num>
  <w:num w:numId="14">
    <w:abstractNumId w:val="13"/>
  </w:num>
  <w:num w:numId="15">
    <w:abstractNumId w:val="21"/>
  </w:num>
  <w:num w:numId="16">
    <w:abstractNumId w:val="34"/>
  </w:num>
  <w:num w:numId="17">
    <w:abstractNumId w:val="32"/>
  </w:num>
  <w:num w:numId="18">
    <w:abstractNumId w:val="23"/>
  </w:num>
  <w:num w:numId="19">
    <w:abstractNumId w:val="7"/>
  </w:num>
  <w:num w:numId="20">
    <w:abstractNumId w:val="24"/>
  </w:num>
  <w:num w:numId="21">
    <w:abstractNumId w:val="26"/>
  </w:num>
  <w:num w:numId="22">
    <w:abstractNumId w:val="2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23">
    <w:abstractNumId w:val="20"/>
  </w:num>
  <w:num w:numId="24">
    <w:abstractNumId w:val="42"/>
  </w:num>
  <w:num w:numId="25">
    <w:abstractNumId w:val="18"/>
  </w:num>
  <w:num w:numId="26">
    <w:abstractNumId w:val="30"/>
  </w:num>
  <w:num w:numId="27">
    <w:abstractNumId w:val="8"/>
  </w:num>
  <w:num w:numId="28">
    <w:abstractNumId w:val="10"/>
  </w:num>
  <w:num w:numId="29">
    <w:abstractNumId w:val="19"/>
  </w:num>
  <w:num w:numId="30">
    <w:abstractNumId w:val="15"/>
  </w:num>
  <w:num w:numId="31">
    <w:abstractNumId w:val="6"/>
  </w:num>
  <w:num w:numId="32">
    <w:abstractNumId w:val="28"/>
  </w:num>
  <w:num w:numId="33">
    <w:abstractNumId w:val="37"/>
  </w:num>
  <w:num w:numId="34">
    <w:abstractNumId w:val="5"/>
  </w:num>
  <w:num w:numId="35">
    <w:abstractNumId w:val="16"/>
  </w:num>
  <w:num w:numId="36">
    <w:abstractNumId w:val="11"/>
  </w:num>
  <w:num w:numId="37">
    <w:abstractNumId w:val="12"/>
  </w:num>
  <w:num w:numId="38">
    <w:abstractNumId w:val="36"/>
  </w:num>
  <w:num w:numId="39">
    <w:abstractNumId w:val="39"/>
  </w:num>
  <w:num w:numId="40">
    <w:abstractNumId w:val="27"/>
  </w:num>
  <w:num w:numId="41">
    <w:abstractNumId w:val="41"/>
  </w:num>
  <w:num w:numId="42">
    <w:abstractNumId w:val="43"/>
  </w:num>
  <w:num w:numId="43">
    <w:abstractNumId w:val="9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D23"/>
    <w:rsid w:val="002B2F29"/>
    <w:rsid w:val="00333D23"/>
    <w:rsid w:val="00674235"/>
    <w:rsid w:val="00DA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</o:shapelayout>
  </w:shapeDefaults>
  <w:decimalSymbol w:val=","/>
  <w:listSeparator w:val=";"/>
  <w15:chartTrackingRefBased/>
  <w15:docId w15:val="{A88940A1-5711-4FE5-8AD4-D013447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eastAsia="Arial Unicode MS" w:hAnsi="Arial"/>
      <w:b/>
      <w:kern w:val="28"/>
      <w:sz w:val="28"/>
      <w:szCs w:val="20"/>
    </w:rPr>
  </w:style>
  <w:style w:type="paragraph" w:styleId="20">
    <w:name w:val="heading 2"/>
    <w:basedOn w:val="a"/>
    <w:next w:val="a"/>
    <w:qFormat/>
    <w:pPr>
      <w:keepNext/>
      <w:tabs>
        <w:tab w:val="left" w:pos="8820"/>
      </w:tabs>
      <w:spacing w:line="360" w:lineRule="auto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1">
    <w:name w:val="List 2"/>
    <w:basedOn w:val="a"/>
    <w:semiHidden/>
    <w:pPr>
      <w:ind w:left="566" w:hanging="283"/>
    </w:pPr>
  </w:style>
  <w:style w:type="paragraph" w:styleId="2">
    <w:name w:val="List Bullet 2"/>
    <w:basedOn w:val="a"/>
    <w:autoRedefine/>
    <w:semiHidden/>
    <w:pPr>
      <w:numPr>
        <w:numId w:val="3"/>
      </w:numPr>
    </w:pPr>
  </w:style>
  <w:style w:type="paragraph" w:styleId="3">
    <w:name w:val="List Bullet 3"/>
    <w:basedOn w:val="a"/>
    <w:autoRedefine/>
    <w:semiHidden/>
    <w:pPr>
      <w:numPr>
        <w:numId w:val="15"/>
      </w:numPr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Body Text"/>
    <w:basedOn w:val="a"/>
    <w:semiHidden/>
    <w:pPr>
      <w:spacing w:after="120"/>
    </w:pPr>
    <w:rPr>
      <w:rFonts w:ascii="TextBook" w:hAnsi="TextBook"/>
      <w:szCs w:val="20"/>
    </w:rPr>
  </w:style>
  <w:style w:type="paragraph" w:styleId="22">
    <w:name w:val="Body Text 2"/>
    <w:basedOn w:val="a"/>
    <w:semiHidden/>
    <w:pPr>
      <w:jc w:val="center"/>
    </w:pPr>
  </w:style>
  <w:style w:type="paragraph" w:styleId="a7">
    <w:name w:val="Body Text Indent"/>
    <w:basedOn w:val="a"/>
    <w:semiHidden/>
    <w:pPr>
      <w:spacing w:line="360" w:lineRule="auto"/>
      <w:ind w:firstLine="709"/>
      <w:jc w:val="both"/>
    </w:pPr>
    <w:rPr>
      <w:sz w:val="27"/>
      <w:szCs w:val="27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4693</Words>
  <Characters>26753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Tsar1</dc:creator>
  <cp:keywords/>
  <dc:description/>
  <cp:lastModifiedBy>Irina</cp:lastModifiedBy>
  <cp:revision>2</cp:revision>
  <cp:lastPrinted>2001-04-09T07:06:00Z</cp:lastPrinted>
  <dcterms:created xsi:type="dcterms:W3CDTF">2014-08-04T14:25:00Z</dcterms:created>
  <dcterms:modified xsi:type="dcterms:W3CDTF">2014-08-04T14:25:00Z</dcterms:modified>
</cp:coreProperties>
</file>