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9D5" w:rsidRPr="00AE69D5" w:rsidRDefault="00AE69D5" w:rsidP="00AE69D5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</w:pPr>
      <w:r w:rsidRPr="00AE69D5"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  <w:t>ЦЕЛЕВЫЕ ПОКАЗАТЕЛИ ЭФФЕКТИВНОСТИ РАБОТЫ БЮДЖЕТНЫХ ОБРАЗОВАТЕЛЬНЫХ УЧРЕЖДЕНИЙ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В соответствии с п. 9 Положения об установлении систем оплаты труда работников федеральных бюджетных учреждений</w:t>
      </w:r>
      <w:hyperlink r:id="rId4" w:anchor="sub_1" w:history="1">
        <w:r w:rsidRPr="00AE69D5">
          <w:rPr>
            <w:rFonts w:ascii="Tahoma" w:hAnsi="Tahoma" w:cs="Tahoma"/>
            <w:color w:val="0000FF"/>
            <w:sz w:val="21"/>
          </w:rPr>
          <w:t>*(1)</w:t>
        </w:r>
      </w:hyperlink>
      <w:r w:rsidRPr="00AE69D5">
        <w:rPr>
          <w:rFonts w:ascii="Tahoma" w:hAnsi="Tahoma" w:cs="Tahoma"/>
          <w:color w:val="626262"/>
          <w:sz w:val="21"/>
          <w:szCs w:val="21"/>
        </w:rPr>
        <w:t xml:space="preserve"> федеральные государственные органы - главные распорядители средств федерального бюджета, в ведении которых находятся учреждения, могут устанавливать руководителям данных учреждений выплаты стимулирующего характера. В связи с этим в их обязанности входит разработка целевых показателей эффективности работы, от выполнения которых зависит размер таких выплат. В настоящее время целевые показатели для каждого вида образовательных учреждений утверждены Приказом Минобрнауки РФ N 1116</w:t>
      </w:r>
      <w:hyperlink r:id="rId5" w:anchor="sub_2" w:history="1">
        <w:r w:rsidRPr="00AE69D5">
          <w:rPr>
            <w:rFonts w:ascii="Tahoma" w:hAnsi="Tahoma" w:cs="Tahoma"/>
            <w:color w:val="0000FF"/>
            <w:sz w:val="21"/>
          </w:rPr>
          <w:t>*(2)</w:t>
        </w:r>
      </w:hyperlink>
      <w:r w:rsidRPr="00AE69D5">
        <w:rPr>
          <w:rFonts w:ascii="Tahoma" w:hAnsi="Tahoma" w:cs="Tahoma"/>
          <w:color w:val="626262"/>
          <w:sz w:val="21"/>
          <w:szCs w:val="21"/>
        </w:rPr>
        <w:t>. Этим же приказом признаны утратившими силу показатели, ранее утвержденные Рособразованием. Рассмотрим изменения в целевых показателях и критериях эффективности работы образовательных учреждений.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Прежде всего отметим, что целевые показатели и критерии эффективности для каждого вида образовательного учреждения были утверждены отдельными приказами Рособразования. Сейчас это один документ - Приказ Минобрнауки РФ N 1116, но данные показатели и критерии эффективности также представлены в разрезе каждого вида образовательных учреждений.</w:t>
      </w:r>
    </w:p>
    <w:p w:rsidR="00AE69D5" w:rsidRPr="00AE69D5" w:rsidRDefault="00AE69D5" w:rsidP="00AE69D5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</w:pPr>
      <w:r w:rsidRPr="00AE69D5"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  <w:t>Целевые показатели эффективности работы образовательных учреждений, реализующих основные общеобразовательные программы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Ранее перечень целевых показателей эффективности работы федеральных государственных образовательных учреждений, реализующих основные программы общего образования, был утвержден Приказом Рособразования от 28.11.2008 N 1762 (далее - Приказ Рособразования N 1762).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Перечень целевых показателей, установленный Приказом Минобрнауки N 1116, аналогичен названному. Однако изменились критерии эффективности по отдельным целевым показателям, рассмотрим основные из них.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4"/>
        <w:gridCol w:w="4635"/>
        <w:gridCol w:w="36"/>
      </w:tblGrid>
      <w:tr w:rsidR="00AE69D5" w:rsidRPr="00C231CC">
        <w:trPr>
          <w:tblCellSpacing w:w="0" w:type="dxa"/>
        </w:trPr>
        <w:tc>
          <w:tcPr>
            <w:tcW w:w="13995" w:type="dxa"/>
            <w:gridSpan w:val="3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Критерии эффективности</w:t>
            </w: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Приказ Минобрнауки N 1116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Приказ Рособразования N 1762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3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Соответствие деятельности образовательного учреждения законодательству РФ в области образования</w:t>
            </w: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Отсутствие нарушений законодательства РФ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Отсутствие нарушений образовательного и трудового законодательства в деятельности образовательного учреждения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3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Кадровое обеспечение образовательного процесса</w:t>
            </w: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Оптимальная укомплектованность структурных подразделений образовательного учреждения кадрами, соответствие квалификации работников учреждения занимаемым должностям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Показатель укомплектованности образовательного учреждения педагогическими кадрами и работниками учебно-вспомогательного персонала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3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Обеспечение высокого качества обучения и воспитания</w:t>
            </w: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а) показатели успешности государственной (итоговой) аттестации обучающихся, в том числе в форме ЕГЭ;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а) показатели успешности итоговой аттестации выпускников, в том числе в форме ЕГЭ, промежуточной внутришкольной аттестации (в том числе с помощью накопительных оценок в форме портфолио), единого муниципального тестирования, международного тестирования ПИЗА и др.;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б) количество обучающихся победителей и призеров олимпиад и конкурсов, проводимых на муниципальном, региональном, федеральном, международном уровнях;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б) количество школьников-победителей и призеров олимпиад и конкурсов, проводимых на муниципальном, региональном, федеральном, международном уровнях;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в) количество выпускников, поступивших на бюджетные отделения в образовательные учреждения высшего профессионального образования;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в) количество выпускников, поступивших на бюджетные отделения в учреждения высшего профессионального образования;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г) количество правонарушений среди обучающихся;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г) количество правонарушений среди обучающихся;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д) реализация компетентностного подхода в образовании: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формирование готовности обучающихся к осознанному выбору направления и формы получения профессионального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сохранение и укрепление психического и физического здоровья обучающихся;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д) реализация компетентностного подхода в образовании: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формирование информационно-коммуникативной и социальной компетентности учащихся;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формирование готовности школьников к осознанному выбору направления и формы получения профессионального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обеспечение преемственности результатов по ступеням образования;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сохранение и укрепление психического и физического здоровья школьников;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е) показатели успешности выполнения требований по освоению основных общеобразовательных программ среднего (полного) общего образования: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показатель учебно-материального обеспечения образовательного процесса;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показатель кадрового обеспечения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е) полнота выполнения требований государственного образовательного стандарта: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показатель учебно-материального обеспечения образовательного процесса;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показатель кадрового обеспечения;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ж) количество обучающихся, проявляющих социальную и творческую активность, подтверждаемую участием в различных акциях социального характера, работе общественных организаций, в организации различных проектов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3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Обеспечение доступности качественного образования</w:t>
            </w:r>
          </w:p>
        </w:tc>
      </w:tr>
      <w:tr w:rsidR="00AE69D5" w:rsidRPr="00C231CC">
        <w:trPr>
          <w:tblCellSpacing w:w="0" w:type="dxa"/>
        </w:trPr>
        <w:tc>
          <w:tcPr>
            <w:tcW w:w="700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Создание условий, позволяющих обучающимся осваивать образовательные программы, обеспечивающие им успешное развитие в соответствии с возрастными особенностями, индивидуальными склонностями и предпочтениями: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наличие у родителей и обучающихся возможностей для выбора образовательной программы;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соответствие квалификации педагогических кадров реализуемым образовательным программам;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реализация образовательных программ по углубленному изучению отдельных предметов;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организация индивидуальной работы с учащимися (одаренными, имеющими проблемы со здоровьем и т.п.)</w:t>
            </w:r>
          </w:p>
        </w:tc>
        <w:tc>
          <w:tcPr>
            <w:tcW w:w="699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Создание условий, позволяющих обучающимся осваивать образовательные программы, обеспечивающие им успешное развитие в соответствии с возрастными особенностями, индивидуальными склонностями и предпочтениями: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наличие у родителей и обучающихся возможностей для выбора образовательной программы;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соответствие квалификации педагогических кадров реализуемым образовательным программам;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реализация программ углубленного изучения отдельных предметов;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организация обучения по программам для детей с особыми образовательными потребностями: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одаренных, имеющих проблемы в состоянии здоровья, а также по программам коррекционно-развивающего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наличие в образовательных учреждениях открытых и прозрачных процедур зачисления учащихся на все ступени школьного образования и во все классы, с учетом имеющегося количества мест;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наличие доступных дополнительных образовательных услуг;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обязательность получения образования (отсутствие причин для отчисления) учащимися, не достигшими 15-летнего возраста;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реализация программ предшкольного образования для выравнивания стартовых условий для получения начального общего образования;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организация предпрофильной подготовки для девятиклассников;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организация профильного обучения на третьей ступени школы;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реализация программ дополнительного образования</w:t>
            </w:r>
          </w:p>
        </w:tc>
        <w:tc>
          <w:tcPr>
            <w:tcW w:w="0" w:type="auto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69D5" w:rsidRPr="00AE69D5" w:rsidRDefault="00AE69D5" w:rsidP="00AE69D5">
      <w:pPr>
        <w:spacing w:after="0" w:line="240" w:lineRule="auto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br w:type="textWrapping" w:clear="all"/>
      </w:r>
    </w:p>
    <w:p w:rsidR="00AE69D5" w:rsidRPr="00AE69D5" w:rsidRDefault="00AE69D5" w:rsidP="00AE69D5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</w:pPr>
      <w:r w:rsidRPr="00AE69D5"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  <w:t>Показатели и критерии эффективности работы специальных профессиональных училищ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Целевые показатели и критерии эффективности работы специальных профессиональных училищ ранее были утверждены Приказом Рособразования от 28.11.2008 N 1776 (далее - Приказ Рособразования N 1776).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Проведенный анализ целевых показателей, утвержденных Приказом Минобрнауки N 1116 и Приказом Рособразования N 1776, позволяет сделать вывод, что изменились наименование и содержание целевых показателей. Так, показатель "организация инновационной деятельности, обновление образовательных технологий" (Приказ Рособразования N 1776), которому соответствовали такие критерии эффективности, как организация и обеспечение инновационной деятельности (использование современных образовательных технологий, включая информационные, наличие информационной площадки, новых форм организации образовательного процесса, а также введение новых профессий), с изданием Приказа Минобрнауки N 1116 теперь называется "организация деятельности по обновлению образовательного процесса", критерием эффективности которого является использование современных образовательных технологий (включая информационные), наличие новых форм организации образовательного процесса.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В то же время в Приказе Минобрнауки N 1116 отсутствует показатель "уровень организации управления и контроля над подразделениями училища", которому соответствовали следующие критерии эффективности: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- наличие в плане работы на учебный год: разделов по организации управления и контроля над деятельностью бухгалтерской службы, службы по обеспечению безопасности училища, общежития и т.д.;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- наличие документов о разграничении функций между руководителями училища и контролю за их деятельностью;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- процент внебюджетных средств.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Кроме того, внесены изменения в критерии эффективности в отношении целевого показателя "уровень организации учебно-воспитательного процесса".</w:t>
      </w:r>
    </w:p>
    <w:p w:rsidR="00AE69D5" w:rsidRPr="00AE69D5" w:rsidRDefault="00AE69D5" w:rsidP="00AE69D5">
      <w:pPr>
        <w:spacing w:after="0" w:line="240" w:lineRule="auto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br w:type="textWrapping" w:clear="all"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716"/>
      </w:tblGrid>
      <w:tr w:rsidR="00AE69D5" w:rsidRPr="00C231CC">
        <w:trPr>
          <w:tblCellSpacing w:w="0" w:type="dxa"/>
        </w:trPr>
        <w:tc>
          <w:tcPr>
            <w:tcW w:w="13995" w:type="dxa"/>
            <w:gridSpan w:val="2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Критерии эффективности</w:t>
            </w:r>
          </w:p>
        </w:tc>
      </w:tr>
      <w:tr w:rsidR="00AE69D5" w:rsidRPr="00C231CC">
        <w:trPr>
          <w:tblCellSpacing w:w="0" w:type="dxa"/>
        </w:trPr>
        <w:tc>
          <w:tcPr>
            <w:tcW w:w="714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Приказ Минобрнауки N 1116</w:t>
            </w:r>
          </w:p>
        </w:tc>
        <w:tc>
          <w:tcPr>
            <w:tcW w:w="685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Приказ Рособразования N 1776</w:t>
            </w:r>
          </w:p>
        </w:tc>
      </w:tr>
      <w:tr w:rsidR="00AE69D5" w:rsidRPr="00C231CC">
        <w:trPr>
          <w:tblCellSpacing w:w="0" w:type="dxa"/>
        </w:trPr>
        <w:tc>
          <w:tcPr>
            <w:tcW w:w="714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а) полнота выполнения учебных планов и программ;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б) результаты государственной (итоговой) аттестации обучающихся;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в) процент охвата воспитанников дополнительным образованием;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г) процент охвата воспитанников психо-коррекционной работой;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д) наличие концепции или программы воспитательной работы;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е) процент охвата воспитанников кружковой и спортивно-массовой работой;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ж) наличие ученического самоуправления</w:t>
            </w:r>
          </w:p>
        </w:tc>
        <w:tc>
          <w:tcPr>
            <w:tcW w:w="685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а) выполнение контрольных цифр приема воспитанников;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б) полнота выполнения учебных планов и программ;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в) количество воспитанников, получивших повышенные и пониженные разряды, выбывших досрочно (в процентах к общему числу);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г) результаты итоговой государственной аттестации;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д) процент охвата воспитанников дополнительным образованием;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е) процент охвата воспитанников психокоррекционной работой;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ж) наличие концепции или программы воспитательной работы;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з) процент охвата воспитанников кружковой и спортивно-массовой работой;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и) наличие ученического самоуправления</w:t>
            </w:r>
          </w:p>
        </w:tc>
      </w:tr>
    </w:tbl>
    <w:p w:rsidR="00AE69D5" w:rsidRPr="00AE69D5" w:rsidRDefault="00AE69D5" w:rsidP="00AE69D5">
      <w:pPr>
        <w:spacing w:after="0" w:line="240" w:lineRule="auto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br w:type="textWrapping" w:clear="all"/>
      </w:r>
    </w:p>
    <w:p w:rsidR="00AE69D5" w:rsidRPr="00AE69D5" w:rsidRDefault="00AE69D5" w:rsidP="00AE69D5">
      <w:pPr>
        <w:spacing w:before="100" w:beforeAutospacing="1" w:after="100" w:afterAutospacing="1" w:line="240" w:lineRule="auto"/>
        <w:jc w:val="center"/>
        <w:outlineLvl w:val="0"/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</w:pPr>
      <w:r w:rsidRPr="00AE69D5">
        <w:rPr>
          <w:rFonts w:ascii="Arial" w:hAnsi="Arial" w:cs="Arial"/>
          <w:b/>
          <w:bCs/>
          <w:smallCaps/>
          <w:color w:val="FA4D01"/>
          <w:kern w:val="36"/>
          <w:sz w:val="34"/>
          <w:szCs w:val="34"/>
        </w:rPr>
        <w:t>Показатели и критерии эффективности работы учреждений среднего, высшего и дополнительного профессионального образования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Целевые показатели и критерии эффективности деятельности образовательных учреждений: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 xml:space="preserve">- среднего профессионального образования были утверждены </w:t>
      </w:r>
      <w:hyperlink r:id="rId6" w:history="1">
        <w:r w:rsidRPr="00AE69D5">
          <w:rPr>
            <w:rFonts w:ascii="Tahoma" w:hAnsi="Tahoma" w:cs="Tahoma"/>
            <w:color w:val="0000FF"/>
            <w:sz w:val="21"/>
          </w:rPr>
          <w:t>Приказом</w:t>
        </w:r>
      </w:hyperlink>
      <w:r w:rsidRPr="00AE69D5">
        <w:rPr>
          <w:rFonts w:ascii="Tahoma" w:hAnsi="Tahoma" w:cs="Tahoma"/>
          <w:color w:val="626262"/>
          <w:sz w:val="21"/>
          <w:szCs w:val="21"/>
        </w:rPr>
        <w:t xml:space="preserve"> Рособразования от 28.11.2008 N 1764;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- высшего профессионального образования - Приказом Рособразования от 28.11.2008 N 1770;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- дополнительного профессионального образования - Приказом Рособразования от 28.11.2008 N 1768.</w:t>
      </w:r>
    </w:p>
    <w:p w:rsidR="00AE69D5" w:rsidRPr="00AE69D5" w:rsidRDefault="00AE69D5" w:rsidP="00AE69D5">
      <w:pPr>
        <w:spacing w:before="100" w:beforeAutospacing="1" w:after="240" w:line="240" w:lineRule="auto"/>
        <w:ind w:firstLine="240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t>С изданием Приказа Минобрнауки N 1116 практически все целевые показатели и критерии эффективности деятельности этих учреждений изменились, поэтому приводить сравнительную характеристику нет смысла. Рассмотрим их новые показатели и критерии эффективности деятельности.</w:t>
      </w:r>
    </w:p>
    <w:p w:rsidR="00AE69D5" w:rsidRPr="00AE69D5" w:rsidRDefault="00AE69D5" w:rsidP="00AE69D5">
      <w:pPr>
        <w:spacing w:after="0" w:line="240" w:lineRule="auto"/>
        <w:rPr>
          <w:rFonts w:ascii="Tahoma" w:hAnsi="Tahoma" w:cs="Tahoma"/>
          <w:color w:val="626262"/>
          <w:sz w:val="21"/>
          <w:szCs w:val="21"/>
        </w:rPr>
      </w:pPr>
      <w:r w:rsidRPr="00AE69D5">
        <w:rPr>
          <w:rFonts w:ascii="Tahoma" w:hAnsi="Tahoma" w:cs="Tahoma"/>
          <w:color w:val="626262"/>
          <w:sz w:val="21"/>
          <w:szCs w:val="21"/>
        </w:rPr>
        <w:br w:type="textWrapping" w:clear="all"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6682"/>
      </w:tblGrid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Критерии эффективности</w:t>
            </w: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2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Образовательные учреждения среднего профессионального образования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Учебная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процент выполнения учреждением контрольных цифр приема обучающихся на очную форму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студентов, обучающихся по системе целевой контрактной подготовки, в общей численности студентов учреждения;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иностранных студентов, обучающихся по международным соглашениям (в том числе направленных на обучение государствами - участниками Содружества Независимых Государств и странами Балтии), в общей численности студентов учреждения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Социальная работа с обучающими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количество мест в предприятиях общественного питания, приходящихся на одного обучающегося по очной форме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студентов, нуждающихся в общежитии и обеспеченных местом в общежитии, к числу студентов, нуждающихся в общежитии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Педагогические кадры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преподавателей из числа штатных преподавателей (без учета внешних совместителей) с высшим образованием;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средний возраст основного (штатного) педагогического персонала учреждения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Финансовая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от приносящей доход деятельности, полученных учреждением за отчетный период, к сумме (за отчетный период) средств от приносящей доход деятельности и средств в рамках финансирования учредителем основной деятельности учреждения;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среднемесячной заработной платы педагогического персонала учреждения за отчетный период к среднемесячной заработной плате педагогического персонала учреждения за предыдущий отчетный период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Работа по содержанию и развитию имущественного комплекса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общего объема средств из всех источников, направленных на содержание имущества за отчетный период, к остаточной стоимости основных средств на начало отчетного периода;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общего объема средств из всех источников, направленных в отчетном периоде на увеличение стоимости основных средств, к остаточной стоимости основных средств на начало периода;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общей площади зданий учреждения, сданных в аренду</w:t>
            </w: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2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Образовательные учреждения высшего профессионального образования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Учебная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процент выполнения вузом контрольных цифр приема студентов на очную форму обучения;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студентов, обучающихся по программам магистратуры (приведенный контингент магистров), в приведенном контингенте студентов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студентов, обучающихся по программам бакалавриата (приведенный контингент бакалавров), в приведенном контингенте студентов вуза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Социальная работа с обучающими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процент обеспеченности студентов местами в общежитии;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количество мест в предприятиях общественного питания, приходящихся на одного студента очной формы обучения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Научная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изданных монографий, учебников, учебных пособий и статей к общей штатной численности основного персонала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работников вуза, защитивших докторскую диссертацию в отчетном году, к общей штатной численности основного персонала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работников вуза, защитивших кандидатскую диссертацию в отчетном году, к общей штатной численности основного персонала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на научные исследования и разработки, поступивших на лицевые счета вуза из всех источников (внебюджетные доходы и средства по смете финансирования учредителем основной деятельности вуза) за отчетный период, к общему объему доходов вуза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Научно-педагогические работники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штатных докторов наук и профессоров в общей штатной численности основного персонала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штатных кандидатов наук и доцентов в общей штатной численности основного персонала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выпуска аспирантов с защитой диссертации в установленный срок;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средний возраст основного (штатного) персонала вуза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Финансовая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от приносящей доход деятельности, полученных вузом за отчетный период, к сумме (за отчетный период) средств от приносящей доход деятельности и средств в рамках финансирования учредителем основной деятельности вуза;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среднемесячной заработной платы основного персонала вуза (штатные работники и штатные совместители без учета внутривузовских совместителей) за отчетный период к среднемесячной заработной плате основного персонала вуза (штатные работники и штатные совместители без учета внутривузовских совместителей) за предыдущий отчетный период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Работа по содержанию и развитию имущественного комплекса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общего объема средств из всех источников, направленных на содержание имущества за отчетный период, к остаточной стоимости основных средств на начало отчетного периода;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из всех источников, направленных в отчетном периоде на увеличение стоимости основных средств, к остаточной стоимости основных средств на начало периода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Активность участия в целевых и ведомственных программах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а) отношение числа заявок, поданных вузом по целевым программам, к числу штатных докторов наук и кандидатов наук в вузе всего, в том числе: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 Федеральной целевой программе "Научные и научно-педагогические кадры инновационной России" на 2009-2013 годы, утвержденной Постановлением Правительства РФ от 28.07.2008 N 568;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 Федеральной целевой программе "Развитие инфраструктуры наноиндустрии в Российской Федерации на 2008-2011 годы", утвержденной Постановлением Правительства РФ от 02.08.2007 N 498;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б) отношение числа заявок, победивших в конкурсах по целевым программам, к числу штатных докторов наук и кандидатов наук в вузе всего, в том числе: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 Федеральной целевой программе "Научные и научно-педагогические кадры инновационной России" на 2009-2013 годы, утвержденной Постановлением Правительства РФ N 568;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по Федеральной целевой программе "Развитие инфраструктуры наноиндустрии в Российской Федерации на 2008-2011 годы", утвержденной Постановлением Правительства РФ N 498</w:t>
            </w:r>
          </w:p>
        </w:tc>
      </w:tr>
      <w:tr w:rsidR="00AE69D5" w:rsidRPr="00C231CC">
        <w:trPr>
          <w:tblCellSpacing w:w="0" w:type="dxa"/>
        </w:trPr>
        <w:tc>
          <w:tcPr>
            <w:tcW w:w="13995" w:type="dxa"/>
            <w:gridSpan w:val="2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</w:pPr>
            <w:r w:rsidRPr="00AE69D5">
              <w:rPr>
                <w:rFonts w:ascii="Arial" w:hAnsi="Arial" w:cs="Arial"/>
                <w:b/>
                <w:bCs/>
                <w:smallCaps/>
                <w:color w:val="FA4D01"/>
                <w:kern w:val="36"/>
                <w:sz w:val="38"/>
                <w:szCs w:val="38"/>
              </w:rPr>
              <w:t>Образовательные учреждения дополнительного профессионального образования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Учебная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процент выполнения учреждением контрольных цифр приема слушателей на очную форму обучения; - доля слушателей, обучающихся не менее 72 часов, прошедших за отчетный период обучение по договорам с юридическими и физическими лицами, в общей численности слушателей, прошедших обучение за отчетный период;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слушателей, прошедших в отчетном периоде обучение по программе с объемом свыше 500 часов, в общем числе слушателей, прошедших обучение за отчетный период;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образовательных программ повышения квалификации общим объемом не менее 72 часов, реализуемым по модульному принципу;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доля слушателей с высшим профессиональным образованием в общем контингенте обученных по программам повышения квалификации и профессиональной переподготовки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Социальная работа с обучающими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число мест в общежитии, приходящихся на одного слушателя приведенного контингента;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количество мест в предприятиях общественного питания учреждения, приходящихся на одного слушателя очной формы обучения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Научная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изданных монографий, учебников, учебных пособий и статей к общей штатной численности профессорско-преподавательского состава;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штатных сотрудников, защитивших кандидатскую или докторскую диссертацию в отчетном году, к общей штатной численности профессорско-преподавательского состава;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средств, поступивших за отчетный период на лицевые счета по проектам федеральных целевых и ведомственных программ, к общему объему средств, поступивших на лицевые счета из всех источников, включая финансирование основной деятельности по смете учредителя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Научно-педагогические работники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количества штатных докторов наук и профессоров к общей штатной численности профессорско-преподавательского состава;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количества кандидатов наук и доцентов к общей штатной численности профессорско-преподавательского состава;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средний возраст основного (штатного) профессорско-преподавательского состава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Финансовая работа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от приносящей доход деятельности, полученных за отчетный период, к сумме (за отчетный период) средств от приносящей доход деятельности и средств в рамках финансирования учредителем основной деятельности учреждения;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среднемесячной заработной платы основного персонала вуза (штатные работники и штатные совместители без учета внутренних совместителей) за отчетный период к среднемесячной заработной плате основного персонала вуза (штатные работники и штатные совместители без учета внутренних совместителей) за предыдущий отчетный период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Работа по содержанию и развитию имущественного комплекса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общего объема средств из всех источников, направленных на содержание имущества за отчетный период, к остаточной стоимости основных средств на начало отчетного периода;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объема средств из всех источников, направленных в отчетном периоде на увеличение стоимости основных средств, к остаточной стоимости основных средств на начало периода</w:t>
            </w:r>
          </w:p>
        </w:tc>
      </w:tr>
      <w:tr w:rsidR="00AE69D5" w:rsidRPr="00C231CC">
        <w:trPr>
          <w:tblCellSpacing w:w="0" w:type="dxa"/>
        </w:trPr>
        <w:tc>
          <w:tcPr>
            <w:tcW w:w="3495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Активность участия в целевых и ведомственных программах</w:t>
            </w:r>
          </w:p>
        </w:tc>
        <w:tc>
          <w:tcPr>
            <w:tcW w:w="10500" w:type="dxa"/>
            <w:tcBorders>
              <w:top w:val="single" w:sz="6" w:space="0" w:color="BCBBBB"/>
              <w:left w:val="single" w:sz="6" w:space="0" w:color="BCBBBB"/>
              <w:bottom w:val="single" w:sz="6" w:space="0" w:color="BCBBBB"/>
              <w:right w:val="single" w:sz="6" w:space="0" w:color="BCBBBB"/>
            </w:tcBorders>
            <w:vAlign w:val="center"/>
            <w:hideMark/>
          </w:tcPr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заявок, поданных по целевым и ведомственным программам, к числу штатных докторов наук и кандидатов наук;</w:t>
            </w:r>
          </w:p>
          <w:p w:rsidR="00AE69D5" w:rsidRPr="00AE69D5" w:rsidRDefault="00AE69D5" w:rsidP="00AE69D5">
            <w:pPr>
              <w:spacing w:before="100" w:beforeAutospacing="1" w:after="240" w:line="240" w:lineRule="auto"/>
              <w:ind w:firstLine="240"/>
              <w:rPr>
                <w:rFonts w:ascii="Times New Roman" w:hAnsi="Times New Roman"/>
                <w:sz w:val="24"/>
                <w:szCs w:val="24"/>
              </w:rPr>
            </w:pPr>
            <w:r w:rsidRPr="00AE69D5">
              <w:rPr>
                <w:rFonts w:ascii="Times New Roman" w:hAnsi="Times New Roman"/>
                <w:sz w:val="24"/>
                <w:szCs w:val="24"/>
              </w:rPr>
              <w:t>- отношение числа заявок, победивших в конкурсах по целевым программам и ведомственным программам, к числу штатных докторов наук и кандидатов наук</w:t>
            </w:r>
          </w:p>
        </w:tc>
      </w:tr>
    </w:tbl>
    <w:p w:rsidR="00B0407B" w:rsidRDefault="00B0407B">
      <w:bookmarkStart w:id="0" w:name="_GoBack"/>
      <w:bookmarkEnd w:id="0"/>
    </w:p>
    <w:sectPr w:rsidR="00B0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9D5"/>
    <w:rsid w:val="00AE69D5"/>
    <w:rsid w:val="00B0407B"/>
    <w:rsid w:val="00C231CC"/>
    <w:rsid w:val="00D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6B28D-6B85-471B-A524-FFE91293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AE69D5"/>
    <w:pPr>
      <w:spacing w:before="100" w:beforeAutospacing="1" w:after="100" w:afterAutospacing="1" w:line="240" w:lineRule="auto"/>
      <w:jc w:val="center"/>
      <w:outlineLvl w:val="0"/>
    </w:pPr>
    <w:rPr>
      <w:rFonts w:ascii="Arial" w:hAnsi="Arial" w:cs="Arial"/>
      <w:b/>
      <w:bCs/>
      <w:smallCaps/>
      <w:color w:val="FA4D01"/>
      <w:kern w:val="36"/>
      <w:sz w:val="38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E69D5"/>
    <w:rPr>
      <w:rFonts w:ascii="Arial" w:eastAsia="Times New Roman" w:hAnsi="Arial" w:cs="Arial"/>
      <w:b/>
      <w:bCs/>
      <w:smallCaps/>
      <w:color w:val="FA4D01"/>
      <w:kern w:val="36"/>
      <w:sz w:val="38"/>
      <w:szCs w:val="38"/>
    </w:rPr>
  </w:style>
  <w:style w:type="character" w:styleId="a3">
    <w:name w:val="Hyperlink"/>
    <w:uiPriority w:val="99"/>
    <w:semiHidden/>
    <w:unhideWhenUsed/>
    <w:rsid w:val="00AE69D5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94571.0/" TargetMode="External"/><Relationship Id="rId5" Type="http://schemas.openxmlformats.org/officeDocument/2006/relationships/hyperlink" Target="http://giduv.com/articles/2011_tselevye_pokazateli" TargetMode="External"/><Relationship Id="rId4" Type="http://schemas.openxmlformats.org/officeDocument/2006/relationships/hyperlink" Target="http://giduv.com/articles/2011_tselevye_pokazatel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2951</Words>
  <Characters>16823</Characters>
  <Application>Microsoft Office Word</Application>
  <DocSecurity>0</DocSecurity>
  <Lines>140</Lines>
  <Paragraphs>39</Paragraphs>
  <ScaleCrop>false</ScaleCrop>
  <Company/>
  <LinksUpToDate>false</LinksUpToDate>
  <CharactersWithSpaces>19735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2</cp:revision>
  <dcterms:created xsi:type="dcterms:W3CDTF">2014-06-23T15:51:00Z</dcterms:created>
  <dcterms:modified xsi:type="dcterms:W3CDTF">2014-06-23T15:51:00Z</dcterms:modified>
</cp:coreProperties>
</file>