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139" w:rsidRDefault="00912139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817280">
        <w:rPr>
          <w:b/>
          <w:bCs/>
          <w:sz w:val="28"/>
          <w:szCs w:val="28"/>
        </w:rPr>
        <w:t>Московский банковский институт</w:t>
      </w: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Контрольная работа по дисциплине: Управление банковскими рисками</w:t>
      </w: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тему: «система управления процентным риском».</w:t>
      </w: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401E5" w:rsidRDefault="00817280" w:rsidP="00817280">
      <w:pPr>
        <w:autoSpaceDE w:val="0"/>
        <w:autoSpaceDN w:val="0"/>
        <w:adjustRightInd w:val="0"/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Выполнила студентка </w:t>
      </w: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группы ФКзд-611/2</w:t>
      </w: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Кудинова А.И.</w:t>
      </w:r>
    </w:p>
    <w:p w:rsidR="00817280" w:rsidRPr="00817280" w:rsidRDefault="00817280" w:rsidP="00817280">
      <w:pPr>
        <w:autoSpaceDE w:val="0"/>
        <w:autoSpaceDN w:val="0"/>
        <w:adjustRightInd w:val="0"/>
        <w:spacing w:line="360" w:lineRule="auto"/>
        <w:jc w:val="right"/>
        <w:rPr>
          <w:b/>
          <w:bCs/>
          <w:sz w:val="28"/>
          <w:szCs w:val="28"/>
        </w:rPr>
      </w:pPr>
    </w:p>
    <w:p w:rsidR="00817280" w:rsidRPr="00817280" w:rsidRDefault="00817280" w:rsidP="00817280">
      <w:pPr>
        <w:autoSpaceDE w:val="0"/>
        <w:autoSpaceDN w:val="0"/>
        <w:adjustRightInd w:val="0"/>
        <w:spacing w:line="360" w:lineRule="auto"/>
        <w:jc w:val="right"/>
        <w:rPr>
          <w:b/>
          <w:bCs/>
          <w:sz w:val="28"/>
          <w:szCs w:val="28"/>
        </w:rPr>
      </w:pP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Москва, 2010</w:t>
      </w: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</w:t>
      </w: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2556B" w:rsidRDefault="0012556B" w:rsidP="0012556B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12556B">
        <w:rPr>
          <w:b/>
          <w:bCs/>
          <w:sz w:val="28"/>
          <w:szCs w:val="28"/>
        </w:rPr>
        <w:t xml:space="preserve"> </w:t>
      </w:r>
      <w:r w:rsidR="001401E5">
        <w:rPr>
          <w:b/>
          <w:bCs/>
          <w:sz w:val="28"/>
          <w:szCs w:val="28"/>
        </w:rPr>
        <w:t>Понятие, виды и факторы процентного риска</w:t>
      </w:r>
      <w:r>
        <w:rPr>
          <w:b/>
          <w:bCs/>
          <w:sz w:val="28"/>
          <w:szCs w:val="28"/>
        </w:rPr>
        <w:t>.</w:t>
      </w:r>
      <w:r w:rsidR="001401E5">
        <w:rPr>
          <w:b/>
          <w:bCs/>
          <w:sz w:val="28"/>
          <w:szCs w:val="28"/>
        </w:rPr>
        <w:t>_____________</w:t>
      </w:r>
      <w:r>
        <w:rPr>
          <w:b/>
          <w:bCs/>
          <w:sz w:val="28"/>
          <w:szCs w:val="28"/>
        </w:rPr>
        <w:t>___________3</w:t>
      </w:r>
    </w:p>
    <w:p w:rsidR="001401E5" w:rsidRDefault="0012556B" w:rsidP="0012556B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Pr="0012556B">
        <w:rPr>
          <w:b/>
          <w:bCs/>
          <w:sz w:val="28"/>
          <w:szCs w:val="28"/>
        </w:rPr>
        <w:t xml:space="preserve"> </w:t>
      </w:r>
      <w:r w:rsidR="001401E5">
        <w:rPr>
          <w:b/>
          <w:bCs/>
          <w:sz w:val="28"/>
          <w:szCs w:val="28"/>
        </w:rPr>
        <w:t>Система управления процентным риском в коммерческом банке</w:t>
      </w:r>
      <w:r>
        <w:rPr>
          <w:b/>
          <w:bCs/>
          <w:sz w:val="28"/>
          <w:szCs w:val="28"/>
        </w:rPr>
        <w:t>.</w:t>
      </w:r>
      <w:r w:rsidR="001401E5">
        <w:rPr>
          <w:b/>
          <w:bCs/>
          <w:sz w:val="28"/>
          <w:szCs w:val="28"/>
        </w:rPr>
        <w:t>_______7</w:t>
      </w:r>
    </w:p>
    <w:p w:rsidR="0012556B" w:rsidRPr="00AD4FAD" w:rsidRDefault="0012556B" w:rsidP="0012556B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литературы___________________________________________________10</w:t>
      </w:r>
    </w:p>
    <w:p w:rsidR="0012556B" w:rsidRDefault="0012556B" w:rsidP="0012556B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Default="00817280" w:rsidP="0081728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17280" w:rsidRPr="009F3218" w:rsidRDefault="00817280" w:rsidP="009F321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  <w:lang w:val="en-US"/>
        </w:rPr>
      </w:pPr>
    </w:p>
    <w:p w:rsidR="00817280" w:rsidRPr="00817280" w:rsidRDefault="00817280" w:rsidP="00E40E6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AD4FAD" w:rsidRPr="0012556B" w:rsidRDefault="00F52140" w:rsidP="0012556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E40E6E">
        <w:rPr>
          <w:b/>
          <w:bCs/>
          <w:sz w:val="28"/>
          <w:szCs w:val="28"/>
        </w:rPr>
        <w:t>ПОНЯТИЕ, ВИДЫ И ФАКТОРЫ ПРОЦЕНТНОГО РИСКА</w:t>
      </w:r>
      <w:r w:rsidR="0012556B">
        <w:rPr>
          <w:b/>
          <w:bCs/>
          <w:sz w:val="28"/>
          <w:szCs w:val="28"/>
        </w:rPr>
        <w:t>.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Процентный риск относится к тем видам риска, которых банк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не может избежать в своей деятельности. Более того, ответственность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за измерение, анализ и управление им полностью лежит на менеджменте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кредитной организации. Органы надзора ограничиваются, в основном,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оценкой эффективности созданной в коммерческом банке системы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управления рисками.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В основополагающих принципах банковского надзора (сформулированных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в материалах Базельского комитета) процентный риск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определяется как риск потенциальной подверженности финансового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положения банка воздействию неблагоприятного изменения процентных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ставок.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Для уточнения сущности процентного риска приведем классификацию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по его видам. По источникам возникновения процентный риск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 xml:space="preserve">можно классифицировать следующим образом (рис. </w:t>
      </w:r>
      <w:r w:rsidR="008C0C7F">
        <w:rPr>
          <w:sz w:val="28"/>
          <w:szCs w:val="28"/>
        </w:rPr>
        <w:t>1</w:t>
      </w:r>
      <w:r w:rsidRPr="00E40E6E">
        <w:rPr>
          <w:sz w:val="28"/>
          <w:szCs w:val="28"/>
        </w:rPr>
        <w:t>.1):</w:t>
      </w:r>
    </w:p>
    <w:p w:rsidR="008C0C7F" w:rsidRDefault="0046399E" w:rsidP="00E40E6E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75pt;height:257.25pt">
            <v:imagedata r:id="rId7" o:title=""/>
          </v:shape>
        </w:pict>
      </w:r>
    </w:p>
    <w:p w:rsidR="00F52140" w:rsidRPr="00E40E6E" w:rsidRDefault="00F52140" w:rsidP="008C0C7F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E40E6E">
        <w:rPr>
          <w:sz w:val="28"/>
          <w:szCs w:val="28"/>
        </w:rPr>
        <w:t xml:space="preserve">Рис. </w:t>
      </w:r>
      <w:r w:rsidR="008C0C7F">
        <w:rPr>
          <w:sz w:val="28"/>
          <w:szCs w:val="28"/>
        </w:rPr>
        <w:t>1</w:t>
      </w:r>
      <w:r w:rsidRPr="00E40E6E">
        <w:rPr>
          <w:sz w:val="28"/>
          <w:szCs w:val="28"/>
        </w:rPr>
        <w:t>.1. Классификация процентного риска</w:t>
      </w:r>
    </w:p>
    <w:p w:rsidR="00F52140" w:rsidRPr="00E40E6E" w:rsidRDefault="00F52140" w:rsidP="008C0C7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i/>
          <w:iCs/>
          <w:sz w:val="28"/>
          <w:szCs w:val="28"/>
        </w:rPr>
        <w:t xml:space="preserve">Риск изменения цены активов и пассивов </w:t>
      </w:r>
      <w:r w:rsidRPr="00E40E6E">
        <w:rPr>
          <w:sz w:val="28"/>
          <w:szCs w:val="28"/>
        </w:rPr>
        <w:t>возникает из-за несбалансированности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суммы активов и пассивов с плавающей процентной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ставкой, а также из-за временного разрыва сроков погашения активов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и пассивов с фиксированной процентной ставкой.</w:t>
      </w:r>
    </w:p>
    <w:p w:rsidR="00F52140" w:rsidRPr="00E40E6E" w:rsidRDefault="00F52140" w:rsidP="008C0C7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i/>
          <w:iCs/>
          <w:sz w:val="28"/>
          <w:szCs w:val="28"/>
        </w:rPr>
        <w:t xml:space="preserve">Риск изменения кривой доходности </w:t>
      </w:r>
      <w:r w:rsidRPr="00E40E6E">
        <w:rPr>
          <w:sz w:val="28"/>
          <w:szCs w:val="28"/>
        </w:rPr>
        <w:t>связан с несовпадением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по времени динамики процентных ставок по активам и пассивам, что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приводит к изменению конфигурации и формы кривой графика, отражающего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равномерность получения чистого процентного дохода.</w:t>
      </w:r>
    </w:p>
    <w:p w:rsidR="00F52140" w:rsidRPr="00E40E6E" w:rsidRDefault="00F52140" w:rsidP="008C0C7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i/>
          <w:iCs/>
          <w:sz w:val="28"/>
          <w:szCs w:val="28"/>
        </w:rPr>
        <w:t xml:space="preserve">Базисный риск </w:t>
      </w:r>
      <w:r w:rsidRPr="00E40E6E">
        <w:rPr>
          <w:sz w:val="28"/>
          <w:szCs w:val="28"/>
        </w:rPr>
        <w:t>возникает в результате: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привлечения банком ресурсов по одной ставке, а размещения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их по другой, например, размещение средств по плавающей процентной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ставке, а привлечение по фиксированной. Чистый процентный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доход банка подвержен изменениям вследствие колебаний процентных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ставок на рынке. При базовом риске эти колебания зависят от условий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установления процентных ставок;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некорректного учета реальной стоимости ресурсов, в частности,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затрат, связанных с формированием фонда обязательных резервов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в Банке России, страховых премий в Фонд страхования вкладов и т.д.;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привлечения и размещения средств в разных валютах.</w:t>
      </w:r>
    </w:p>
    <w:p w:rsidR="00DB0F89" w:rsidRPr="00817280" w:rsidRDefault="00F52140" w:rsidP="0081728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i/>
          <w:iCs/>
          <w:sz w:val="28"/>
          <w:szCs w:val="28"/>
        </w:rPr>
        <w:t xml:space="preserve">Опционные риски </w:t>
      </w:r>
      <w:r w:rsidRPr="00E40E6E">
        <w:rPr>
          <w:sz w:val="28"/>
          <w:szCs w:val="28"/>
        </w:rPr>
        <w:t>связаны как с использованием непосредственно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процентных опционов, так и с осуществлением сделок, контрагенты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по которым имеют выбор (опционное условие) даты погашения своих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обязательств или требования</w:t>
      </w:r>
      <w:r w:rsidR="007C355E" w:rsidRPr="00E40E6E">
        <w:rPr>
          <w:sz w:val="28"/>
          <w:szCs w:val="28"/>
        </w:rPr>
        <w:t xml:space="preserve"> выплат по обязательствам банка.</w:t>
      </w:r>
      <w:r w:rsidRPr="00E40E6E">
        <w:rPr>
          <w:sz w:val="28"/>
          <w:szCs w:val="28"/>
        </w:rPr>
        <w:t xml:space="preserve"> Сюда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входят различные виды облигаций и векселей с условиями опциона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«пут» или «кол», кредиты, дающие заемщику право досрочного погашения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остатка задолженности, и различные депозитные инструменты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без указания сроков погашения, которые дают вкладчикам право отзыва</w:t>
      </w:r>
      <w:r w:rsidR="007C355E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средств в любое время.</w:t>
      </w:r>
    </w:p>
    <w:p w:rsidR="008C0C7F" w:rsidRPr="008C0C7F" w:rsidRDefault="00F52140" w:rsidP="008C0C7F">
      <w:pPr>
        <w:autoSpaceDE w:val="0"/>
        <w:autoSpaceDN w:val="0"/>
        <w:adjustRightInd w:val="0"/>
        <w:spacing w:line="360" w:lineRule="auto"/>
        <w:jc w:val="center"/>
        <w:rPr>
          <w:i/>
          <w:iCs/>
          <w:sz w:val="28"/>
          <w:szCs w:val="28"/>
        </w:rPr>
      </w:pPr>
      <w:r w:rsidRPr="008C0C7F">
        <w:rPr>
          <w:i/>
          <w:iCs/>
          <w:sz w:val="28"/>
          <w:szCs w:val="28"/>
        </w:rPr>
        <w:t>Факторы процентного риска.</w:t>
      </w:r>
    </w:p>
    <w:p w:rsidR="00F52140" w:rsidRPr="00E40E6E" w:rsidRDefault="00F52140" w:rsidP="008C0C7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Сущность процентного риска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позволяет выделить факторы, влияющие на его уровень.</w:t>
      </w:r>
    </w:p>
    <w:p w:rsidR="00F52140" w:rsidRPr="00E40E6E" w:rsidRDefault="00F52140" w:rsidP="008C0C7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Факторы процентного риска можно подразделить на внутренние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и внешние. В российской экономике в отличие от развитых стран уровень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риска усиливают в основном внешние факторы. К ним относятся: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нестабильность рыночной конъюнктуры в части процентного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риска;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правовое регулирование процентного риска;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политические условия;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экономическая обстановка в стране;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конкуренция на рынке банковских услуг;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взаимоотношения с партнерами и клиентами;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международные события.</w:t>
      </w:r>
    </w:p>
    <w:p w:rsidR="00F52140" w:rsidRPr="00E40E6E" w:rsidRDefault="00F52140" w:rsidP="008C0C7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К внутренним факторам процентного риска можно отнести: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отсутствие четкой стратегии банка в области управления процентным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риском;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просчеты в управлении банковскими операциями, приводящие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к созданию рисковых позиций (возникновение несбалансированности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структуры и сроков погашения активов и пассивов, неверные прогнозы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изменения кривой доходности и т.п.);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отсутствие разработанной программы хеджирования процентных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рисков;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недостатки планирования и прогнозирования развития банка;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ошибки персонала при осуществлении операций.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Основной проблемой на практике является своевременное отслеживание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факторов процентного риска, при этом данный процесс должен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быть непрерывным. В соответствии с выявленными причинами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возникновения повышенного процентного риска необходимо корректировать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систему управления риском и банком.</w:t>
      </w:r>
    </w:p>
    <w:p w:rsidR="00F52140" w:rsidRPr="00E40E6E" w:rsidRDefault="00F52140" w:rsidP="008C0C7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Поскольку все перечисленные выше факторы оказывают влияние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на процентную маржу кредитной организации, постольку можно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выделить наиболее значимые, влияющие на этот показатель. К их числу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следует отнести: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изменение в уровне процентных ставок на рынке;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изменение спрэда между ставкой размещения и привлечения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средств;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изменение в объеме операций, совершаемых банком;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изменение в структуре портфеля активов и пассивов, чувствительных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и нечувствительных к процентному риску.</w:t>
      </w:r>
    </w:p>
    <w:p w:rsidR="00F52140" w:rsidRPr="00E40E6E" w:rsidRDefault="00F52140" w:rsidP="008C0C7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Многие из вышеперечисленных факторов не могут контролироваться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менеджментом полностью, поскольку они генерируются рыночной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конъюнктурой. В частности, спрэд не поддается тотальному контролю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со стороны менеджмента. Более того, при принятии решений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о размещении привлеченных средств обычно опираются на их средневзвешенную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стоимость, к ней добавляют надбавку, и таким образом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устанавливается ставка размещения. Менеджмент уверен, что контролирует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спрэд, однако изменение рыночной конъюнктуры вносит свои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коррективы. При различной срочности активов и пассивов, например,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краткосрочных ресурсах и относительно долгосрочных активах,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и выпуклой кривой доходности спрэд будет сужаться, поскольку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ресурсная база более краткосрочна. И наоборот: при вогнутой кривой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доходности спрэд будет расширяться, у менеджмента же будет складываться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представление, что спрэд находится под жестким контролем.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Весьма важным фактором, воздействующим на процентную маржу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является структура портфеля. Соотношение между активами и чувствительными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к процентному риску обязательствами, в том числе их структур,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может повлиять или же напротив, никак не отразиться на процентной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марже. Все это требует создания и выбора метода управления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процентным риском, построения соответствующей системы управления.</w:t>
      </w:r>
    </w:p>
    <w:p w:rsidR="00DB0F89" w:rsidRPr="00E40E6E" w:rsidRDefault="00DB0F89" w:rsidP="00E40E6E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DB0F89" w:rsidRDefault="00DB0F89" w:rsidP="00E40E6E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8C0C7F" w:rsidRDefault="008C0C7F" w:rsidP="00E40E6E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8C0C7F" w:rsidRPr="009F3218" w:rsidRDefault="008C0C7F" w:rsidP="00E40E6E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val="en-US"/>
        </w:rPr>
      </w:pPr>
    </w:p>
    <w:p w:rsidR="00AD4FAD" w:rsidRPr="00AD4FAD" w:rsidRDefault="008C0C7F" w:rsidP="00AD4FA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СИСТЕМА</w:t>
      </w:r>
      <w:r w:rsidR="00F52140" w:rsidRPr="00E40E6E">
        <w:rPr>
          <w:b/>
          <w:bCs/>
          <w:sz w:val="28"/>
          <w:szCs w:val="28"/>
        </w:rPr>
        <w:t xml:space="preserve"> УПРАВЛЕНИЯ</w:t>
      </w:r>
      <w:r w:rsidR="00DB0F89" w:rsidRPr="00E40E6E">
        <w:rPr>
          <w:b/>
          <w:bCs/>
          <w:sz w:val="28"/>
          <w:szCs w:val="28"/>
        </w:rPr>
        <w:t xml:space="preserve"> </w:t>
      </w:r>
      <w:r w:rsidR="00F52140" w:rsidRPr="00E40E6E">
        <w:rPr>
          <w:b/>
          <w:bCs/>
          <w:sz w:val="28"/>
          <w:szCs w:val="28"/>
        </w:rPr>
        <w:t>ПРОЦЕНТНЫМ РИСКОМ</w:t>
      </w:r>
      <w:r w:rsidR="0012556B">
        <w:rPr>
          <w:b/>
          <w:bCs/>
          <w:sz w:val="28"/>
          <w:szCs w:val="28"/>
        </w:rPr>
        <w:t>.</w:t>
      </w:r>
    </w:p>
    <w:p w:rsidR="00AD4FAD" w:rsidRPr="00553AF1" w:rsidRDefault="00AD4FAD" w:rsidP="00AD4FA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53AF1">
        <w:rPr>
          <w:color w:val="000000"/>
          <w:sz w:val="28"/>
          <w:szCs w:val="28"/>
        </w:rPr>
        <w:t>Кризисные явления в денежно-кредитной системе и системе управления рисками внутри каждого банка</w:t>
      </w:r>
      <w:r>
        <w:rPr>
          <w:color w:val="000000"/>
          <w:sz w:val="28"/>
          <w:szCs w:val="28"/>
        </w:rPr>
        <w:t xml:space="preserve"> </w:t>
      </w:r>
      <w:r w:rsidRPr="00553AF1">
        <w:rPr>
          <w:color w:val="000000"/>
          <w:sz w:val="28"/>
          <w:szCs w:val="28"/>
        </w:rPr>
        <w:t>ставят их перед необходимостью искать эффективные методы и инструменты управления рисками. Особую</w:t>
      </w:r>
      <w:r>
        <w:rPr>
          <w:color w:val="000000"/>
          <w:sz w:val="28"/>
          <w:szCs w:val="28"/>
        </w:rPr>
        <w:t xml:space="preserve"> </w:t>
      </w:r>
      <w:r w:rsidRPr="00553AF1">
        <w:rPr>
          <w:color w:val="000000"/>
          <w:sz w:val="28"/>
          <w:szCs w:val="28"/>
        </w:rPr>
        <w:t>актуальность эта проблема приобретает в настоящее время, так как главным событием мировой экономики в</w:t>
      </w:r>
      <w:r>
        <w:rPr>
          <w:color w:val="000000"/>
          <w:sz w:val="28"/>
          <w:szCs w:val="28"/>
        </w:rPr>
        <w:t xml:space="preserve"> </w:t>
      </w:r>
      <w:r w:rsidRPr="00553AF1">
        <w:rPr>
          <w:color w:val="000000"/>
          <w:sz w:val="28"/>
          <w:szCs w:val="28"/>
        </w:rPr>
        <w:t>2008 году стал кризис ипотеки в США. Искусственное стимулирование американской экономики обернулось</w:t>
      </w:r>
      <w:r>
        <w:rPr>
          <w:color w:val="000000"/>
          <w:sz w:val="28"/>
          <w:szCs w:val="28"/>
        </w:rPr>
        <w:t xml:space="preserve"> </w:t>
      </w:r>
      <w:r w:rsidRPr="00553AF1">
        <w:rPr>
          <w:color w:val="000000"/>
          <w:sz w:val="28"/>
          <w:szCs w:val="28"/>
        </w:rPr>
        <w:t>цепочками убытков и банкротств финансовых структур по всему миру. Для России мировой кредитный кризис</w:t>
      </w:r>
      <w:r>
        <w:rPr>
          <w:color w:val="000000"/>
          <w:sz w:val="28"/>
          <w:szCs w:val="28"/>
        </w:rPr>
        <w:t xml:space="preserve"> </w:t>
      </w:r>
      <w:r w:rsidRPr="00553AF1">
        <w:rPr>
          <w:color w:val="000000"/>
          <w:sz w:val="28"/>
          <w:szCs w:val="28"/>
        </w:rPr>
        <w:t>обернулся, повышением процентных ставок по кредитам. Поэтому кредитные</w:t>
      </w:r>
      <w:r>
        <w:rPr>
          <w:color w:val="000000"/>
          <w:sz w:val="28"/>
          <w:szCs w:val="28"/>
        </w:rPr>
        <w:t xml:space="preserve"> организации стали перед необхо</w:t>
      </w:r>
      <w:r w:rsidRPr="00553AF1">
        <w:rPr>
          <w:color w:val="000000"/>
          <w:sz w:val="28"/>
          <w:szCs w:val="28"/>
        </w:rPr>
        <w:t>димостью разработки эффективной системы управления процентным риском.</w:t>
      </w:r>
      <w:r>
        <w:rPr>
          <w:color w:val="000000"/>
          <w:sz w:val="28"/>
          <w:szCs w:val="28"/>
        </w:rPr>
        <w:t xml:space="preserve"> Она позволяет ограничивать ука</w:t>
      </w:r>
      <w:r w:rsidRPr="00553AF1">
        <w:rPr>
          <w:color w:val="000000"/>
          <w:sz w:val="28"/>
          <w:szCs w:val="28"/>
        </w:rPr>
        <w:t xml:space="preserve">занный вид риска приемлемым уровнем, не угрожающим финансовой </w:t>
      </w:r>
      <w:r>
        <w:rPr>
          <w:color w:val="000000"/>
          <w:sz w:val="28"/>
          <w:szCs w:val="28"/>
        </w:rPr>
        <w:t>устойчивости кредитной организа</w:t>
      </w:r>
      <w:r w:rsidRPr="00553AF1">
        <w:rPr>
          <w:color w:val="000000"/>
          <w:sz w:val="28"/>
          <w:szCs w:val="28"/>
        </w:rPr>
        <w:t>ции и интересам ее кредиторов и вкладчиков, и тем самым способствует с</w:t>
      </w:r>
      <w:r>
        <w:rPr>
          <w:color w:val="000000"/>
          <w:sz w:val="28"/>
          <w:szCs w:val="28"/>
        </w:rPr>
        <w:t>табильности и надежности кредит</w:t>
      </w:r>
      <w:r w:rsidRPr="00553AF1">
        <w:rPr>
          <w:color w:val="000000"/>
          <w:sz w:val="28"/>
          <w:szCs w:val="28"/>
        </w:rPr>
        <w:t xml:space="preserve">ной организации. </w:t>
      </w:r>
    </w:p>
    <w:p w:rsidR="00AD4FAD" w:rsidRPr="00553AF1" w:rsidRDefault="00AD4FAD" w:rsidP="00AD4FA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53AF1">
        <w:rPr>
          <w:color w:val="000000"/>
          <w:sz w:val="28"/>
          <w:szCs w:val="28"/>
        </w:rPr>
        <w:t>Процентный риск относится к тем видам риска, которых банк не может избежать в своей деятельности.</w:t>
      </w:r>
    </w:p>
    <w:p w:rsidR="00AD4FAD" w:rsidRPr="00AD4FAD" w:rsidRDefault="00AD4FAD" w:rsidP="00AD4FA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53AF1">
        <w:rPr>
          <w:color w:val="000000"/>
          <w:sz w:val="28"/>
          <w:szCs w:val="28"/>
        </w:rPr>
        <w:t>Более того, ответственность за измерение, анализ и управление им полнос</w:t>
      </w:r>
      <w:r>
        <w:rPr>
          <w:color w:val="000000"/>
          <w:sz w:val="28"/>
          <w:szCs w:val="28"/>
        </w:rPr>
        <w:t>тью лежит на менеджменте кредит</w:t>
      </w:r>
      <w:r w:rsidRPr="00553AF1">
        <w:rPr>
          <w:color w:val="000000"/>
          <w:sz w:val="28"/>
          <w:szCs w:val="28"/>
        </w:rPr>
        <w:t>ной организации. Влияние изменения процентных ставок на прибыльность кредитной организации происходит</w:t>
      </w:r>
      <w:r>
        <w:rPr>
          <w:color w:val="000000"/>
          <w:sz w:val="28"/>
          <w:szCs w:val="28"/>
        </w:rPr>
        <w:t xml:space="preserve"> </w:t>
      </w:r>
      <w:r w:rsidRPr="00553AF1">
        <w:rPr>
          <w:color w:val="000000"/>
          <w:sz w:val="28"/>
          <w:szCs w:val="28"/>
        </w:rPr>
        <w:t>в результате изменения чистого процентного дохода, а также величины п</w:t>
      </w:r>
      <w:r>
        <w:rPr>
          <w:color w:val="000000"/>
          <w:sz w:val="28"/>
          <w:szCs w:val="28"/>
        </w:rPr>
        <w:t>рочих доходов, зависящих от про</w:t>
      </w:r>
      <w:r w:rsidRPr="00553AF1">
        <w:rPr>
          <w:color w:val="000000"/>
          <w:sz w:val="28"/>
          <w:szCs w:val="28"/>
        </w:rPr>
        <w:t>центной ставки, и операционных расходов. Изменение процентных ставок также влияет на текущую стоимость</w:t>
      </w:r>
      <w:r>
        <w:rPr>
          <w:color w:val="000000"/>
          <w:sz w:val="28"/>
          <w:szCs w:val="28"/>
        </w:rPr>
        <w:t xml:space="preserve"> </w:t>
      </w:r>
      <w:r w:rsidRPr="00553AF1">
        <w:rPr>
          <w:color w:val="000000"/>
          <w:sz w:val="28"/>
          <w:szCs w:val="28"/>
        </w:rPr>
        <w:t>активов, обязательств и внебалансовых позиций кредитной организации, п</w:t>
      </w:r>
      <w:r>
        <w:rPr>
          <w:color w:val="000000"/>
          <w:sz w:val="28"/>
          <w:szCs w:val="28"/>
        </w:rPr>
        <w:t>оскольку текущая стоимость буду</w:t>
      </w:r>
      <w:r w:rsidRPr="00553AF1">
        <w:rPr>
          <w:color w:val="000000"/>
          <w:sz w:val="28"/>
          <w:szCs w:val="28"/>
        </w:rPr>
        <w:t xml:space="preserve">щих денежных потоков зависит от изменения процентных ставок. 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Система управления процентным риском представляет собой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совокупность блоков элементов, к которым относятся: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субъекты управления, идентификация процентного риска;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анализ и оценка процентного риска;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• способы регулирования и мониторинга риска; контроль системы,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конечной целью функционирования которой является минимизация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процентного риска, возникающего в процессе деятельности банка.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Задача управления процентным риском заключается в нахождении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оптимального соотношения между прибыльностью и риском при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условии соблюдения ликвидности.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Для построения эффективной системы управления процентным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риском необходимо решить следующие более конкретные задачи: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1) сформулировать на концептуальном уровне видение, стратегию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и задачи управления процентными рисками банка и уточнить их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на предмет взаимосвязи и внутренней логики;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2) установить принципы определения, оценки и диагностики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риска в качестве основы при постановке приоритетных стратегий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и задач и обеспечить сбалансированную защиту интересов всех лиц,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имеющих отношение к банку;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3) использовать данные принципы в качестве базы для создания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важнейших процедур управленческого контроля, в том числе при создании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схемы организационной структуры, подготовке документов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о делегировании полномочий, а также технических заданий;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4) определить процедуры обеспечения ответственности, самооценки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и оценки результатов деятельности в соответствии с принципами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управления риском и системы контроля, использовать данные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процедуры в качестве факторов совершенствования процесса управления;</w:t>
      </w:r>
    </w:p>
    <w:p w:rsidR="00F52140" w:rsidRPr="00E40E6E" w:rsidRDefault="00F52140" w:rsidP="00E40E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5) разработать механизм мониторинга и обратной связи в целях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обеспечения высокого качества процедур оценки и проверки их соблюдения,</w:t>
      </w:r>
      <w:r w:rsidR="00DB0F89" w:rsidRPr="00E40E6E">
        <w:rPr>
          <w:sz w:val="28"/>
          <w:szCs w:val="28"/>
        </w:rPr>
        <w:t xml:space="preserve"> </w:t>
      </w:r>
      <w:r w:rsidRPr="00E40E6E">
        <w:rPr>
          <w:sz w:val="28"/>
          <w:szCs w:val="28"/>
        </w:rPr>
        <w:t>ориентируясь на вышеупомянутые принципы и процедуры.</w:t>
      </w:r>
    </w:p>
    <w:p w:rsidR="00DB0F89" w:rsidRPr="00E40E6E" w:rsidRDefault="00DB0F89" w:rsidP="008C0C7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Система управления процентным риском состоит из ряда подсистем:</w:t>
      </w:r>
    </w:p>
    <w:p w:rsidR="00DB0F89" w:rsidRPr="00E40E6E" w:rsidRDefault="00DB0F89" w:rsidP="00E40E6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■ стратегическое управление (уровень определения принципов управления, в рамках которых вырабатываются инструкции и порядки);</w:t>
      </w:r>
    </w:p>
    <w:p w:rsidR="00DB0F89" w:rsidRPr="00E40E6E" w:rsidRDefault="00DB0F89" w:rsidP="00E40E6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■ аналитическая подсистема (процесс принятия решений по уп</w:t>
      </w:r>
      <w:r w:rsidRPr="00E40E6E">
        <w:rPr>
          <w:sz w:val="28"/>
          <w:szCs w:val="28"/>
        </w:rPr>
        <w:softHyphen/>
        <w:t>равлению процентным риском);</w:t>
      </w:r>
    </w:p>
    <w:p w:rsidR="00553AF1" w:rsidRDefault="00DB0F89" w:rsidP="00AD4F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0E6E">
        <w:rPr>
          <w:sz w:val="28"/>
          <w:szCs w:val="28"/>
        </w:rPr>
        <w:t>■ исполнительная подсистема (сбор информации, непосред</w:t>
      </w:r>
      <w:r w:rsidRPr="00E40E6E">
        <w:rPr>
          <w:sz w:val="28"/>
          <w:szCs w:val="28"/>
        </w:rPr>
        <w:softHyphen/>
        <w:t>ственное осуществление операций в целях выполнения решений о мерах по управлению процентным риском).</w:t>
      </w:r>
    </w:p>
    <w:p w:rsidR="00AD4FAD" w:rsidRPr="00553AF1" w:rsidRDefault="00AD4FAD" w:rsidP="00AD4FA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53AF1">
        <w:rPr>
          <w:color w:val="000000"/>
          <w:sz w:val="28"/>
          <w:szCs w:val="28"/>
        </w:rPr>
        <w:t>Процесс построения системы управления процентным риском для банка должен реализоваться путем</w:t>
      </w:r>
      <w:r>
        <w:rPr>
          <w:color w:val="000000"/>
          <w:sz w:val="28"/>
          <w:szCs w:val="28"/>
        </w:rPr>
        <w:t xml:space="preserve"> </w:t>
      </w:r>
      <w:r w:rsidRPr="00553AF1">
        <w:rPr>
          <w:color w:val="000000"/>
          <w:sz w:val="28"/>
          <w:szCs w:val="28"/>
        </w:rPr>
        <w:t>приема следующих методов управления процентным риском:</w:t>
      </w:r>
    </w:p>
    <w:p w:rsidR="00AD4FAD" w:rsidRPr="00553AF1" w:rsidRDefault="00AD4FAD" w:rsidP="00AD4FA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53AF1">
        <w:rPr>
          <w:color w:val="000000"/>
          <w:sz w:val="28"/>
          <w:szCs w:val="28"/>
        </w:rPr>
        <w:t>- метод длительности;</w:t>
      </w:r>
    </w:p>
    <w:p w:rsidR="00AD4FAD" w:rsidRPr="00553AF1" w:rsidRDefault="00AD4FAD" w:rsidP="00AD4FA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53AF1">
        <w:rPr>
          <w:color w:val="000000"/>
          <w:sz w:val="28"/>
          <w:szCs w:val="28"/>
        </w:rPr>
        <w:t>- нейтрализация требований и обязательств;</w:t>
      </w:r>
    </w:p>
    <w:p w:rsidR="00AD4FAD" w:rsidRPr="00553AF1" w:rsidRDefault="00AD4FAD" w:rsidP="00AD4FA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53AF1">
        <w:rPr>
          <w:color w:val="000000"/>
          <w:sz w:val="28"/>
          <w:szCs w:val="28"/>
        </w:rPr>
        <w:t>- хеджирование процентного риска;</w:t>
      </w:r>
    </w:p>
    <w:p w:rsidR="00AD4FAD" w:rsidRPr="00553AF1" w:rsidRDefault="00AD4FAD" w:rsidP="00AD4FA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53AF1">
        <w:rPr>
          <w:color w:val="000000"/>
          <w:sz w:val="28"/>
          <w:szCs w:val="28"/>
        </w:rPr>
        <w:t>- метод эффективной границы.</w:t>
      </w:r>
    </w:p>
    <w:p w:rsidR="00AD4FAD" w:rsidRPr="00553AF1" w:rsidRDefault="00AD4FAD" w:rsidP="00AD4FA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53AF1">
        <w:rPr>
          <w:color w:val="000000"/>
          <w:sz w:val="28"/>
          <w:szCs w:val="28"/>
        </w:rPr>
        <w:t>Наиболее известными комплексными методами являются:</w:t>
      </w:r>
    </w:p>
    <w:p w:rsidR="00AD4FAD" w:rsidRPr="00553AF1" w:rsidRDefault="00AD4FAD" w:rsidP="00AD4FA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53AF1">
        <w:rPr>
          <w:color w:val="000000"/>
          <w:sz w:val="28"/>
          <w:szCs w:val="28"/>
        </w:rPr>
        <w:t>- анализ и контроль гэпа;</w:t>
      </w:r>
    </w:p>
    <w:p w:rsidR="00AD4FAD" w:rsidRPr="00553AF1" w:rsidRDefault="00AD4FAD" w:rsidP="00AD4FA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53AF1">
        <w:rPr>
          <w:color w:val="000000"/>
          <w:sz w:val="28"/>
          <w:szCs w:val="28"/>
        </w:rPr>
        <w:t>- анализ и контроль дюраций.</w:t>
      </w:r>
    </w:p>
    <w:p w:rsidR="00AD4FAD" w:rsidRPr="00553AF1" w:rsidRDefault="00AD4FAD" w:rsidP="00AD4FA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53AF1">
        <w:rPr>
          <w:color w:val="000000"/>
          <w:sz w:val="28"/>
          <w:szCs w:val="28"/>
        </w:rPr>
        <w:t>Основным методом анализа является моделирование.</w:t>
      </w:r>
    </w:p>
    <w:p w:rsidR="00AD4FAD" w:rsidRPr="00553AF1" w:rsidRDefault="00AD4FAD" w:rsidP="00AD4FA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53AF1">
        <w:rPr>
          <w:color w:val="000000"/>
          <w:sz w:val="28"/>
          <w:szCs w:val="28"/>
        </w:rPr>
        <w:t>Перечисленные методы позволяют реализовать различные приемы стратегий. Прием избегания риска</w:t>
      </w:r>
      <w:r>
        <w:rPr>
          <w:color w:val="000000"/>
          <w:sz w:val="28"/>
          <w:szCs w:val="28"/>
        </w:rPr>
        <w:t xml:space="preserve"> </w:t>
      </w:r>
      <w:r w:rsidRPr="00553AF1">
        <w:rPr>
          <w:color w:val="000000"/>
          <w:sz w:val="28"/>
          <w:szCs w:val="28"/>
        </w:rPr>
        <w:t>реализуется методами нейтрализации. Полная и частичная передача риска реализуется хеджированием. Прием</w:t>
      </w:r>
      <w:r>
        <w:rPr>
          <w:color w:val="000000"/>
          <w:sz w:val="28"/>
          <w:szCs w:val="28"/>
        </w:rPr>
        <w:t xml:space="preserve"> </w:t>
      </w:r>
      <w:r w:rsidRPr="00553AF1">
        <w:rPr>
          <w:color w:val="000000"/>
          <w:sz w:val="28"/>
          <w:szCs w:val="28"/>
        </w:rPr>
        <w:t>ограничения риска может быть реализован методами гэпа, эффективной границы и оптимизации структуры</w:t>
      </w:r>
      <w:r>
        <w:rPr>
          <w:color w:val="000000"/>
          <w:sz w:val="28"/>
          <w:szCs w:val="28"/>
        </w:rPr>
        <w:t xml:space="preserve"> </w:t>
      </w:r>
      <w:r w:rsidRPr="00553AF1">
        <w:rPr>
          <w:color w:val="000000"/>
          <w:sz w:val="28"/>
          <w:szCs w:val="28"/>
        </w:rPr>
        <w:t xml:space="preserve">портфеля. </w:t>
      </w:r>
    </w:p>
    <w:p w:rsidR="00AD4FAD" w:rsidRPr="00553AF1" w:rsidRDefault="00AD4FAD" w:rsidP="00AD4FAD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53AF1">
        <w:rPr>
          <w:color w:val="000000"/>
          <w:sz w:val="28"/>
          <w:szCs w:val="28"/>
        </w:rPr>
        <w:t>Таким образом, негативное воздействие процентного риска на финанс</w:t>
      </w:r>
      <w:r>
        <w:rPr>
          <w:color w:val="000000"/>
          <w:sz w:val="28"/>
          <w:szCs w:val="28"/>
        </w:rPr>
        <w:t>овое состояние кредитной органи</w:t>
      </w:r>
      <w:r w:rsidRPr="00553AF1">
        <w:rPr>
          <w:color w:val="000000"/>
          <w:sz w:val="28"/>
          <w:szCs w:val="28"/>
        </w:rPr>
        <w:t>зации, ее доходы и капитальную базу обусловливает потребность особого внимания менеджмента к данной</w:t>
      </w:r>
      <w:r>
        <w:rPr>
          <w:color w:val="000000"/>
          <w:sz w:val="28"/>
          <w:szCs w:val="28"/>
        </w:rPr>
        <w:t xml:space="preserve"> </w:t>
      </w:r>
      <w:r w:rsidRPr="00553AF1">
        <w:rPr>
          <w:color w:val="000000"/>
          <w:sz w:val="28"/>
          <w:szCs w:val="28"/>
        </w:rPr>
        <w:t>проблеме. Воздействие процентного риска может оказаться для банка как отрицательным, так и положительным, поэтому кредитная организации может получить как существенные убытки, так и значительные доходы.</w:t>
      </w:r>
    </w:p>
    <w:p w:rsidR="00553AF1" w:rsidRDefault="00553AF1" w:rsidP="00E40E6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53AF1" w:rsidRPr="009F3218" w:rsidRDefault="00553AF1" w:rsidP="00553AF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</w:p>
    <w:p w:rsidR="00E40E6E" w:rsidRPr="0012556B" w:rsidRDefault="00AD4FAD" w:rsidP="00AD4FA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12556B">
        <w:rPr>
          <w:b/>
          <w:bCs/>
          <w:color w:val="000000"/>
          <w:sz w:val="28"/>
          <w:szCs w:val="28"/>
        </w:rPr>
        <w:t>Список литературы</w:t>
      </w:r>
    </w:p>
    <w:p w:rsidR="006413F8" w:rsidRPr="0012556B" w:rsidRDefault="006413F8" w:rsidP="0012556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right="77"/>
        <w:jc w:val="both"/>
        <w:rPr>
          <w:sz w:val="28"/>
          <w:szCs w:val="28"/>
        </w:rPr>
      </w:pPr>
      <w:r w:rsidRPr="0012556B">
        <w:rPr>
          <w:sz w:val="28"/>
          <w:szCs w:val="28"/>
        </w:rPr>
        <w:t xml:space="preserve">Инструкция Банка России “О порядке регулирования деятельности банков” </w:t>
      </w:r>
      <w:r w:rsidRPr="006413F8">
        <w:rPr>
          <w:sz w:val="28"/>
          <w:szCs w:val="28"/>
        </w:rPr>
        <w:t>№1.</w:t>
      </w:r>
    </w:p>
    <w:p w:rsidR="0012556B" w:rsidRPr="0012556B" w:rsidRDefault="006413F8" w:rsidP="0012556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556B">
        <w:rPr>
          <w:sz w:val="28"/>
          <w:szCs w:val="28"/>
        </w:rPr>
        <w:t>Гражданский кодекс РФ, Часть II</w:t>
      </w:r>
    </w:p>
    <w:p w:rsidR="00E40E6E" w:rsidRPr="0012556B" w:rsidRDefault="00E40E6E" w:rsidP="0012556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2556B">
        <w:rPr>
          <w:color w:val="000000"/>
          <w:sz w:val="28"/>
          <w:szCs w:val="28"/>
        </w:rPr>
        <w:t>Письмо ЦБ РФ № 15-1-3-6/3995 «О международных подходах (стандартах) организации управления процентным риском» от 2 октября</w:t>
      </w:r>
      <w:r w:rsidR="00AD4FAD" w:rsidRPr="0012556B">
        <w:rPr>
          <w:color w:val="000000"/>
          <w:sz w:val="28"/>
          <w:szCs w:val="28"/>
        </w:rPr>
        <w:t xml:space="preserve"> </w:t>
      </w:r>
      <w:r w:rsidRPr="0012556B">
        <w:rPr>
          <w:color w:val="000000"/>
          <w:sz w:val="28"/>
          <w:szCs w:val="28"/>
        </w:rPr>
        <w:t>2007 года.</w:t>
      </w:r>
    </w:p>
    <w:p w:rsidR="006413F8" w:rsidRPr="0012556B" w:rsidRDefault="006413F8" w:rsidP="0012556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2556B">
        <w:rPr>
          <w:sz w:val="28"/>
          <w:szCs w:val="28"/>
        </w:rPr>
        <w:t>Федеральный Закон “О Банках и банковской деятельности” № 395-1</w:t>
      </w:r>
      <w:r w:rsidR="0012556B">
        <w:rPr>
          <w:sz w:val="28"/>
          <w:szCs w:val="28"/>
        </w:rPr>
        <w:t>.</w:t>
      </w:r>
    </w:p>
    <w:p w:rsidR="00E40E6E" w:rsidRPr="0012556B" w:rsidRDefault="00E40E6E" w:rsidP="0012556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2556B">
        <w:rPr>
          <w:color w:val="000000"/>
          <w:sz w:val="28"/>
          <w:szCs w:val="28"/>
        </w:rPr>
        <w:t>Банк</w:t>
      </w:r>
      <w:r w:rsidR="00AD4FAD" w:rsidRPr="0012556B">
        <w:rPr>
          <w:color w:val="000000"/>
          <w:sz w:val="28"/>
          <w:szCs w:val="28"/>
        </w:rPr>
        <w:t>овские риски: Учебное пособие/</w:t>
      </w:r>
      <w:r w:rsidRPr="0012556B">
        <w:rPr>
          <w:color w:val="000000"/>
          <w:sz w:val="28"/>
          <w:szCs w:val="28"/>
        </w:rPr>
        <w:t>Под ред. О.И. Лаврушина, Н.И. Валенцевой. М.: КНОРУС, 2007. 232с.</w:t>
      </w:r>
    </w:p>
    <w:p w:rsidR="00E40E6E" w:rsidRPr="0012556B" w:rsidRDefault="00E40E6E" w:rsidP="0012556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2556B">
        <w:rPr>
          <w:color w:val="000000"/>
          <w:sz w:val="28"/>
          <w:szCs w:val="28"/>
        </w:rPr>
        <w:t>Винниченко И. Анализ и контроль процентного риска // Банковские технологии, 2007. № 6. С. 11-27.</w:t>
      </w:r>
    </w:p>
    <w:p w:rsidR="00E40E6E" w:rsidRPr="0012556B" w:rsidRDefault="00E40E6E" w:rsidP="0012556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12556B">
        <w:rPr>
          <w:color w:val="000000"/>
          <w:sz w:val="28"/>
          <w:szCs w:val="28"/>
        </w:rPr>
        <w:t>Марич И. История и реальность управления процентным риском // Консультант, 2007. № 9. С. 7-14.</w:t>
      </w:r>
    </w:p>
    <w:p w:rsidR="00E56EB0" w:rsidRPr="0012556B" w:rsidRDefault="006413F8" w:rsidP="0012556B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 w:rsidRPr="0012556B">
        <w:rPr>
          <w:color w:val="000000"/>
          <w:sz w:val="28"/>
          <w:szCs w:val="28"/>
        </w:rPr>
        <w:t>Геронина Н.Р., Русанов Ю.Ю. Управление бансковскими рисками:учебное пособие. –М.: МБИ,2004.</w:t>
      </w:r>
    </w:p>
    <w:p w:rsidR="006413F8" w:rsidRPr="0012556B" w:rsidRDefault="006413F8" w:rsidP="0012556B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 w:rsidRPr="0012556B">
        <w:rPr>
          <w:color w:val="000000"/>
          <w:sz w:val="28"/>
          <w:szCs w:val="28"/>
        </w:rPr>
        <w:t>Русанов Ю.Ю. Теория и практика риск-менеджмента кредитных организаций России.-М.:Экономистъ, 2004.</w:t>
      </w:r>
    </w:p>
    <w:p w:rsidR="006413F8" w:rsidRPr="0012556B" w:rsidRDefault="0012556B" w:rsidP="0012556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2556B">
        <w:rPr>
          <w:color w:val="000000"/>
          <w:sz w:val="28"/>
          <w:szCs w:val="28"/>
        </w:rPr>
        <w:t>Грюнинг Х. Ван, Братанович С.Б.Анализ банковских рисков рисков. Система оценки корпоративного управления и управления фина</w:t>
      </w:r>
      <w:r>
        <w:rPr>
          <w:color w:val="000000"/>
          <w:sz w:val="28"/>
          <w:szCs w:val="28"/>
        </w:rPr>
        <w:t>нсовым риском.-М.: ВЕСЬ МИР, 200</w:t>
      </w:r>
      <w:r w:rsidRPr="0012556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</w:p>
    <w:p w:rsidR="00E56EB0" w:rsidRPr="0012556B" w:rsidRDefault="00E56EB0" w:rsidP="0012556B">
      <w:pPr>
        <w:pStyle w:val="1"/>
        <w:spacing w:before="0" w:line="360" w:lineRule="auto"/>
        <w:jc w:val="both"/>
        <w:rPr>
          <w:color w:val="000000"/>
          <w:sz w:val="28"/>
          <w:szCs w:val="28"/>
        </w:rPr>
      </w:pPr>
    </w:p>
    <w:p w:rsidR="00E40E6E" w:rsidRPr="0012556B" w:rsidRDefault="00E40E6E" w:rsidP="0012556B">
      <w:pPr>
        <w:spacing w:line="360" w:lineRule="auto"/>
        <w:jc w:val="both"/>
        <w:rPr>
          <w:sz w:val="28"/>
          <w:szCs w:val="28"/>
        </w:rPr>
      </w:pPr>
    </w:p>
    <w:p w:rsidR="00AD4FAD" w:rsidRPr="0012556B" w:rsidRDefault="00AD4FAD" w:rsidP="0012556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E40E6E" w:rsidRPr="0012556B" w:rsidRDefault="00E40E6E" w:rsidP="0012556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E40E6E" w:rsidRPr="0012556B" w:rsidSect="001401E5">
      <w:footerReference w:type="default" r:id="rId8"/>
      <w:pgSz w:w="12240" w:h="15840"/>
      <w:pgMar w:top="851" w:right="851" w:bottom="851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00C" w:rsidRDefault="0024200C" w:rsidP="0012556B">
      <w:r>
        <w:separator/>
      </w:r>
    </w:p>
  </w:endnote>
  <w:endnote w:type="continuationSeparator" w:id="0">
    <w:p w:rsidR="0024200C" w:rsidRDefault="0024200C" w:rsidP="00125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1E5" w:rsidRDefault="001401E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12139">
      <w:rPr>
        <w:noProof/>
      </w:rPr>
      <w:t>1</w:t>
    </w:r>
    <w:r>
      <w:fldChar w:fldCharType="end"/>
    </w:r>
  </w:p>
  <w:p w:rsidR="0012556B" w:rsidRDefault="0012556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00C" w:rsidRDefault="0024200C" w:rsidP="0012556B">
      <w:r>
        <w:separator/>
      </w:r>
    </w:p>
  </w:footnote>
  <w:footnote w:type="continuationSeparator" w:id="0">
    <w:p w:rsidR="0024200C" w:rsidRDefault="0024200C" w:rsidP="00125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07354"/>
    <w:multiLevelType w:val="hybridMultilevel"/>
    <w:tmpl w:val="6C76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FB214E"/>
    <w:multiLevelType w:val="hybridMultilevel"/>
    <w:tmpl w:val="2102C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140"/>
    <w:rsid w:val="00075378"/>
    <w:rsid w:val="0012556B"/>
    <w:rsid w:val="001401E5"/>
    <w:rsid w:val="00160C2B"/>
    <w:rsid w:val="001B1AE0"/>
    <w:rsid w:val="001C31C9"/>
    <w:rsid w:val="0024200C"/>
    <w:rsid w:val="0046399E"/>
    <w:rsid w:val="00553AF1"/>
    <w:rsid w:val="006413F8"/>
    <w:rsid w:val="007C355E"/>
    <w:rsid w:val="00817280"/>
    <w:rsid w:val="008C0C7F"/>
    <w:rsid w:val="00912139"/>
    <w:rsid w:val="009F3218"/>
    <w:rsid w:val="00AD4FAD"/>
    <w:rsid w:val="00DB0F89"/>
    <w:rsid w:val="00E40E6E"/>
    <w:rsid w:val="00E56EB0"/>
    <w:rsid w:val="00ED1D17"/>
    <w:rsid w:val="00F5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A2D6EEE-B512-4F77-9B08-67C0F7183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E56EB0"/>
    <w:pPr>
      <w:spacing w:before="100"/>
      <w:outlineLvl w:val="0"/>
    </w:pPr>
    <w:rPr>
      <w:kern w:val="36"/>
      <w:sz w:val="43"/>
      <w:szCs w:val="43"/>
    </w:rPr>
  </w:style>
  <w:style w:type="paragraph" w:styleId="2">
    <w:name w:val="heading 2"/>
    <w:basedOn w:val="a"/>
    <w:link w:val="20"/>
    <w:uiPriority w:val="9"/>
    <w:qFormat/>
    <w:rsid w:val="00E56EB0"/>
    <w:pPr>
      <w:spacing w:before="400" w:after="400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B0F8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E56EB0"/>
    <w:rPr>
      <w:kern w:val="36"/>
      <w:sz w:val="43"/>
      <w:szCs w:val="43"/>
    </w:rPr>
  </w:style>
  <w:style w:type="character" w:customStyle="1" w:styleId="20">
    <w:name w:val="Заголовок 2 Знак"/>
    <w:basedOn w:val="a0"/>
    <w:link w:val="2"/>
    <w:uiPriority w:val="9"/>
    <w:rsid w:val="00E56EB0"/>
    <w:rPr>
      <w:sz w:val="36"/>
      <w:szCs w:val="36"/>
    </w:rPr>
  </w:style>
  <w:style w:type="paragraph" w:styleId="a4">
    <w:name w:val="footnote text"/>
    <w:basedOn w:val="a"/>
    <w:link w:val="a5"/>
    <w:rsid w:val="0012556B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12556B"/>
  </w:style>
  <w:style w:type="character" w:styleId="a6">
    <w:name w:val="footnote reference"/>
    <w:basedOn w:val="a0"/>
    <w:rsid w:val="0012556B"/>
    <w:rPr>
      <w:vertAlign w:val="superscript"/>
    </w:rPr>
  </w:style>
  <w:style w:type="paragraph" w:styleId="a7">
    <w:name w:val="header"/>
    <w:basedOn w:val="a"/>
    <w:link w:val="a8"/>
    <w:rsid w:val="001255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2556B"/>
    <w:rPr>
      <w:sz w:val="24"/>
      <w:szCs w:val="24"/>
    </w:rPr>
  </w:style>
  <w:style w:type="paragraph" w:styleId="a9">
    <w:name w:val="footer"/>
    <w:basedOn w:val="a"/>
    <w:link w:val="aa"/>
    <w:uiPriority w:val="99"/>
    <w:rsid w:val="001255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55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4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1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25565">
                  <w:marLeft w:val="-6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666424">
                      <w:marLeft w:val="6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7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4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6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82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64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9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16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89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6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9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17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1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82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03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41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062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Анюша Ш@нсари</dc:creator>
  <cp:keywords/>
  <cp:lastModifiedBy>admin</cp:lastModifiedBy>
  <cp:revision>2</cp:revision>
  <cp:lastPrinted>2010-10-29T14:14:00Z</cp:lastPrinted>
  <dcterms:created xsi:type="dcterms:W3CDTF">2014-04-23T16:55:00Z</dcterms:created>
  <dcterms:modified xsi:type="dcterms:W3CDTF">2014-04-23T16:55:00Z</dcterms:modified>
</cp:coreProperties>
</file>