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D2E" w:rsidRDefault="00B14B9E">
      <w:pPr>
        <w:pStyle w:val="1"/>
        <w:spacing w:before="1000" w:line="360" w:lineRule="auto"/>
        <w:ind w:right="57" w:firstLine="0"/>
        <w:jc w:val="center"/>
        <w:rPr>
          <w:sz w:val="28"/>
        </w:rPr>
      </w:pPr>
      <w:r>
        <w:rPr>
          <w:b/>
          <w:sz w:val="28"/>
        </w:rPr>
        <w:t>Правові засади регулювання статусу фізичних осіб у міжнародному приватному праві</w:t>
      </w:r>
    </w:p>
    <w:p w:rsidR="00F10D2E" w:rsidRDefault="00B14B9E">
      <w:pPr>
        <w:pStyle w:val="1"/>
        <w:spacing w:before="80" w:line="360" w:lineRule="auto"/>
        <w:ind w:right="57"/>
        <w:rPr>
          <w:sz w:val="28"/>
        </w:rPr>
      </w:pPr>
      <w:r>
        <w:rPr>
          <w:sz w:val="28"/>
        </w:rPr>
        <w:t xml:space="preserve">Серед суб'єктів міжнародного приватного права важливе місце у правовідносинах займають </w:t>
      </w:r>
      <w:r>
        <w:rPr>
          <w:i/>
          <w:sz w:val="28"/>
        </w:rPr>
        <w:t>фізичні особи,</w:t>
      </w:r>
      <w:r>
        <w:rPr>
          <w:sz w:val="28"/>
        </w:rPr>
        <w:t xml:space="preserve"> правовий статус яких може бути різноманітним. У доктрині, законодав</w:t>
      </w:r>
      <w:r>
        <w:rPr>
          <w:sz w:val="28"/>
        </w:rPr>
        <w:softHyphen/>
        <w:t xml:space="preserve">стві, практиці до цих осіб застосовують поняття </w:t>
      </w:r>
      <w:r>
        <w:rPr>
          <w:i/>
          <w:sz w:val="28"/>
        </w:rPr>
        <w:t xml:space="preserve">"іноземці". </w:t>
      </w:r>
      <w:r>
        <w:rPr>
          <w:sz w:val="28"/>
        </w:rPr>
        <w:t>Воно вважається широким за змістом і включає вужчі за зна</w:t>
      </w:r>
      <w:r>
        <w:rPr>
          <w:sz w:val="28"/>
        </w:rPr>
        <w:softHyphen/>
        <w:t>ченням поняття: "іноземний громадянин", "особа без грома</w:t>
      </w:r>
      <w:r>
        <w:rPr>
          <w:sz w:val="28"/>
        </w:rPr>
        <w:softHyphen/>
        <w:t>дянства" (апатрид), "особа з кількома громадянствами" (бі</w:t>
      </w:r>
      <w:r>
        <w:rPr>
          <w:sz w:val="28"/>
        </w:rPr>
        <w:softHyphen/>
        <w:t>патрид) та ін. Поняття, що виражаються вказаними термі</w:t>
      </w:r>
      <w:r>
        <w:rPr>
          <w:sz w:val="28"/>
        </w:rPr>
        <w:softHyphen/>
        <w:t>нами, не завжди визначаються у джерелах права та доктрині держав. Якщо ж вони й містять такі визначення, то останні не є однаковими.</w:t>
      </w:r>
    </w:p>
    <w:p w:rsidR="00F10D2E" w:rsidRDefault="00B14B9E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>Кожна держава визначає у власному законодавстві, хто є її громадянином. Тобто, враховуючи вимоги національного за</w:t>
      </w:r>
      <w:r>
        <w:rPr>
          <w:sz w:val="28"/>
        </w:rPr>
        <w:softHyphen/>
        <w:t>конодавства, можна вирішити питання про те, яка особа не є громадянином цієї держави. Положення про визначення гро</w:t>
      </w:r>
      <w:r>
        <w:rPr>
          <w:sz w:val="28"/>
        </w:rPr>
        <w:softHyphen/>
        <w:t>мадянства особи закріплені в Європейській конвенції про гро</w:t>
      </w:r>
      <w:r>
        <w:rPr>
          <w:sz w:val="28"/>
        </w:rPr>
        <w:softHyphen/>
        <w:t xml:space="preserve">мадянство, схваленій Комітетом Міністрів Ради Європи </w:t>
      </w:r>
      <w:r>
        <w:rPr>
          <w:noProof/>
          <w:sz w:val="28"/>
        </w:rPr>
        <w:t>15</w:t>
      </w:r>
      <w:r>
        <w:rPr>
          <w:sz w:val="28"/>
        </w:rPr>
        <w:t xml:space="preserve"> травня</w:t>
      </w:r>
      <w:r>
        <w:rPr>
          <w:noProof/>
          <w:sz w:val="28"/>
        </w:rPr>
        <w:t xml:space="preserve"> 1997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 та відкритій для підписання з</w:t>
      </w:r>
      <w:r>
        <w:rPr>
          <w:noProof/>
          <w:sz w:val="28"/>
        </w:rPr>
        <w:t xml:space="preserve"> 6</w:t>
      </w:r>
      <w:r>
        <w:rPr>
          <w:sz w:val="28"/>
        </w:rPr>
        <w:t xml:space="preserve"> листопада </w:t>
      </w:r>
      <w:r>
        <w:rPr>
          <w:noProof/>
          <w:sz w:val="28"/>
        </w:rPr>
        <w:t>1997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 Україна поки що не підписала цієї Конвенції. Концепція, за якою іноземцем вважається особа, що не є гро</w:t>
      </w:r>
      <w:r>
        <w:rPr>
          <w:sz w:val="28"/>
        </w:rPr>
        <w:softHyphen/>
        <w:t>мадянином цієї держави, превалює у більшості держав. Тому у них поняття "іноземець" включає поняття: "іноземний гро</w:t>
      </w:r>
      <w:r>
        <w:rPr>
          <w:sz w:val="28"/>
        </w:rPr>
        <w:softHyphen/>
        <w:t>мадянин" та "особа без громадянства".</w:t>
      </w:r>
    </w:p>
    <w:p w:rsidR="00F10D2E" w:rsidRDefault="00B14B9E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>Сукупність прав, свобод та обов'язків іноземців у державі перебування, що гарантуються нею, утворюють їхній правовий статус, який у міжнародному приватному праві часто зале</w:t>
      </w:r>
      <w:r>
        <w:rPr>
          <w:sz w:val="28"/>
        </w:rPr>
        <w:softHyphen/>
        <w:t>жить від:</w:t>
      </w:r>
      <w:r>
        <w:rPr>
          <w:noProof/>
          <w:sz w:val="28"/>
        </w:rPr>
        <w:t xml:space="preserve"> 1)</w:t>
      </w:r>
      <w:r>
        <w:rPr>
          <w:sz w:val="28"/>
        </w:rPr>
        <w:t xml:space="preserve"> виду правового зв'язку особи з державою (інозем</w:t>
      </w:r>
      <w:r>
        <w:rPr>
          <w:sz w:val="28"/>
        </w:rPr>
        <w:softHyphen/>
        <w:t>ні особи, особи без громадянства, особи з кількома громадян</w:t>
      </w:r>
      <w:r>
        <w:rPr>
          <w:sz w:val="28"/>
        </w:rPr>
        <w:softHyphen/>
        <w:t>ствами, біженці та ін.);</w:t>
      </w:r>
      <w:r>
        <w:rPr>
          <w:noProof/>
          <w:sz w:val="28"/>
        </w:rPr>
        <w:t xml:space="preserve"> 2)</w:t>
      </w:r>
      <w:r>
        <w:rPr>
          <w:sz w:val="28"/>
        </w:rPr>
        <w:t xml:space="preserve"> терміну перебування у державі (по</w:t>
      </w:r>
      <w:r>
        <w:rPr>
          <w:sz w:val="28"/>
        </w:rPr>
        <w:softHyphen/>
        <w:t>стійно проживають, тимчасово перебувають);</w:t>
      </w:r>
      <w:r>
        <w:rPr>
          <w:noProof/>
          <w:sz w:val="28"/>
        </w:rPr>
        <w:t xml:space="preserve"> 3)</w:t>
      </w:r>
      <w:r>
        <w:rPr>
          <w:sz w:val="28"/>
        </w:rPr>
        <w:t xml:space="preserve"> мети пере</w:t>
      </w:r>
      <w:r>
        <w:rPr>
          <w:sz w:val="28"/>
        </w:rPr>
        <w:softHyphen/>
        <w:t>бування у державі (виконання службових обов'язків, під</w:t>
      </w:r>
      <w:r>
        <w:rPr>
          <w:sz w:val="28"/>
        </w:rPr>
        <w:softHyphen/>
        <w:t>приємницька діяльність; виконання певної роботи, навчання, підвищення кваліфікації, стажування, лікування, знаходження у приватних справах тощо);</w:t>
      </w:r>
      <w:r>
        <w:rPr>
          <w:noProof/>
          <w:sz w:val="28"/>
        </w:rPr>
        <w:t xml:space="preserve"> 4)</w:t>
      </w:r>
      <w:r>
        <w:rPr>
          <w:sz w:val="28"/>
        </w:rPr>
        <w:t xml:space="preserve"> притаманності особам імуніте</w:t>
      </w:r>
      <w:r>
        <w:rPr>
          <w:sz w:val="28"/>
        </w:rPr>
        <w:softHyphen/>
        <w:t>тів і привілеїв (працівники дипломатичних і консульських установ).</w:t>
      </w:r>
    </w:p>
    <w:p w:rsidR="00F10D2E" w:rsidRDefault="00B14B9E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 xml:space="preserve">Статус фізичних осіб у міжнародному приватному праві майже завжди повністю підпорядковується законодавству </w:t>
      </w:r>
      <w:r>
        <w:rPr>
          <w:i/>
          <w:sz w:val="28"/>
        </w:rPr>
        <w:t>держави перебування,</w:t>
      </w:r>
      <w:r>
        <w:rPr>
          <w:sz w:val="28"/>
        </w:rPr>
        <w:t xml:space="preserve"> тобто нормам конституцій держав, спе</w:t>
      </w:r>
      <w:r>
        <w:rPr>
          <w:sz w:val="28"/>
        </w:rPr>
        <w:softHyphen/>
        <w:t>ціальним законам про правовий статус іноземців, іншим нор</w:t>
      </w:r>
      <w:r>
        <w:rPr>
          <w:sz w:val="28"/>
        </w:rPr>
        <w:softHyphen/>
        <w:t xml:space="preserve">мативним актам. На іноземних громадян може поширюватись і дія законодавства держави </w:t>
      </w:r>
      <w:r>
        <w:rPr>
          <w:i/>
          <w:sz w:val="28"/>
        </w:rPr>
        <w:t>їхнього громадянства,</w:t>
      </w:r>
      <w:r>
        <w:rPr>
          <w:sz w:val="28"/>
        </w:rPr>
        <w:t xml:space="preserve"> на осіб без громадянства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законодавство держави </w:t>
      </w:r>
      <w:r>
        <w:rPr>
          <w:i/>
          <w:sz w:val="28"/>
        </w:rPr>
        <w:t>їхнього постійного міс</w:t>
      </w:r>
      <w:r>
        <w:rPr>
          <w:i/>
          <w:sz w:val="28"/>
        </w:rPr>
        <w:softHyphen/>
        <w:t>ця проживання.</w:t>
      </w:r>
      <w:r>
        <w:rPr>
          <w:sz w:val="28"/>
        </w:rPr>
        <w:t xml:space="preserve"> Статус цих осіб визначається також міжна</w:t>
      </w:r>
      <w:r>
        <w:rPr>
          <w:sz w:val="28"/>
        </w:rPr>
        <w:softHyphen/>
        <w:t>родними угодами. До них належать, зокрема, Конвенція про правовий статус біженців від</w:t>
      </w:r>
      <w:r>
        <w:rPr>
          <w:noProof/>
          <w:sz w:val="28"/>
        </w:rPr>
        <w:t xml:space="preserve"> 28</w:t>
      </w:r>
      <w:r>
        <w:rPr>
          <w:sz w:val="28"/>
        </w:rPr>
        <w:t xml:space="preserve"> липня</w:t>
      </w:r>
      <w:r>
        <w:rPr>
          <w:noProof/>
          <w:sz w:val="28"/>
        </w:rPr>
        <w:t xml:space="preserve"> 1951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.,</w:t>
      </w:r>
      <w:r>
        <w:rPr>
          <w:sz w:val="28"/>
        </w:rPr>
        <w:t xml:space="preserve"> Конвенція про правовий статус осіб без громадянства від</w:t>
      </w:r>
      <w:r>
        <w:rPr>
          <w:noProof/>
          <w:sz w:val="28"/>
        </w:rPr>
        <w:t xml:space="preserve"> 28</w:t>
      </w:r>
      <w:r>
        <w:rPr>
          <w:sz w:val="28"/>
        </w:rPr>
        <w:t xml:space="preserve"> вересня</w:t>
      </w:r>
      <w:r>
        <w:rPr>
          <w:noProof/>
          <w:sz w:val="28"/>
        </w:rPr>
        <w:t xml:space="preserve"> 1954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 xml:space="preserve">., </w:t>
      </w:r>
      <w:r>
        <w:rPr>
          <w:sz w:val="28"/>
        </w:rPr>
        <w:t>міжнародні угоди щодо прав та обов'язків фізичних осіб у конкретних правовідносинах.</w:t>
      </w:r>
    </w:p>
    <w:p w:rsidR="00F10D2E" w:rsidRDefault="00B14B9E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 xml:space="preserve">Кожна держава, яка приймає іноземців, окрім правових норм повинна дотримуватися </w:t>
      </w:r>
      <w:r>
        <w:rPr>
          <w:i/>
          <w:sz w:val="28"/>
        </w:rPr>
        <w:t>загальних міжнародно-правових принципів,</w:t>
      </w:r>
      <w:r>
        <w:rPr>
          <w:sz w:val="28"/>
        </w:rPr>
        <w:t xml:space="preserve"> тобто визнаних усіма державами обов'язкових норм міжнародного права, що їх закріплено: у Статуті ООН; Загаль</w:t>
      </w:r>
      <w:r>
        <w:rPr>
          <w:sz w:val="28"/>
        </w:rPr>
        <w:softHyphen/>
        <w:t>ній декларації прав людини</w:t>
      </w:r>
      <w:r>
        <w:rPr>
          <w:noProof/>
          <w:sz w:val="28"/>
        </w:rPr>
        <w:t xml:space="preserve"> 1946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.; Міжнародних пактах про громадянські й політичні права, а також про економічні, соці</w:t>
      </w:r>
      <w:r>
        <w:rPr>
          <w:sz w:val="28"/>
        </w:rPr>
        <w:softHyphen/>
        <w:t>альні та культурні права</w:t>
      </w:r>
      <w:r>
        <w:rPr>
          <w:noProof/>
          <w:sz w:val="28"/>
        </w:rPr>
        <w:t xml:space="preserve"> 1966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.; Підсумковому акті наради в Гельсінкі</w:t>
      </w:r>
      <w:r>
        <w:rPr>
          <w:noProof/>
          <w:sz w:val="28"/>
        </w:rPr>
        <w:t xml:space="preserve"> 1975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 xml:space="preserve">., деяких інших. Так, </w:t>
      </w:r>
      <w:r>
        <w:rPr>
          <w:i/>
          <w:sz w:val="28"/>
        </w:rPr>
        <w:t>принципу безумовної за</w:t>
      </w:r>
      <w:r>
        <w:rPr>
          <w:i/>
          <w:sz w:val="28"/>
        </w:rPr>
        <w:softHyphen/>
        <w:t>борони дискримінації</w:t>
      </w:r>
      <w:r>
        <w:rPr>
          <w:sz w:val="28"/>
        </w:rPr>
        <w:t xml:space="preserve"> за ознаками раси, національності, грома</w:t>
      </w:r>
      <w:r>
        <w:rPr>
          <w:sz w:val="28"/>
        </w:rPr>
        <w:softHyphen/>
        <w:t>дянства, статі тощо у відносинах, що належать до міжнарод</w:t>
      </w:r>
      <w:r>
        <w:rPr>
          <w:sz w:val="28"/>
        </w:rPr>
        <w:softHyphen/>
        <w:t>них приватно-правових, прагнуть дотримуватись усі держави. Особливо важливим є його дотримання у трудових та шлюб</w:t>
      </w:r>
      <w:r>
        <w:rPr>
          <w:sz w:val="28"/>
        </w:rPr>
        <w:softHyphen/>
        <w:t>но-сімейних правовідносинах,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здійсненні судочинства.</w:t>
      </w:r>
    </w:p>
    <w:p w:rsidR="00F10D2E" w:rsidRDefault="00B14B9E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>Крім загальних принципів міжнародного права, кожна дер</w:t>
      </w:r>
      <w:r>
        <w:rPr>
          <w:sz w:val="28"/>
        </w:rPr>
        <w:softHyphen/>
        <w:t>жава, що приймає іноземців, під час визначення їхнього пра</w:t>
      </w:r>
      <w:r>
        <w:rPr>
          <w:sz w:val="28"/>
        </w:rPr>
        <w:softHyphen/>
        <w:t xml:space="preserve">вового статусу зобов'язана враховувати </w:t>
      </w:r>
      <w:r>
        <w:rPr>
          <w:i/>
          <w:sz w:val="28"/>
        </w:rPr>
        <w:t>спеціальні правові принципи.</w:t>
      </w:r>
      <w:r>
        <w:rPr>
          <w:sz w:val="28"/>
        </w:rPr>
        <w:t xml:space="preserve"> У доктрині визначається різна їх кількість. До них належить, зокрема, поширення на іноземців </w:t>
      </w:r>
      <w:r>
        <w:rPr>
          <w:i/>
          <w:sz w:val="28"/>
        </w:rPr>
        <w:t>юрисдикції дер</w:t>
      </w:r>
      <w:r>
        <w:rPr>
          <w:i/>
          <w:sz w:val="28"/>
        </w:rPr>
        <w:softHyphen/>
        <w:t>жави перебування.</w:t>
      </w:r>
      <w:r>
        <w:rPr>
          <w:sz w:val="28"/>
        </w:rPr>
        <w:t xml:space="preserve"> Цей принцип означає, що для іноземців є обов'язковим правопорядок, установлений державою, в якій вони знаходяться. Якщо ж іноземець не підпорядковується її юрисдикції, він може бути висланий за межі цієї держави на виконання рішення, винесеного відповідно до закону (ст.</w:t>
      </w:r>
      <w:r>
        <w:rPr>
          <w:noProof/>
          <w:sz w:val="28"/>
        </w:rPr>
        <w:t xml:space="preserve"> 13 </w:t>
      </w:r>
      <w:r>
        <w:rPr>
          <w:sz w:val="28"/>
        </w:rPr>
        <w:t>Міжнародного пакту про громадянські й політичні права). Норми інших міжнародних актів, а саме ст.</w:t>
      </w:r>
      <w:r>
        <w:rPr>
          <w:noProof/>
          <w:sz w:val="28"/>
        </w:rPr>
        <w:t xml:space="preserve"> 20</w:t>
      </w:r>
      <w:r>
        <w:rPr>
          <w:sz w:val="28"/>
        </w:rPr>
        <w:t xml:space="preserve"> Конвенції про правовий статус осіб без громадянства, ст.</w:t>
      </w:r>
      <w:r>
        <w:rPr>
          <w:noProof/>
          <w:sz w:val="28"/>
        </w:rPr>
        <w:t xml:space="preserve"> 2</w:t>
      </w:r>
      <w:r>
        <w:rPr>
          <w:sz w:val="28"/>
        </w:rPr>
        <w:t xml:space="preserve"> Конвенції про правовий статус біженців зобов'язують іноземців підкорятися юрисдикції держави перебування. Відповідно до ст.</w:t>
      </w:r>
      <w:r>
        <w:rPr>
          <w:noProof/>
          <w:sz w:val="28"/>
        </w:rPr>
        <w:t xml:space="preserve"> 12</w:t>
      </w:r>
      <w:r>
        <w:rPr>
          <w:sz w:val="28"/>
        </w:rPr>
        <w:t xml:space="preserve"> зазначених Конвенцій, особистий статус апатрида чи біженця визначається за законами країни їх доміцилію чи, за відсут</w:t>
      </w:r>
      <w:r>
        <w:rPr>
          <w:sz w:val="28"/>
        </w:rPr>
        <w:softHyphen/>
        <w:t>ності такого доміцилію, за законами країни їх проживання.</w:t>
      </w:r>
    </w:p>
    <w:p w:rsidR="00F10D2E" w:rsidRDefault="00B14B9E">
      <w:pPr>
        <w:pStyle w:val="1"/>
        <w:spacing w:line="360" w:lineRule="auto"/>
        <w:ind w:right="57" w:firstLine="260"/>
        <w:rPr>
          <w:sz w:val="28"/>
        </w:rPr>
      </w:pPr>
      <w:r>
        <w:rPr>
          <w:sz w:val="28"/>
        </w:rPr>
        <w:t xml:space="preserve">Іноземці мають </w:t>
      </w:r>
      <w:r>
        <w:rPr>
          <w:i/>
          <w:sz w:val="28"/>
        </w:rPr>
        <w:t>право на захист з боку держави,</w:t>
      </w:r>
      <w:r>
        <w:rPr>
          <w:sz w:val="28"/>
        </w:rPr>
        <w:t xml:space="preserve"> громадя</w:t>
      </w:r>
      <w:r>
        <w:rPr>
          <w:sz w:val="28"/>
        </w:rPr>
        <w:softHyphen/>
        <w:t>нами якої є чи місце проживання (місцеперебування) у якій вони мають. Це випливає, зокрема, зі змісту статей</w:t>
      </w:r>
      <w:r>
        <w:rPr>
          <w:noProof/>
          <w:sz w:val="28"/>
        </w:rPr>
        <w:t xml:space="preserve"> 7,8</w:t>
      </w:r>
      <w:r>
        <w:rPr>
          <w:sz w:val="28"/>
        </w:rPr>
        <w:t xml:space="preserve"> Загаль</w:t>
      </w:r>
      <w:r>
        <w:rPr>
          <w:sz w:val="28"/>
        </w:rPr>
        <w:softHyphen/>
        <w:t>ної декларації прав людини, де зазначається рівність осіб перед законом та право особи на ефективне поновлення її порушених прав, наданих їй конституцією чи законом. Поло</w:t>
      </w:r>
      <w:r>
        <w:rPr>
          <w:sz w:val="28"/>
        </w:rPr>
        <w:softHyphen/>
        <w:t>ження статей</w:t>
      </w:r>
      <w:r>
        <w:rPr>
          <w:noProof/>
          <w:sz w:val="28"/>
        </w:rPr>
        <w:t xml:space="preserve"> 3, 6—9, 11—13, 15</w:t>
      </w:r>
      <w:r>
        <w:rPr>
          <w:sz w:val="28"/>
        </w:rPr>
        <w:t xml:space="preserve"> Міжнародного пакту про еко</w:t>
      </w:r>
      <w:r>
        <w:rPr>
          <w:sz w:val="28"/>
        </w:rPr>
        <w:softHyphen/>
        <w:t>номічні, соціальні та культурні права детальніше визначають зміст права іноземців на захист. Цей принцип часто знаходить своє закріплення в національному законодавстві.</w:t>
      </w:r>
    </w:p>
    <w:p w:rsidR="00F10D2E" w:rsidRDefault="00B14B9E">
      <w:pPr>
        <w:pStyle w:val="1"/>
        <w:spacing w:line="360" w:lineRule="auto"/>
        <w:ind w:right="57" w:firstLine="260"/>
        <w:rPr>
          <w:sz w:val="28"/>
        </w:rPr>
      </w:pPr>
      <w:r>
        <w:rPr>
          <w:sz w:val="28"/>
        </w:rPr>
        <w:t>Стаття</w:t>
      </w:r>
      <w:r>
        <w:rPr>
          <w:noProof/>
          <w:sz w:val="28"/>
        </w:rPr>
        <w:t xml:space="preserve"> 16</w:t>
      </w:r>
      <w:r>
        <w:rPr>
          <w:sz w:val="28"/>
        </w:rPr>
        <w:t xml:space="preserve"> Міжнародного пакту про громадянські й полі</w:t>
      </w:r>
      <w:r>
        <w:rPr>
          <w:sz w:val="28"/>
        </w:rPr>
        <w:softHyphen/>
        <w:t>тичні права зазначає, що кожна людина, хоч би де вона пере</w:t>
      </w:r>
      <w:r>
        <w:rPr>
          <w:sz w:val="28"/>
        </w:rPr>
        <w:softHyphen/>
        <w:t xml:space="preserve">бувала, має право на </w:t>
      </w:r>
      <w:r>
        <w:rPr>
          <w:i/>
          <w:sz w:val="28"/>
        </w:rPr>
        <w:t>визнання п правосуб'єктності.</w:t>
      </w:r>
      <w:r>
        <w:rPr>
          <w:sz w:val="28"/>
        </w:rPr>
        <w:t xml:space="preserve"> Цей прин</w:t>
      </w:r>
      <w:r>
        <w:rPr>
          <w:sz w:val="28"/>
        </w:rPr>
        <w:softHyphen/>
        <w:t>цип може закріплюватись у конституціях держав (наприклад, п.</w:t>
      </w:r>
      <w:r>
        <w:rPr>
          <w:noProof/>
          <w:sz w:val="28"/>
        </w:rPr>
        <w:t xml:space="preserve"> 5</w:t>
      </w:r>
      <w:r>
        <w:rPr>
          <w:sz w:val="28"/>
          <w:lang w:val="ru-RU"/>
        </w:rPr>
        <w:t xml:space="preserve"> ст.</w:t>
      </w:r>
      <w:r>
        <w:rPr>
          <w:noProof/>
          <w:sz w:val="28"/>
        </w:rPr>
        <w:t xml:space="preserve"> 151</w:t>
      </w:r>
      <w:r>
        <w:rPr>
          <w:sz w:val="28"/>
        </w:rPr>
        <w:t xml:space="preserve"> Конституції Алжиру) чи в інших нормативних актах (скажімо, в законах про правовий статус іноземців). Ви</w:t>
      </w:r>
      <w:r>
        <w:rPr>
          <w:sz w:val="28"/>
        </w:rPr>
        <w:softHyphen/>
        <w:t>знання правосуб'єктності іноземця з боку держави перебуван</w:t>
      </w:r>
      <w:r>
        <w:rPr>
          <w:sz w:val="28"/>
        </w:rPr>
        <w:softHyphen/>
        <w:t>ня означає, що він не звільняється від виконання законів цієї держави. Так, обов'язок сплачувати податки, виконувати май</w:t>
      </w:r>
      <w:r>
        <w:rPr>
          <w:sz w:val="28"/>
        </w:rPr>
        <w:softHyphen/>
        <w:t>нові зобов'язання тощо передбачено національним законодав</w:t>
      </w:r>
      <w:r>
        <w:rPr>
          <w:sz w:val="28"/>
        </w:rPr>
        <w:softHyphen/>
        <w:t>ством. Наявність в іноземців певних зобов'язань стосовно дер</w:t>
      </w:r>
      <w:r>
        <w:rPr>
          <w:sz w:val="28"/>
        </w:rPr>
        <w:softHyphen/>
        <w:t>жави перебування проголошено ст.</w:t>
      </w:r>
      <w:r>
        <w:rPr>
          <w:noProof/>
          <w:sz w:val="28"/>
        </w:rPr>
        <w:t xml:space="preserve"> 29</w:t>
      </w:r>
      <w:r>
        <w:rPr>
          <w:sz w:val="28"/>
        </w:rPr>
        <w:t xml:space="preserve"> Загальної декларації прав людини, ст.</w:t>
      </w:r>
      <w:r>
        <w:rPr>
          <w:noProof/>
          <w:sz w:val="28"/>
        </w:rPr>
        <w:t xml:space="preserve"> 2</w:t>
      </w:r>
      <w:r>
        <w:rPr>
          <w:sz w:val="28"/>
        </w:rPr>
        <w:t xml:space="preserve"> Конвенції про правовий статус осіб без громадянства, ст.</w:t>
      </w:r>
      <w:r>
        <w:rPr>
          <w:noProof/>
          <w:sz w:val="28"/>
        </w:rPr>
        <w:t xml:space="preserve"> 2</w:t>
      </w:r>
      <w:r>
        <w:rPr>
          <w:sz w:val="28"/>
        </w:rPr>
        <w:t xml:space="preserve"> Конвенції про правовий статус біженців.</w:t>
      </w:r>
    </w:p>
    <w:p w:rsidR="00F10D2E" w:rsidRDefault="00B14B9E">
      <w:pPr>
        <w:pStyle w:val="1"/>
        <w:spacing w:line="360" w:lineRule="auto"/>
        <w:ind w:right="57" w:firstLine="260"/>
        <w:rPr>
          <w:sz w:val="28"/>
        </w:rPr>
      </w:pPr>
      <w:r>
        <w:rPr>
          <w:sz w:val="28"/>
        </w:rPr>
        <w:t xml:space="preserve">Принцип </w:t>
      </w:r>
      <w:r>
        <w:rPr>
          <w:i/>
          <w:sz w:val="28"/>
        </w:rPr>
        <w:t>свободи виїзду</w:t>
      </w:r>
      <w:r>
        <w:rPr>
          <w:sz w:val="28"/>
        </w:rPr>
        <w:t xml:space="preserve"> іноземця з території держави пере</w:t>
      </w:r>
      <w:r>
        <w:rPr>
          <w:sz w:val="28"/>
        </w:rPr>
        <w:softHyphen/>
        <w:t>бування закріплений у ст.</w:t>
      </w:r>
      <w:r>
        <w:rPr>
          <w:noProof/>
          <w:sz w:val="28"/>
        </w:rPr>
        <w:t xml:space="preserve"> 13</w:t>
      </w:r>
      <w:r>
        <w:rPr>
          <w:sz w:val="28"/>
        </w:rPr>
        <w:t xml:space="preserve"> Загальної декларації прав лю</w:t>
      </w:r>
      <w:r>
        <w:rPr>
          <w:sz w:val="28"/>
        </w:rPr>
        <w:softHyphen/>
        <w:t>дини, ст.</w:t>
      </w:r>
      <w:r>
        <w:rPr>
          <w:noProof/>
          <w:sz w:val="28"/>
        </w:rPr>
        <w:t xml:space="preserve"> 12</w:t>
      </w:r>
      <w:r>
        <w:rPr>
          <w:sz w:val="28"/>
        </w:rPr>
        <w:t xml:space="preserve"> Міжнародного пакту про громадянські й політичні права, іншими міжнародними актами. Він зазначається також у конституціях багатьох правових систем (приміром, ч.</w:t>
      </w:r>
      <w:r>
        <w:rPr>
          <w:noProof/>
          <w:sz w:val="28"/>
        </w:rPr>
        <w:t xml:space="preserve"> 11 </w:t>
      </w:r>
      <w:r>
        <w:rPr>
          <w:sz w:val="28"/>
        </w:rPr>
        <w:t>ст.</w:t>
      </w:r>
      <w:r>
        <w:rPr>
          <w:noProof/>
          <w:sz w:val="28"/>
        </w:rPr>
        <w:t xml:space="preserve"> 22</w:t>
      </w:r>
      <w:r>
        <w:rPr>
          <w:sz w:val="28"/>
        </w:rPr>
        <w:t xml:space="preserve"> Конституції Японії) та в інших національних і міжна</w:t>
      </w:r>
      <w:r>
        <w:rPr>
          <w:sz w:val="28"/>
        </w:rPr>
        <w:softHyphen/>
        <w:t>родних актах</w:t>
      </w:r>
      <w:r>
        <w:rPr>
          <w:sz w:val="28"/>
          <w:vertAlign w:val="superscript"/>
        </w:rPr>
        <w:t>1</w:t>
      </w:r>
      <w:r>
        <w:rPr>
          <w:sz w:val="28"/>
        </w:rPr>
        <w:t>. Проте кожна держава у своєму законодавстві</w:t>
      </w:r>
    </w:p>
    <w:p w:rsidR="00F10D2E" w:rsidRDefault="00B14B9E">
      <w:pPr>
        <w:pStyle w:val="1"/>
        <w:spacing w:before="220" w:line="360" w:lineRule="auto"/>
        <w:ind w:right="57" w:firstLine="400"/>
        <w:rPr>
          <w:sz w:val="28"/>
          <w:lang w:val="ru-RU"/>
        </w:rPr>
      </w:pPr>
      <w:r>
        <w:rPr>
          <w:sz w:val="28"/>
        </w:rPr>
        <w:t>Яскравим прикладом щодо свободи пересування, в т. ч. виїзду, є реаліза</w:t>
      </w:r>
      <w:r>
        <w:rPr>
          <w:sz w:val="28"/>
        </w:rPr>
        <w:softHyphen/>
        <w:t>ція Шенгенської угоди. Відповідно до неї в центрі Європи встановлено безві</w:t>
      </w:r>
      <w:r>
        <w:rPr>
          <w:sz w:val="28"/>
        </w:rPr>
        <w:softHyphen/>
        <w:t>зовий режим пересування. Сім із п'ятнадцяти країн—членів Європейського Союзу (далі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ЄС) увійшли до Шенгенської угоди. Підписали конвенцію також Італія, Греція, Австрія, проте вони й досі не виконали всіх вимог, а тому й не користуються перевагами Шенгенського простору. Спостерігачами стали й Данія, Фінляндія, Швеція, а також Норвегія та Ісландія, котрі не є членами ЄС. Україна в цій інтеграції участі не бере. В Україні було заплановано за</w:t>
      </w:r>
      <w:r>
        <w:rPr>
          <w:sz w:val="28"/>
        </w:rPr>
        <w:softHyphen/>
        <w:t>вершити перехід на новий режим, який не відрізнявся б від правил в'їзду до країн ШенченськоІ угоди до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грудня</w:t>
      </w:r>
      <w:r>
        <w:rPr>
          <w:noProof/>
          <w:sz w:val="28"/>
        </w:rPr>
        <w:t xml:space="preserve"> 1999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</w:t>
      </w:r>
    </w:p>
    <w:p w:rsidR="00F10D2E" w:rsidRDefault="00B14B9E">
      <w:pPr>
        <w:pStyle w:val="1"/>
        <w:spacing w:before="220" w:line="360" w:lineRule="auto"/>
        <w:ind w:right="57" w:firstLine="400"/>
        <w:rPr>
          <w:sz w:val="28"/>
        </w:rPr>
      </w:pPr>
      <w:r>
        <w:rPr>
          <w:sz w:val="28"/>
        </w:rPr>
        <w:t>відповідно до</w:t>
      </w:r>
      <w:r>
        <w:rPr>
          <w:sz w:val="28"/>
          <w:lang w:val="ru-RU"/>
        </w:rPr>
        <w:t xml:space="preserve"> ст.</w:t>
      </w:r>
      <w:r>
        <w:rPr>
          <w:noProof/>
          <w:sz w:val="28"/>
        </w:rPr>
        <w:t xml:space="preserve"> 12</w:t>
      </w:r>
      <w:r>
        <w:rPr>
          <w:sz w:val="28"/>
        </w:rPr>
        <w:t xml:space="preserve"> Міжнародного пакту про громадянські й політичні права, таких же вимог інших міжнародних докумен</w:t>
      </w:r>
      <w:r>
        <w:rPr>
          <w:sz w:val="28"/>
        </w:rPr>
        <w:softHyphen/>
        <w:t>тів може встановлювати обмеження виїзду іноземців із влас</w:t>
      </w:r>
      <w:r>
        <w:rPr>
          <w:sz w:val="28"/>
        </w:rPr>
        <w:softHyphen/>
        <w:t>ної території.</w:t>
      </w:r>
    </w:p>
    <w:p w:rsidR="00F10D2E" w:rsidRDefault="00F10D2E">
      <w:pPr>
        <w:spacing w:line="360" w:lineRule="auto"/>
        <w:rPr>
          <w:lang w:val="uk-UA"/>
        </w:rPr>
      </w:pPr>
      <w:bookmarkStart w:id="0" w:name="_GoBack"/>
      <w:bookmarkEnd w:id="0"/>
    </w:p>
    <w:sectPr w:rsidR="00F10D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B9E"/>
    <w:rsid w:val="00466370"/>
    <w:rsid w:val="00B14B9E"/>
    <w:rsid w:val="00F1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AE560-7208-4F04-BAD6-B123E4A95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ind w:firstLine="220"/>
      <w:jc w:val="both"/>
    </w:pPr>
    <w:rPr>
      <w:snapToGrid w:val="0"/>
      <w:lang w:val="uk-UA"/>
    </w:rPr>
  </w:style>
  <w:style w:type="paragraph" w:customStyle="1" w:styleId="FR3">
    <w:name w:val="FR3"/>
    <w:pPr>
      <w:widowControl w:val="0"/>
      <w:spacing w:line="260" w:lineRule="auto"/>
      <w:jc w:val="both"/>
    </w:pPr>
    <w:rPr>
      <w:rFonts w:ascii="Arial" w:hAnsi="Arial"/>
      <w:i/>
      <w:snapToGrid w:val="0"/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Правові засади регулювання статусу фізичних осіб у міжнародному приватному праві</vt:lpstr>
    </vt:vector>
  </TitlesOfParts>
  <Manager>Право. Міжнародні відносини</Manager>
  <Company> Право. Міжнародні відносини</Company>
  <LinksUpToDate>false</LinksUpToDate>
  <CharactersWithSpaces>7269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Правові засади регулювання статусу фізичних осіб у міжнародному приватному праві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2014-04-24T03:47:00Z</dcterms:created>
  <dcterms:modified xsi:type="dcterms:W3CDTF">2014-04-24T03:47:00Z</dcterms:modified>
  <cp:category>Право. Міжнародні відносини</cp:category>
</cp:coreProperties>
</file>