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40E" w:rsidRDefault="001D440E" w:rsidP="006829D2">
      <w:pPr>
        <w:spacing w:before="100" w:beforeAutospacing="1" w:after="100" w:afterAutospacing="1" w:line="240" w:lineRule="auto"/>
        <w:ind w:left="-1418"/>
        <w:outlineLvl w:val="1"/>
        <w:rPr>
          <w:rFonts w:ascii="Times New Roman" w:hAnsi="Times New Roman"/>
          <w:b/>
          <w:bCs/>
          <w:color w:val="548DD4"/>
          <w:sz w:val="18"/>
          <w:szCs w:val="18"/>
          <w:lang w:eastAsia="ru-RU"/>
        </w:rPr>
      </w:pPr>
    </w:p>
    <w:p w:rsidR="00E03E0B" w:rsidRPr="006829D2" w:rsidRDefault="00E03E0B" w:rsidP="006829D2">
      <w:pPr>
        <w:spacing w:before="100" w:beforeAutospacing="1" w:after="100" w:afterAutospacing="1" w:line="240" w:lineRule="auto"/>
        <w:ind w:left="-1418"/>
        <w:outlineLvl w:val="1"/>
        <w:rPr>
          <w:rFonts w:ascii="Times New Roman" w:hAnsi="Times New Roman"/>
          <w:b/>
          <w:bCs/>
          <w:color w:val="548DD4"/>
          <w:sz w:val="18"/>
          <w:szCs w:val="18"/>
          <w:lang w:eastAsia="ru-RU"/>
        </w:rPr>
      </w:pPr>
      <w:r w:rsidRPr="006829D2">
        <w:rPr>
          <w:rFonts w:ascii="Times New Roman" w:hAnsi="Times New Roman"/>
          <w:b/>
          <w:bCs/>
          <w:color w:val="548DD4"/>
          <w:sz w:val="18"/>
          <w:szCs w:val="18"/>
          <w:lang w:eastAsia="ru-RU"/>
        </w:rPr>
        <w:t>Гражданское право по Соборному уложению 1649 г</w:t>
      </w:r>
    </w:p>
    <w:p w:rsidR="00E03E0B" w:rsidRPr="00D415CE" w:rsidRDefault="00E03E0B" w:rsidP="009F2D3B">
      <w:pPr>
        <w:spacing w:before="100" w:beforeAutospacing="1" w:after="100" w:afterAutospacing="1" w:line="240" w:lineRule="auto"/>
        <w:ind w:left="-1418"/>
        <w:outlineLvl w:val="2"/>
        <w:rPr>
          <w:rFonts w:ascii="Times New Roman" w:hAnsi="Times New Roman"/>
          <w:b/>
          <w:bCs/>
          <w:color w:val="8DB3E2"/>
          <w:sz w:val="18"/>
          <w:szCs w:val="18"/>
          <w:lang w:eastAsia="ru-RU"/>
        </w:rPr>
      </w:pPr>
      <w:r w:rsidRPr="00D415CE">
        <w:rPr>
          <w:rFonts w:ascii="Times New Roman" w:hAnsi="Times New Roman"/>
          <w:color w:val="8DB3E2"/>
          <w:sz w:val="18"/>
          <w:szCs w:val="18"/>
          <w:lang w:eastAsia="ru-RU"/>
        </w:rPr>
        <w:t xml:space="preserve">В </w:t>
      </w:r>
      <w:r w:rsidRPr="00D415CE">
        <w:rPr>
          <w:rFonts w:ascii="Times New Roman" w:hAnsi="Times New Roman"/>
          <w:color w:val="8DB3E2"/>
          <w:sz w:val="18"/>
          <w:szCs w:val="18"/>
          <w:u w:val="single"/>
          <w:lang w:eastAsia="ru-RU"/>
        </w:rPr>
        <w:t>Соборном Уложении 1649</w:t>
      </w:r>
      <w:r w:rsidRPr="00D415CE">
        <w:rPr>
          <w:rFonts w:ascii="Times New Roman" w:hAnsi="Times New Roman"/>
          <w:color w:val="8DB3E2"/>
          <w:sz w:val="18"/>
          <w:szCs w:val="18"/>
          <w:lang w:eastAsia="ru-RU"/>
        </w:rPr>
        <w:t xml:space="preserve"> г. большое внимание уделяло защите форм феодального землевладения (гл. 16, 17). Глава 16 «О поместных землях» расширила права дворян, сделав первый шаг в уравнивании прав владельцев поместий и вотчин. Статья 2 гл. 16 устанавливала право обмена поместий на вотчину только с согласия царя: Обмен поместий различных качеств не влек за собой денежной компенсации.</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Закон предлагал расписать «меновые поместья» по «полюбовному челобитью» (ст. 3 гл. 16).</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В статье 8 гл. 16 говорилось, что в случае старости, болезни увечья, право пользования поместьем передавалось сыновьям если они несли военную службу: иногда по усмотрению царя поместье жаловалось в пожизненное пользование.</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 xml:space="preserve">Основанием получения поместного владения являлась служба государю (военная, административная и т. д.). </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 xml:space="preserve">В развитии правового статуса поместья особое значение имел прожиток, т.е. часть поместья, выделяемая после смерти его владельца на содержание вдовы, дочерей, престарелых родителей, несовершеннолетних детей. Матери или жены дворян, погибших на войне, получали на содержание поместье, которой подлежало передаче детям (ст. 22 гл. 16). Закреплялось право на дополнительное поместье за военную службу (ст. 24 гл. 16). Определялся размер поместий, получаемых вдовой и дочерью на содержание, в зависимости от обстоятельств смерти дворянина (ст. 30-32 гл. 16). Следовательно, </w:t>
      </w:r>
      <w:r w:rsidRPr="00D415CE">
        <w:rPr>
          <w:rFonts w:ascii="Times New Roman" w:hAnsi="Times New Roman"/>
          <w:color w:val="8DB3E2"/>
          <w:sz w:val="18"/>
          <w:szCs w:val="18"/>
          <w:u w:val="single"/>
          <w:lang w:eastAsia="ru-RU"/>
        </w:rPr>
        <w:t>Уложение 1649</w:t>
      </w:r>
      <w:r w:rsidRPr="00D415CE">
        <w:rPr>
          <w:rFonts w:ascii="Times New Roman" w:hAnsi="Times New Roman"/>
          <w:color w:val="8DB3E2"/>
          <w:sz w:val="18"/>
          <w:szCs w:val="18"/>
          <w:lang w:eastAsia="ru-RU"/>
        </w:rPr>
        <w:t xml:space="preserve"> г. содержит целый комплекс правовых норм, связанных с наследованием поместья.</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Интересна ст. 17 гл. 16, в которой говорилось, что оставшаяся после родителей дочь владела поместьем,. полученным ею на свое содержание до замужества, после чего она передавала свое поместье мужу в качестве приданого.</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 xml:space="preserve">Одним из оснований прекращения права дворянина на поместье по </w:t>
      </w:r>
      <w:r w:rsidRPr="00D415CE">
        <w:rPr>
          <w:rFonts w:ascii="Times New Roman" w:hAnsi="Times New Roman"/>
          <w:color w:val="8DB3E2"/>
          <w:sz w:val="18"/>
          <w:szCs w:val="18"/>
          <w:u w:val="single"/>
          <w:lang w:eastAsia="ru-RU"/>
        </w:rPr>
        <w:t>Соборному Уложению</w:t>
      </w:r>
      <w:r w:rsidRPr="00D415CE">
        <w:rPr>
          <w:rFonts w:ascii="Times New Roman" w:hAnsi="Times New Roman"/>
          <w:color w:val="8DB3E2"/>
          <w:sz w:val="18"/>
          <w:szCs w:val="18"/>
          <w:lang w:eastAsia="ru-RU"/>
        </w:rPr>
        <w:t xml:space="preserve"> являлось длительное (свыше 10 лет) пребывание в плену, (ст. 29 гл. 16), но по возвращении из плена он вправе был требовать поместье назад.</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 xml:space="preserve">За провинности или преступление поместье у дворянина отбиралось и передавалось другому (ст. 38 гл. 16). Поместье после смерти его владельца (ст. 58 гл. 16) делилось поровну между наследниками: женой и детьми. Другой разновидностью феодальной собственности на землю было вотчинное землевладение и в </w:t>
      </w:r>
      <w:r w:rsidRPr="00D415CE">
        <w:rPr>
          <w:rFonts w:ascii="Times New Roman" w:hAnsi="Times New Roman"/>
          <w:color w:val="8DB3E2"/>
          <w:sz w:val="18"/>
          <w:szCs w:val="18"/>
          <w:u w:val="single"/>
          <w:lang w:eastAsia="ru-RU"/>
        </w:rPr>
        <w:t>Уложении 1649</w:t>
      </w:r>
      <w:r w:rsidRPr="00D415CE">
        <w:rPr>
          <w:rFonts w:ascii="Times New Roman" w:hAnsi="Times New Roman"/>
          <w:color w:val="8DB3E2"/>
          <w:sz w:val="18"/>
          <w:szCs w:val="18"/>
          <w:lang w:eastAsia="ru-RU"/>
        </w:rPr>
        <w:t xml:space="preserve"> г. ее правовому положению отведена специальная глава 17.</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Вотчина, как более ранняя форма феодального землевладения постепенно утратила свое привилегированное положение, она уже не являлась пожизненным землевладением, а зависела от воли царя. Важнейшей стороной правового статуса вотчинного землевладения было право наследования вотчин.</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 xml:space="preserve">Вотчинники не имели права отчуждать свои земли церкви. Родовые и купленные вотчины не наследовались бездетной вдовой умершего вотчинника (ст. 1 гл. 17), она имела право получить в наследство после мужа только купленные им вотчины. Вотчины по </w:t>
      </w:r>
      <w:r w:rsidRPr="00D415CE">
        <w:rPr>
          <w:rFonts w:ascii="Times New Roman" w:hAnsi="Times New Roman"/>
          <w:color w:val="8DB3E2"/>
          <w:sz w:val="18"/>
          <w:szCs w:val="18"/>
          <w:u w:val="single"/>
          <w:lang w:eastAsia="ru-RU"/>
        </w:rPr>
        <w:t>Уложению 1649</w:t>
      </w:r>
      <w:r w:rsidRPr="00D415CE">
        <w:rPr>
          <w:rFonts w:ascii="Times New Roman" w:hAnsi="Times New Roman"/>
          <w:color w:val="8DB3E2"/>
          <w:sz w:val="18"/>
          <w:szCs w:val="18"/>
          <w:lang w:eastAsia="ru-RU"/>
        </w:rPr>
        <w:t xml:space="preserve"> г. наследовали сыновья, дочери - только после смерти братьев (ст. 2 гл. 17). Могли наследовать и родственники по боковой линии. При наследовании вотчины двумя-тремя и более сыновьями право на наследство принадлежало всем в равной мере. Право на отчуждение вотчины также принадлежало в равной мере всем ее наследникам. Таким путем закон защищал права на вотчины несовершеннолетних совладельцев.</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 xml:space="preserve">Купленная вотчина, полученная вдовой по наследству отдельно от детей, считалась ее собственностью (ст. 6-7 гл. 17). Статьи 16-17 гл. 17 </w:t>
      </w:r>
      <w:r w:rsidRPr="00D415CE">
        <w:rPr>
          <w:rFonts w:ascii="Times New Roman" w:hAnsi="Times New Roman"/>
          <w:color w:val="8DB3E2"/>
          <w:sz w:val="18"/>
          <w:szCs w:val="18"/>
          <w:u w:val="single"/>
          <w:lang w:eastAsia="ru-RU"/>
        </w:rPr>
        <w:t>Соборного Уложения</w:t>
      </w:r>
      <w:r w:rsidRPr="00D415CE">
        <w:rPr>
          <w:rFonts w:ascii="Times New Roman" w:hAnsi="Times New Roman"/>
          <w:color w:val="8DB3E2"/>
          <w:sz w:val="18"/>
          <w:szCs w:val="18"/>
          <w:lang w:eastAsia="ru-RU"/>
        </w:rPr>
        <w:t xml:space="preserve"> узаконили правовое положение землевладельцев жалованных вотчин.</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Владельцы вотчин, так же как и владельцы поместий, за совершенное преступление -- измену, лишались права владения ими (ст. 25-26 гл. 17). но вотчинник мог продать родовую вотчину и обладал правом на все виды отчуждения.</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Всякие сделки купли-продажи вотчины оформлялись путем записи в книгах поместного приказа, в противном случае сделки считались недействительными (ст. 34-36 гл. 17). Если же сделки совершались обманным путем в обход закона, то вотчинник подлежал публичному наказанию кнутом.</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Владеть вотчинами могли дворяне и их дети, как находящиеся на службе у царя, так и служившие высшему духовенству (ст.37 гл. 17).</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 xml:space="preserve">Статья 42 гл. 17 </w:t>
      </w:r>
      <w:r w:rsidRPr="00D415CE">
        <w:rPr>
          <w:rFonts w:ascii="Times New Roman" w:hAnsi="Times New Roman"/>
          <w:color w:val="8DB3E2"/>
          <w:sz w:val="18"/>
          <w:szCs w:val="18"/>
          <w:u w:val="single"/>
          <w:lang w:eastAsia="ru-RU"/>
        </w:rPr>
        <w:t>Соборного Уложения</w:t>
      </w:r>
      <w:r w:rsidRPr="00D415CE">
        <w:rPr>
          <w:rFonts w:ascii="Times New Roman" w:hAnsi="Times New Roman"/>
          <w:color w:val="8DB3E2"/>
          <w:sz w:val="18"/>
          <w:szCs w:val="18"/>
          <w:lang w:eastAsia="ru-RU"/>
        </w:rPr>
        <w:t xml:space="preserve"> запрещала завещать продавать или закладывать родовые, выслуженные или купленные вотчины монастырям или духовенству, что свидетельствовало об ограничении церковного землевладения.</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В ст.196 - 197 гл. 10 развиваются нормы о залоге. Так, в случае нарушения залогодержателем срока хранения вещи в залоге, собственность на нее переходила к залогодателю. При этом разница в сумме займа и заложенной вещи не учитывалась.</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 xml:space="preserve">При невыплате долга взыскивалось имущество, при несостоятельности должник выдавался кредитору с головой. Наследники отвечали за долги наследователя (ст. -132, 207 гл. 10). </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Все договоры оформлялись в письменном виде (ст. 246-250 гл. 10), устанавливались формы совершения разного рода сделок. Крупная сделка составлялась площадным подъячим, менее крупные заключались домашним способом и подписывались сторонами. Предусматривалась ответственность (ст. 251-253 гл. 10) за составление подложной крепости, сделки по принуждению, попытки ложного обвинения в принуждении к сделке.</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Договор по займу (ст. 254-260 гл. 10) предусматривал взыскание процентов, но лишал их судебной защиты. Срок исковой давности определялся в 15 лет, частичная уплата прерывала давность.</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Статьи 189-192 гл. 10 закрепляли договор поклажи.</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 xml:space="preserve">Впервые ст. 193 гл. 10 регламентировала договор подряда подрядчик отвечал за материал, взятый у заказчика. В </w:t>
      </w:r>
      <w:r w:rsidRPr="00D415CE">
        <w:rPr>
          <w:rFonts w:ascii="Times New Roman" w:hAnsi="Times New Roman"/>
          <w:color w:val="8DB3E2"/>
          <w:sz w:val="18"/>
          <w:szCs w:val="18"/>
          <w:u w:val="single"/>
          <w:lang w:eastAsia="ru-RU"/>
        </w:rPr>
        <w:t>Соборном Уложении</w:t>
      </w:r>
      <w:r w:rsidRPr="00D415CE">
        <w:rPr>
          <w:rFonts w:ascii="Times New Roman" w:hAnsi="Times New Roman"/>
          <w:color w:val="8DB3E2"/>
          <w:sz w:val="18"/>
          <w:szCs w:val="18"/>
          <w:lang w:eastAsia="ru-RU"/>
        </w:rPr>
        <w:t xml:space="preserve"> содержатся и нормы семейно-брачных отношений. Закон допускал заключение брака не более трех раз, последующих юридических последствий не влекли.</w:t>
      </w:r>
      <w:r w:rsidRPr="00D415CE">
        <w:rPr>
          <w:rFonts w:ascii="Times New Roman" w:hAnsi="Times New Roman"/>
          <w:b/>
          <w:bCs/>
          <w:color w:val="8DB3E2"/>
          <w:sz w:val="18"/>
          <w:szCs w:val="18"/>
          <w:lang w:eastAsia="ru-RU"/>
        </w:rPr>
        <w:t xml:space="preserve">                                                                                                                                                                                                      </w:t>
      </w:r>
      <w:r w:rsidRPr="00D415CE">
        <w:rPr>
          <w:rFonts w:ascii="Times New Roman" w:hAnsi="Times New Roman"/>
          <w:color w:val="8DB3E2"/>
          <w:sz w:val="18"/>
          <w:szCs w:val="18"/>
          <w:lang w:eastAsia="ru-RU"/>
        </w:rPr>
        <w:t>Статьи 189-192 гл. 10 закрепляли договор поклажи. Неравными были права и ответственность родителей и детей. Жена по Уложению могла быть отдана мужем в услужение, записана в кабалу. Дети, убившие родителей, карались смертной казнью «безо всякой пощады», а убийство родителями детей каралось тюремным заключением на год (ст. 3 гл. 22).</w:t>
      </w:r>
    </w:p>
    <w:p w:rsidR="00E03E0B" w:rsidRPr="00D415CE" w:rsidRDefault="00E03E0B" w:rsidP="00FB2C88">
      <w:pPr>
        <w:pStyle w:val="a4"/>
        <w:ind w:left="-1418"/>
        <w:rPr>
          <w:b/>
          <w:color w:val="8DB3E2"/>
          <w:sz w:val="18"/>
          <w:szCs w:val="18"/>
        </w:rPr>
      </w:pPr>
      <w:r w:rsidRPr="00D415CE">
        <w:rPr>
          <w:b/>
          <w:color w:val="8DB3E2"/>
          <w:sz w:val="18"/>
          <w:szCs w:val="18"/>
        </w:rPr>
        <w:t>Система обязательств и положение договора по Соборному уложению 1649 г.</w:t>
      </w:r>
    </w:p>
    <w:p w:rsidR="00E03E0B" w:rsidRPr="00D415CE" w:rsidRDefault="00E03E0B" w:rsidP="00FB2C88">
      <w:pPr>
        <w:pStyle w:val="a4"/>
        <w:ind w:left="-1418"/>
        <w:rPr>
          <w:color w:val="8DB3E2"/>
          <w:sz w:val="18"/>
          <w:szCs w:val="18"/>
        </w:rPr>
      </w:pPr>
      <w:r w:rsidRPr="00D415CE">
        <w:rPr>
          <w:color w:val="8DB3E2"/>
          <w:sz w:val="18"/>
          <w:szCs w:val="18"/>
        </w:rPr>
        <w:t>В Соборном Уложении отражена достаточно развитая для того времени система обязательств. Обязательства по договорам преобладают перед внедоговорными.                                                                                                                                                                                                     Обязательства, вытекающие из договора, стали обеспечиваться не личностью, а имуществом ответчика. Ответственность не была индивидуальной.</w:t>
      </w:r>
      <w:r w:rsidRPr="00D415CE">
        <w:rPr>
          <w:color w:val="8DB3E2"/>
          <w:sz w:val="18"/>
          <w:szCs w:val="18"/>
        </w:rPr>
        <w:br/>
        <w:t>Долги по обязательствам переходили по наследству. В случае стихийных бедствий предусматривалась отсрочка уплаты долга до 3 лет.                                    Соборному Уложению известны и обязательства из причинения вреда</w:t>
      </w:r>
      <w:r w:rsidRPr="00D415CE">
        <w:rPr>
          <w:color w:val="8DB3E2"/>
          <w:sz w:val="18"/>
          <w:szCs w:val="18"/>
        </w:rPr>
        <w:br/>
        <w:t>(например, возмещение ущерба, вызванного потравами полей).                                                                                                                                    Соборное Уложение много внимания уделило формам заключения договоров.</w:t>
      </w:r>
      <w:r w:rsidRPr="00D415CE">
        <w:rPr>
          <w:color w:val="8DB3E2"/>
          <w:sz w:val="18"/>
          <w:szCs w:val="18"/>
        </w:rPr>
        <w:br/>
        <w:t>Все большее значение приобретала письменная форма заключения договоров</w:t>
      </w:r>
      <w:r w:rsidRPr="00D415CE">
        <w:rPr>
          <w:color w:val="8DB3E2"/>
          <w:sz w:val="18"/>
          <w:szCs w:val="18"/>
        </w:rPr>
        <w:br/>
        <w:t>(«крепость», «кабала»), а для некоторых, наиболее важных, (например, купчая на земли или дворы),- крепостная, требовавшая официального засвидетельствования или регистрации в учреждении.                                                                                                                                       ПО Указу 7 июня 1635 г. судам запрещалось принимать дела по займам, поклажам, ссудам, если не имелось письменных документов.                                 Соборное уложение 1649 16 века грамоты на полное холопство, служилые кабалы, отпускные грамоты, купчие на лошадей обязательно должны были быть</w:t>
      </w:r>
      <w:r w:rsidRPr="00D415CE">
        <w:rPr>
          <w:color w:val="8DB3E2"/>
          <w:sz w:val="18"/>
          <w:szCs w:val="18"/>
        </w:rPr>
        <w:br/>
        <w:t>«крепостными». Соборное уложение 1649 1558г., такая форма стала обязательной для купчих на недвижимость, а также для договоров поклажи.                                                                                                                                                                                                                                            По Уложению всякие акты должны были писаться площадными подъячими при свидетелях. По более важным делам (купчие и закладные на вотчины и дворы) свидетелей должно быть 5-6 человек, по менее важным – два-три человека.                                                                                                         Неисполнение договора влекло за собой уплату неустойки.                                                                                                                                                        Если покупатель приобретал вещь, на которую продавец не имел права собственности, он должен был возвратить вещь законному собственнику и доказать свое незнание того, что продавец не имел права собственности на вещь.                                                                         Определялся порядок признания договора недействительным.</w:t>
      </w:r>
      <w:r w:rsidRPr="00D415CE">
        <w:rPr>
          <w:color w:val="8DB3E2"/>
          <w:sz w:val="18"/>
          <w:szCs w:val="18"/>
        </w:rPr>
        <w:br/>
        <w:t>Недействительными считались договоры, заключенные в состоянии опьянения, с применением насилия или путем обмана.</w:t>
      </w:r>
    </w:p>
    <w:p w:rsidR="00E03E0B" w:rsidRPr="00D415CE" w:rsidRDefault="00E03E0B" w:rsidP="009F2D3B">
      <w:pPr>
        <w:pStyle w:val="a4"/>
        <w:ind w:left="-1418"/>
        <w:rPr>
          <w:color w:val="8DB3E2"/>
          <w:sz w:val="18"/>
          <w:szCs w:val="18"/>
        </w:rPr>
      </w:pPr>
      <w:r w:rsidRPr="00D415CE">
        <w:rPr>
          <w:i/>
          <w:color w:val="8DB3E2"/>
          <w:sz w:val="18"/>
          <w:szCs w:val="18"/>
        </w:rPr>
        <w:t>Соборному Уложению известны договоры купли-продажи, мены, дарения, хранения, поклажи, найма имущества и некоторые другие</w:t>
      </w:r>
      <w:r w:rsidRPr="00D415CE">
        <w:rPr>
          <w:color w:val="8DB3E2"/>
          <w:sz w:val="18"/>
          <w:szCs w:val="18"/>
        </w:rPr>
        <w:t>.                                                     Большие изменения Соборного Уложения 1649 года касались области вещного, обязательственного и наследственного права. Сфера гражданско- правовых отношений была определена достаточно четко. К этому побуждали развитие товарно-денежных отношений, формирование новых типов и форм собственности, количественный рост гражданско-правовых сделок.                                                                   Предписана имущественная ответственность при нанесении ущерба. Сделки, заключенные в состоянии опьянения, считаются недействительными.                                                                                                                                                                                                                Имущество в договорах должно принадлежать сторонам договора на законном основании. В некоторых случаях государственный органы принудительно прекращали договоры или продлевали их.                                                                                                                                                         Согласно общему правилу, смерть должника могла служить основанием для переноса имущественной ответственности на его родственников (жена, дети, братья).                                                                                                                                                                                    Ответственность по долгам распространялась на все виды имущества –</w:t>
      </w:r>
      <w:r w:rsidRPr="00D415CE">
        <w:rPr>
          <w:color w:val="8DB3E2"/>
          <w:sz w:val="18"/>
          <w:szCs w:val="18"/>
        </w:rPr>
        <w:br/>
        <w:t xml:space="preserve">«поместья, вотчины, живот» ( ст.142, гл.10).                                                                                                                                                                       </w:t>
      </w:r>
      <w:r w:rsidRPr="00D415CE">
        <w:rPr>
          <w:i/>
          <w:color w:val="8DB3E2"/>
          <w:sz w:val="18"/>
          <w:szCs w:val="18"/>
        </w:rPr>
        <w:t>Субъектами гражданско-правовых отношений являлись как частные</w:t>
      </w:r>
      <w:r w:rsidRPr="00D415CE">
        <w:rPr>
          <w:color w:val="8DB3E2"/>
          <w:sz w:val="18"/>
          <w:szCs w:val="18"/>
        </w:rPr>
        <w:br/>
        <w:t>(физические), так и коллективные лица, причем постепенно расширялись юридические права частного лица за счет уступок со стороны лица коллективного. Для правоотношений, возникавших на основе норм, регламентирующих сферу имущественных отношений, характерна стала неустойчивость статуса самого субъекта прав и обязанностей. Прежде всего, это выражалось в расчленении нескольких правомочий, связанных с одним субъектом и одним правом (например, условное землевладение давало субъекту право владения и пользования, но не распоряжения предметом). С этим возникала сложность в определении истинного полноправного субъекта.</w:t>
      </w:r>
      <w:r w:rsidRPr="00D415CE">
        <w:rPr>
          <w:color w:val="8DB3E2"/>
          <w:sz w:val="18"/>
          <w:szCs w:val="18"/>
        </w:rPr>
        <w:br/>
        <w:t>Субъекты гражданского права должны были удовлетворять определенным требованиям, таким как пол (наблюдалось существенное возрастание правоспособности женщины по сравнению с предыдущим этапом), возраст (ценз в</w:t>
      </w:r>
      <w:r w:rsidRPr="00D415CE">
        <w:rPr>
          <w:color w:val="8DB3E2"/>
          <w:sz w:val="18"/>
          <w:szCs w:val="18"/>
        </w:rPr>
        <w:br/>
        <w:t>15-20 лет давал возможность самостоятельного принятия поместья, кабальных обязательств и т.д.), социальное и имущественное положение.                                                                                                                                                                                                                                Вещи по Соборному Уложению были предметом целого ряда правомочий, отношений и обязательств. Основными способами приобретения имущества считались захват, давность, находка, пожалование и непосредственно приобретение в обмене или при покупке.                    В Уложении 1649 года особо рассматривается процедура пожалования земли.</w:t>
      </w:r>
      <w:r w:rsidRPr="00D415CE">
        <w:rPr>
          <w:color w:val="8DB3E2"/>
          <w:sz w:val="18"/>
          <w:szCs w:val="18"/>
        </w:rPr>
        <w:br/>
        <w:t>Она представляло собой сложный комплекс юридических действий, включавший выдачу жалованной грамоты; составление справки (т.е. запись в приказной книге определенных сведений о наделяемом лице); ввод во владение, который заключался в публичном отмере земли. Раздачу земли, наряду с Поместным приказом, осуществляли и другие органы - Разрядный приказ, Приказ Большого дворца, Малороссийский, Новгородский, Сибирский и другие. Договор в XVII веке оставался основным способом приобретения прав собственности на имущество, и, в частности, на землю. В договоре теряют значение ритуальные обряды, происходит замена формализованных действий (участие свидетелей при заключении договора) письменными актами (“рукоприкладством” свидетелей без их личного участия)[8].                                                                                                                                                                                                               Впервые в Соборном Уложении 1649 года регламентировался институт сервитутов - юридическое ограничение права собственности одного лица в интересах права пользования другого или других лиц. Личные сервитуты –это ограничения в пользу определенных лиц, специально оговоренных в законе, например, потрава лугов ратниками, находящимися на службе. Вещные сервитуты</w:t>
      </w:r>
      <w:r w:rsidRPr="00D415CE">
        <w:rPr>
          <w:color w:val="8DB3E2"/>
          <w:sz w:val="18"/>
          <w:szCs w:val="18"/>
        </w:rPr>
        <w:br/>
        <w:t>– это ограничение права собственности в интересах неопределенного числа субъектов. Они включали право владельца мельницы в производственных целях заливать нижележащий луг, принадлежащий другому лицу; возможность возводить печь у стены соседского дома или строить дом на меже чужого участка и т.д.</w:t>
      </w:r>
      <w:r w:rsidRPr="00D415CE">
        <w:rPr>
          <w:color w:val="8DB3E2"/>
          <w:sz w:val="18"/>
          <w:szCs w:val="18"/>
        </w:rPr>
        <w:br/>
        <w:t>(гл.10). Наряду с этим, право собственности ограничивалось либо прямым предписанием закона, либо установлением правового режима, который не гарантировал “вечной собственности”.                                                                                                                                                      Соборное уложение определяет право на чужую вещь: право ставить запруды на реке в пределах своего владения, но при условии, что соседним помещикам запруды не принесут ущерба; право покосов, рыбной ловли, охоты в лесах на землях, принадлежавших другому владельцу. В городах запрещалась постройка печей, поварен вплотную к соседним строениям; не разрешалось лить воду, сметать сор на соседние дворы и др,</w:t>
      </w:r>
      <w:r w:rsidRPr="00D415CE">
        <w:rPr>
          <w:color w:val="8DB3E2"/>
          <w:sz w:val="18"/>
          <w:szCs w:val="18"/>
        </w:rPr>
        <w:br/>
        <w:t>Уложение определяло право проезжавших, а также прогонявших скот останавливаться на лугах, прилегавших к дороге, в силу чего луга не должны запираться ранее определенного срока – Троициного дня[9].                                                                                                            Гражданское право отражает дальнейшее развитие товарно-денежных отношений, особенно в части права собственности и обязательственного права. Основными формами земельных владений в этот период были царские дворцовые земли, вотчины и поместья. Чернотяглые земли, находящиеся во владении сельских общин составляли собственность государства. В соответствии с Уложением дворцовые земли принадлежали царю и его семье, государственные</w:t>
      </w:r>
      <w:r w:rsidRPr="00D415CE">
        <w:rPr>
          <w:color w:val="8DB3E2"/>
          <w:sz w:val="18"/>
          <w:szCs w:val="18"/>
        </w:rPr>
        <w:br/>
        <w:t>(чернотяглые, черносошные) земли принадлежали царю, как главе государства.</w:t>
      </w:r>
      <w:r w:rsidRPr="00D415CE">
        <w:rPr>
          <w:color w:val="8DB3E2"/>
          <w:sz w:val="18"/>
          <w:szCs w:val="18"/>
        </w:rPr>
        <w:br/>
        <w:t>Фонд этих земель к этому времени существенно уменьшился, вследствие раздачи за службу. (В 1627 г. был издан специальный указ, запретивший дальнейшую раздачу дворцовых земель в вотчины и поместья).</w:t>
      </w:r>
      <w:r w:rsidRPr="00D415CE">
        <w:rPr>
          <w:color w:val="8DB3E2"/>
          <w:sz w:val="18"/>
          <w:szCs w:val="18"/>
        </w:rPr>
        <w:br/>
        <w:t>Вотчинное землевладение в соответствии с главой XVII Соборного уложения делилось на родовое, купленное и жалованное.</w:t>
      </w:r>
      <w:r w:rsidRPr="00D415CE">
        <w:rPr>
          <w:color w:val="8DB3E2"/>
          <w:sz w:val="18"/>
          <w:szCs w:val="18"/>
        </w:rPr>
        <w:br/>
        <w:t>Вотчинники имели привилегированные права по распоряжению своими землями, чем помещики, так как имели право продать (с обязательной регистрацией в</w:t>
      </w:r>
      <w:r w:rsidRPr="00D415CE">
        <w:rPr>
          <w:color w:val="8DB3E2"/>
          <w:sz w:val="18"/>
          <w:szCs w:val="18"/>
        </w:rPr>
        <w:br/>
        <w:t>Поместном приказе), заложить или передать по наследству (хотя и с ограничениями).</w:t>
      </w:r>
      <w:r w:rsidRPr="00D415CE">
        <w:rPr>
          <w:color w:val="8DB3E2"/>
          <w:sz w:val="18"/>
          <w:szCs w:val="18"/>
        </w:rPr>
        <w:br/>
        <w:t>Уложение установило право родового выкупа (в случае продажи, заложения или мены) в течение 40 лет, причем точно определенными Уложением лицами. На купленные вотчины право родового выкупа не распространялось.</w:t>
      </w:r>
      <w:r w:rsidRPr="00D415CE">
        <w:rPr>
          <w:color w:val="8DB3E2"/>
          <w:sz w:val="18"/>
          <w:szCs w:val="18"/>
        </w:rPr>
        <w:br/>
        <w:t>Родовые и выслуженные вотчины не могли передаваться по завещанию посторонним лицам, если у завещателя были дети или боковые родственники.</w:t>
      </w:r>
      <w:r w:rsidRPr="00D415CE">
        <w:rPr>
          <w:color w:val="8DB3E2"/>
          <w:sz w:val="18"/>
          <w:szCs w:val="18"/>
        </w:rPr>
        <w:br/>
        <w:t>Запрещалось родовые и выслуженные вотчины дарить церкви.</w:t>
      </w:r>
      <w:r w:rsidRPr="00D415CE">
        <w:rPr>
          <w:color w:val="8DB3E2"/>
          <w:sz w:val="18"/>
          <w:szCs w:val="18"/>
        </w:rPr>
        <w:br/>
        <w:t>Купленные же у сторонних людей вотчины после передачи их по наследству становились родовыми.</w:t>
      </w:r>
      <w:r w:rsidRPr="00D415CE">
        <w:rPr>
          <w:color w:val="8DB3E2"/>
          <w:sz w:val="18"/>
          <w:szCs w:val="18"/>
        </w:rPr>
        <w:br/>
        <w:t>Глава XVI Соборного уложения обобщила все существующие изменения в правовом статусе поместного землевладения: владельцам поместный могли быть как бояре так и дворяне; поместье передавалось по наследству в установленном порядке (за службу наследника); часть земли после смерти владельца получали его жена и дочери ("на прожиток"); разрешалось давать поместье в приданое; разрешался обмен поместья на поместье или вотчину, в том числе большее на меньшее (ст.3).</w:t>
      </w:r>
      <w:r w:rsidRPr="00D415CE">
        <w:rPr>
          <w:color w:val="8DB3E2"/>
          <w:sz w:val="18"/>
          <w:szCs w:val="18"/>
        </w:rPr>
        <w:br/>
        <w:t>Помещики не имели права свободной продажи земли без царского указа или заложить ее.</w:t>
      </w:r>
      <w:r w:rsidRPr="00D415CE">
        <w:rPr>
          <w:color w:val="8DB3E2"/>
          <w:sz w:val="18"/>
          <w:szCs w:val="18"/>
        </w:rPr>
        <w:br/>
        <w:t>Уложение подтвердило указы начала XVII века о запрещении верстать на службу и наделять поместьями "поповых и мужичьих детей, холопей боярских и слуг монастырских". Это положение превратило дворянство в замкнутое сословие.</w:t>
      </w:r>
      <w:r w:rsidRPr="00D415CE">
        <w:rPr>
          <w:color w:val="8DB3E2"/>
          <w:sz w:val="18"/>
          <w:szCs w:val="18"/>
        </w:rPr>
        <w:br/>
        <w:t>Рассматривая право собственности на землю следует отметить развитие такого института права как залоговое право. Судебник регламентирует следующие положения: заложенная земля может оставаться в руках залогодателя или же перейти в руки залогодержателя; разрешался залог дворов на посаде; допускался заклад движимого имущества; просрочка выкупа заложенной вещи влекла передачу прав на нее залогодержателю, за исключением дворов и лавок на посаде.</w:t>
      </w:r>
      <w:r w:rsidRPr="00D415CE">
        <w:rPr>
          <w:color w:val="8DB3E2"/>
          <w:sz w:val="18"/>
          <w:szCs w:val="18"/>
        </w:rPr>
        <w:br/>
        <w:t>Закладные, поставленные на дворы и лавки на имя иностранцев, считались недействительными. Если у залогодержателя была украдена или погибла залоговая вещь без его вины, то он возмещал стоимость в половинном размере.</w:t>
      </w:r>
      <w:r w:rsidRPr="00D415CE">
        <w:rPr>
          <w:color w:val="8DB3E2"/>
          <w:sz w:val="18"/>
          <w:szCs w:val="18"/>
        </w:rPr>
        <w:br/>
        <w:t>Справедливо будет отметить развитие в XVI - XVII вв. такого института права, как обязательственное право. По Уложению должник отвечает по обязательству не своей личностью, а только имуществом. Еще Указ 1558 года запрещал должникам "поступати в полные холопы" к своему кредитору в случае неуплаты долга. Разрешалось только отдавать их "головой до искупа", т.е. до отработки долга. Если у ответчика было имущество, то взыскание распространялось на движимое имущество и дворы, затем на вотчину и поместье.</w:t>
      </w:r>
      <w:r w:rsidRPr="00D415CE">
        <w:rPr>
          <w:color w:val="8DB3E2"/>
          <w:sz w:val="18"/>
          <w:szCs w:val="18"/>
        </w:rPr>
        <w:br/>
        <w:t>Вместе с тем в этот период ответственность не была индивидуальной: супруг отвечал за супругу, дети за родителей, слуги за господ и наоборот.</w:t>
      </w:r>
      <w:r w:rsidRPr="00D415CE">
        <w:rPr>
          <w:color w:val="8DB3E2"/>
          <w:sz w:val="18"/>
          <w:szCs w:val="18"/>
        </w:rPr>
        <w:br/>
        <w:t>Законодательство сделало возможной передачу прав по некоторым договорам</w:t>
      </w:r>
      <w:r w:rsidRPr="00D415CE">
        <w:rPr>
          <w:color w:val="8DB3E2"/>
          <w:sz w:val="18"/>
          <w:szCs w:val="18"/>
        </w:rPr>
        <w:br/>
        <w:t>(кабалам) прежним лицам. Должник не мог передавать свои обязательства только по согласованию с кредитором.</w:t>
      </w:r>
      <w:r w:rsidRPr="00D415CE">
        <w:rPr>
          <w:color w:val="8DB3E2"/>
          <w:sz w:val="18"/>
          <w:szCs w:val="18"/>
        </w:rPr>
        <w:br/>
        <w:t>Договоры купли-продажи недвижимости должны были оформляться письменно и</w:t>
      </w:r>
      <w:r w:rsidRPr="00D415CE">
        <w:rPr>
          <w:color w:val="8DB3E2"/>
          <w:sz w:val="18"/>
          <w:szCs w:val="18"/>
        </w:rPr>
        <w:br/>
        <w:t>"купчей крепостью" (скрепляться подписями свидетелей и регистрироваться в приказах). Купля-продажа движимого имущества производилась словесным соглашением и передачей вещи покупателю.</w:t>
      </w:r>
      <w:r w:rsidRPr="00D415CE">
        <w:rPr>
          <w:color w:val="8DB3E2"/>
          <w:sz w:val="18"/>
          <w:szCs w:val="18"/>
        </w:rPr>
        <w:br/>
        <w:t>Но указ 1655 г. предписывал судьям не принимать челобитные по договорам займа, поклати и ссуды "бескабально", т.е. без письменных документов.</w:t>
      </w:r>
      <w:r w:rsidRPr="00D415CE">
        <w:rPr>
          <w:color w:val="8DB3E2"/>
          <w:sz w:val="18"/>
          <w:szCs w:val="18"/>
        </w:rPr>
        <w:br/>
        <w:t>Таким образом, наметился переход от словесной формы заключения договоров к письменной.</w:t>
      </w:r>
      <w:r w:rsidRPr="00D415CE">
        <w:rPr>
          <w:color w:val="8DB3E2"/>
          <w:sz w:val="18"/>
          <w:szCs w:val="18"/>
        </w:rPr>
        <w:br/>
        <w:t>Договор займа в XVI - XVII вв. составлялся только в письменной форме. Для сглаживания социальных противоречий размеры процентов по займам ограничивались 20 процентами. Уложением 1649 года предпринимается попытка запрета взимания процентов по займам, но на практике заимодатели продолжали брать проценты. Договор сопровождался залогом имущества. Заложенная земля переходила во владение кредитора (с правом пользования) или оставалась у залогодателя с условием уплаты процентов до погашения долга. При неуплате задолженности земля переходила в собственность кредитора. Движимое имущество при залоге тоже передавалось кредитору, но без права пользования.</w:t>
      </w:r>
      <w:r w:rsidRPr="00D415CE">
        <w:rPr>
          <w:color w:val="8DB3E2"/>
          <w:sz w:val="18"/>
          <w:szCs w:val="18"/>
        </w:rPr>
        <w:br/>
        <w:t>С развитием промыслов, мануфактуры и торговли широко был распространен договор личного найма, который составлялся в письменной форме на срок не более 5 лет. В устной форме личный найм допускался на срок не более 3 месяцев.</w:t>
      </w:r>
      <w:r w:rsidRPr="00D415CE">
        <w:rPr>
          <w:color w:val="8DB3E2"/>
          <w:sz w:val="18"/>
          <w:szCs w:val="18"/>
        </w:rPr>
        <w:br/>
        <w:t>Договор поклажи оформлялся только в письменной форме. Ратные люди могли передавать вещи на хранение без письменного договора.</w:t>
      </w:r>
      <w:r w:rsidRPr="00D415CE">
        <w:rPr>
          <w:color w:val="8DB3E2"/>
          <w:sz w:val="18"/>
          <w:szCs w:val="18"/>
        </w:rPr>
        <w:br/>
        <w:t>Известны договоры подряда мастеровыми людьми и имущественного найма</w:t>
      </w:r>
      <w:r w:rsidRPr="00D415CE">
        <w:rPr>
          <w:color w:val="8DB3E2"/>
          <w:sz w:val="18"/>
          <w:szCs w:val="18"/>
        </w:rPr>
        <w:br/>
        <w:t>(аренда).</w:t>
      </w:r>
      <w:r w:rsidRPr="00D415CE">
        <w:rPr>
          <w:color w:val="8DB3E2"/>
          <w:sz w:val="18"/>
          <w:szCs w:val="18"/>
        </w:rPr>
        <w:br/>
        <w:t>Брачно-семейные отношения в Русском государстве регулировались церковным законодательством. Источники церковного права разрешали браки в раннем возрасте. По "Стоглаву" (1551г.) жениться разрешалось с 15 лет, выходить замуж с 12 лет. (В византийских источниках права брачный возраст определялся соответственно 15 и 13 лет). Помолвка (обручение) совершалась в еще более раннем возрасте (сговор родителей и составление рядной записи).</w:t>
      </w:r>
      <w:r w:rsidRPr="00D415CE">
        <w:rPr>
          <w:color w:val="8DB3E2"/>
          <w:sz w:val="18"/>
          <w:szCs w:val="18"/>
        </w:rPr>
        <w:br/>
        <w:t>Расторгнуть рядную запись можно было уплатой неустойки (заряда) или через суд, но по серьезным причинам. На практике простые люди рядную запись не составляли и вступали в брак в более позднем возрасте.</w:t>
      </w:r>
      <w:r w:rsidRPr="00D415CE">
        <w:rPr>
          <w:color w:val="8DB3E2"/>
          <w:sz w:val="18"/>
          <w:szCs w:val="18"/>
        </w:rPr>
        <w:br/>
        <w:t>По церковным законам первый брак оформлялся венчанием, второй и третий — благословлением, а четвертый брак церковное право не признавало.</w:t>
      </w:r>
      <w:r w:rsidRPr="00D415CE">
        <w:rPr>
          <w:color w:val="8DB3E2"/>
          <w:sz w:val="18"/>
          <w:szCs w:val="18"/>
        </w:rPr>
        <w:br/>
        <w:t>В соответствии с Уложением 1649 года четвертый брак не порождал юридических последствий.</w:t>
      </w:r>
      <w:r w:rsidRPr="00D415CE">
        <w:rPr>
          <w:color w:val="8DB3E2"/>
          <w:sz w:val="18"/>
          <w:szCs w:val="18"/>
        </w:rPr>
        <w:br/>
        <w:t>Развод осуществлялся по обоюдному согласию супругов или по одностороннему требованию мужа. Хотя в XVII веке начинается процесс смягчения прав мужа в отношении жены и отца в отношении детей, до конца XVII века не было отменено поступление в кабалу вообще. Муж мог отдать жену в услужение и записать в кабалу вместе с собой. (Отец имел аналогичное право в отношении детей).</w:t>
      </w:r>
      <w:r w:rsidRPr="00D415CE">
        <w:rPr>
          <w:color w:val="8DB3E2"/>
          <w:sz w:val="18"/>
          <w:szCs w:val="18"/>
        </w:rPr>
        <w:br/>
        <w:t>Внутрисемейные отношения регулировались так называемым "Домостроем", составленным в XVI веке. В соответствии с ним муж мог наказывать жену, а она должна была быть покорной мужу.</w:t>
      </w:r>
      <w:r w:rsidRPr="00D415CE">
        <w:rPr>
          <w:color w:val="8DB3E2"/>
          <w:sz w:val="18"/>
          <w:szCs w:val="18"/>
        </w:rPr>
        <w:br/>
        <w:t>"Подобает поучати мужем жен своих с любовью и благоразумным наказанием", — предписывает "Домострой". Родителям разрешалось наказывать детей за непослушание и не давать им воли в юности. "Домострой" устанавливал телесные наказания, рекомендует применять их разумно: кто "не слушает и не внимает и не боится и не творит того, как муж или отец или мати учит, ино плетью постегать, по вине смотря; а побить не перед людьми, наедине. А про всяку вину по уху ни по ведению не бити, ни под сердце кулаком, ни пинком, ни посохом не пороть, ни каким железным или деревянным не бить; хто с сердца или с кручины бьет, — много причины от того бывает, слепота и глухота, и руку и ногу вывихнут, и нерст: и главоболие и зубная боль...А плетью с наказанием бережно бити: и разумно, и больно, и страшно, и здорово." В случае, если же родители, наказывая детей, забивали их до смерти, Уложением назначалось наказание лишь в один год тюрьмы и церковное покаяние. В случае если дети убивали родителей, то карались за содеянное смертной казнью.</w:t>
      </w:r>
      <w:r w:rsidRPr="00D415CE">
        <w:rPr>
          <w:color w:val="8DB3E2"/>
          <w:sz w:val="18"/>
          <w:szCs w:val="18"/>
        </w:rPr>
        <w:br/>
        <w:t>Позже, начиная с XVII века, намечается процесс разделения имущества супругов, детей и родителей. Это можно объяснить стремлением законодателя закрепить имущество за определенным лицом, в т.ч. и приданого. Мужу не разрешалось распоряжаться приданым жены без ее согласия. С XVII в. отменяется право отдавать должника "кредитору с годовой до выкупа" вместе с его женой. Позже отменяется установленное Соборным уложением ответственность жены и детей за долги мужа и родителей.</w:t>
      </w:r>
      <w:r w:rsidRPr="00D415CE">
        <w:rPr>
          <w:color w:val="8DB3E2"/>
          <w:sz w:val="18"/>
          <w:szCs w:val="18"/>
        </w:rPr>
        <w:br/>
        <w:t>В рассматриваемый период законодательство различает право наследования по закону и завещанию. Основное внимание уделяется порядку передачи земли по наследству. Завещание оформлялось как и по Судебнику 1497г. письменно.</w:t>
      </w:r>
      <w:r w:rsidRPr="00D415CE">
        <w:rPr>
          <w:color w:val="8DB3E2"/>
          <w:sz w:val="18"/>
          <w:szCs w:val="18"/>
        </w:rPr>
        <w:br/>
        <w:t>Допускалось устное завещание в случае неграмотности завещателя, если оно осуществлялось в присутствии свидетелей и представителей церковной власти.</w:t>
      </w:r>
      <w:r w:rsidRPr="00D415CE">
        <w:rPr>
          <w:color w:val="8DB3E2"/>
          <w:sz w:val="18"/>
          <w:szCs w:val="18"/>
        </w:rPr>
        <w:br/>
        <w:t>В земельном праве получили отражение защита церковных интересов и борьба центральной власти против расширения церковного землевладения.</w:t>
      </w:r>
      <w:r w:rsidRPr="00D415CE">
        <w:rPr>
          <w:color w:val="8DB3E2"/>
          <w:sz w:val="18"/>
          <w:szCs w:val="18"/>
        </w:rPr>
        <w:br/>
        <w:t>Родовые и жалованные вотчины подлежали передаче по наследству только членам того же рода, к которому принадлежал завещатель. А завещательные распоряжения распространялись только на купленные вотчины и движимое имущество.</w:t>
      </w:r>
      <w:r w:rsidRPr="00D415CE">
        <w:rPr>
          <w:color w:val="8DB3E2"/>
          <w:sz w:val="18"/>
          <w:szCs w:val="18"/>
        </w:rPr>
        <w:br/>
        <w:t>Правом наследования по закону обладали сыновья, а при их отсутствии — дочери. К наследованию допускалась вдовы. Так, с 1642 года было установлено, что вдова, погибшего на войне помещика, получает "на прожиток" до смерти или выхода замуж 20% поместья, умершего в походе — 15%, а умершего на службе (дома) -10%. Доля вдовы в наследовании движимого имущества составляла 25% наследства.</w:t>
      </w:r>
      <w:r w:rsidRPr="00D415CE">
        <w:rPr>
          <w:color w:val="8DB3E2"/>
          <w:sz w:val="18"/>
          <w:szCs w:val="18"/>
        </w:rPr>
        <w:br/>
        <w:t>С начала XVII века дочери стали призываться к наследству и при наличии братьев. После смерти отца им выдавалась часть "на прожиток". В случае выхода замуж вдовы или дочерей "прожиточное" поместье давалось в приданое.</w:t>
      </w:r>
      <w:r w:rsidRPr="00D415CE">
        <w:rPr>
          <w:color w:val="8DB3E2"/>
          <w:sz w:val="18"/>
          <w:szCs w:val="18"/>
        </w:rPr>
        <w:br/>
        <w:t>Однако родовые и выслуженные вотчины дочери наследовали только при отсутствии сыновей. Вдовам земля выдавалась только из высуженных вотчин, причем в случае выхода вдовы замуж или смерти выслуженная вотчина переходила в род мужа.</w:t>
      </w:r>
      <w:r w:rsidRPr="00D415CE">
        <w:rPr>
          <w:color w:val="8DB3E2"/>
          <w:sz w:val="18"/>
          <w:szCs w:val="18"/>
        </w:rPr>
        <w:br/>
        <w:t>Из боковых родственников к наследству допускались братья и их нисходящие, а с середины XVII в. и дальние родственники.</w:t>
      </w:r>
    </w:p>
    <w:p w:rsidR="00E03E0B" w:rsidRDefault="00E03E0B">
      <w:bookmarkStart w:id="0" w:name="_GoBack"/>
      <w:bookmarkEnd w:id="0"/>
    </w:p>
    <w:sectPr w:rsidR="00E03E0B" w:rsidSect="00FB2C88">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F92FA5"/>
    <w:multiLevelType w:val="multilevel"/>
    <w:tmpl w:val="10DAD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29D2"/>
    <w:rsid w:val="001A2A23"/>
    <w:rsid w:val="001D440E"/>
    <w:rsid w:val="0040386D"/>
    <w:rsid w:val="004C1C31"/>
    <w:rsid w:val="006829D2"/>
    <w:rsid w:val="009F2D3B"/>
    <w:rsid w:val="00BA6EDA"/>
    <w:rsid w:val="00CE37D8"/>
    <w:rsid w:val="00D415CE"/>
    <w:rsid w:val="00E03E0B"/>
    <w:rsid w:val="00EF22C6"/>
    <w:rsid w:val="00FB2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4F9FF9-E37C-4B35-9536-9FDC37BF4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EDA"/>
    <w:pPr>
      <w:spacing w:after="200" w:line="276" w:lineRule="auto"/>
    </w:pPr>
    <w:rPr>
      <w:rFonts w:eastAsia="Times New Roman"/>
      <w:sz w:val="22"/>
      <w:szCs w:val="22"/>
      <w:lang w:eastAsia="en-US"/>
    </w:rPr>
  </w:style>
  <w:style w:type="paragraph" w:styleId="2">
    <w:name w:val="heading 2"/>
    <w:basedOn w:val="a"/>
    <w:link w:val="20"/>
    <w:qFormat/>
    <w:rsid w:val="006829D2"/>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3">
    <w:name w:val="heading 3"/>
    <w:basedOn w:val="a"/>
    <w:link w:val="30"/>
    <w:qFormat/>
    <w:rsid w:val="006829D2"/>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6829D2"/>
    <w:rPr>
      <w:rFonts w:ascii="Times New Roman" w:hAnsi="Times New Roman" w:cs="Times New Roman"/>
      <w:b/>
      <w:bCs/>
      <w:sz w:val="36"/>
      <w:szCs w:val="36"/>
      <w:lang w:val="x-none" w:eastAsia="ru-RU"/>
    </w:rPr>
  </w:style>
  <w:style w:type="character" w:customStyle="1" w:styleId="30">
    <w:name w:val="Заголовок 3 Знак"/>
    <w:basedOn w:val="a0"/>
    <w:link w:val="3"/>
    <w:locked/>
    <w:rsid w:val="006829D2"/>
    <w:rPr>
      <w:rFonts w:ascii="Times New Roman" w:hAnsi="Times New Roman" w:cs="Times New Roman"/>
      <w:b/>
      <w:bCs/>
      <w:sz w:val="27"/>
      <w:szCs w:val="27"/>
      <w:lang w:val="x-none" w:eastAsia="ru-RU"/>
    </w:rPr>
  </w:style>
  <w:style w:type="character" w:styleId="a3">
    <w:name w:val="Hyperlink"/>
    <w:basedOn w:val="a0"/>
    <w:semiHidden/>
    <w:rsid w:val="006829D2"/>
    <w:rPr>
      <w:rFonts w:cs="Times New Roman"/>
      <w:color w:val="0000FF"/>
      <w:u w:val="single"/>
    </w:rPr>
  </w:style>
  <w:style w:type="paragraph" w:styleId="a4">
    <w:name w:val="Normal (Web)"/>
    <w:basedOn w:val="a"/>
    <w:semiHidden/>
    <w:rsid w:val="006829D2"/>
    <w:pPr>
      <w:spacing w:before="100" w:beforeAutospacing="1" w:after="100" w:afterAutospacing="1" w:line="240" w:lineRule="auto"/>
    </w:pPr>
    <w:rPr>
      <w:rFonts w:ascii="Times New Roman" w:eastAsia="Calibri" w:hAnsi="Times New Roman"/>
      <w:sz w:val="24"/>
      <w:szCs w:val="24"/>
      <w:lang w:eastAsia="ru-RU"/>
    </w:rPr>
  </w:style>
  <w:style w:type="character" w:customStyle="1" w:styleId="mw-headline">
    <w:name w:val="mw-headline"/>
    <w:basedOn w:val="a0"/>
    <w:rsid w:val="006829D2"/>
    <w:rPr>
      <w:rFonts w:cs="Times New Roman"/>
    </w:rPr>
  </w:style>
  <w:style w:type="paragraph" w:styleId="a5">
    <w:name w:val="Balloon Text"/>
    <w:basedOn w:val="a"/>
    <w:link w:val="a6"/>
    <w:semiHidden/>
    <w:rsid w:val="00D415CE"/>
    <w:pPr>
      <w:spacing w:after="0" w:line="240" w:lineRule="auto"/>
    </w:pPr>
    <w:rPr>
      <w:rFonts w:ascii="Tahoma" w:hAnsi="Tahoma" w:cs="Tahoma"/>
      <w:sz w:val="16"/>
      <w:szCs w:val="16"/>
    </w:rPr>
  </w:style>
  <w:style w:type="character" w:customStyle="1" w:styleId="a6">
    <w:name w:val="Текст у виносці Знак"/>
    <w:basedOn w:val="a0"/>
    <w:link w:val="a5"/>
    <w:semiHidden/>
    <w:locked/>
    <w:rsid w:val="00D415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4155</Words>
  <Characters>23685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Гражданское право по Соборному уложению 1649 г</vt:lpstr>
    </vt:vector>
  </TitlesOfParts>
  <Company/>
  <LinksUpToDate>false</LinksUpToDate>
  <CharactersWithSpaces>27785</CharactersWithSpaces>
  <SharedDoc>false</SharedDoc>
  <HLinks>
    <vt:vector size="48" baseType="variant">
      <vt:variant>
        <vt:i4>7929913</vt:i4>
      </vt:variant>
      <vt:variant>
        <vt:i4>21</vt:i4>
      </vt:variant>
      <vt:variant>
        <vt:i4>0</vt:i4>
      </vt:variant>
      <vt:variant>
        <vt:i4>5</vt:i4>
      </vt:variant>
      <vt:variant>
        <vt:lpwstr>http://vur-05-1.narod.ru/istotgp/su.htm</vt:lpwstr>
      </vt:variant>
      <vt:variant>
        <vt:lpwstr/>
      </vt:variant>
      <vt:variant>
        <vt:i4>7929913</vt:i4>
      </vt:variant>
      <vt:variant>
        <vt:i4>18</vt:i4>
      </vt:variant>
      <vt:variant>
        <vt:i4>0</vt:i4>
      </vt:variant>
      <vt:variant>
        <vt:i4>5</vt:i4>
      </vt:variant>
      <vt:variant>
        <vt:lpwstr>http://vur-05-1.narod.ru/istotgp/su.htm</vt:lpwstr>
      </vt:variant>
      <vt:variant>
        <vt:lpwstr/>
      </vt:variant>
      <vt:variant>
        <vt:i4>7929913</vt:i4>
      </vt:variant>
      <vt:variant>
        <vt:i4>15</vt:i4>
      </vt:variant>
      <vt:variant>
        <vt:i4>0</vt:i4>
      </vt:variant>
      <vt:variant>
        <vt:i4>5</vt:i4>
      </vt:variant>
      <vt:variant>
        <vt:lpwstr>http://vur-05-1.narod.ru/istotgp/su.htm</vt:lpwstr>
      </vt:variant>
      <vt:variant>
        <vt:lpwstr/>
      </vt:variant>
      <vt:variant>
        <vt:i4>7929913</vt:i4>
      </vt:variant>
      <vt:variant>
        <vt:i4>12</vt:i4>
      </vt:variant>
      <vt:variant>
        <vt:i4>0</vt:i4>
      </vt:variant>
      <vt:variant>
        <vt:i4>5</vt:i4>
      </vt:variant>
      <vt:variant>
        <vt:lpwstr>http://vur-05-1.narod.ru/istotgp/su.htm</vt:lpwstr>
      </vt:variant>
      <vt:variant>
        <vt:lpwstr/>
      </vt:variant>
      <vt:variant>
        <vt:i4>7929913</vt:i4>
      </vt:variant>
      <vt:variant>
        <vt:i4>9</vt:i4>
      </vt:variant>
      <vt:variant>
        <vt:i4>0</vt:i4>
      </vt:variant>
      <vt:variant>
        <vt:i4>5</vt:i4>
      </vt:variant>
      <vt:variant>
        <vt:lpwstr>http://vur-05-1.narod.ru/istotgp/su.htm</vt:lpwstr>
      </vt:variant>
      <vt:variant>
        <vt:lpwstr/>
      </vt:variant>
      <vt:variant>
        <vt:i4>7929913</vt:i4>
      </vt:variant>
      <vt:variant>
        <vt:i4>6</vt:i4>
      </vt:variant>
      <vt:variant>
        <vt:i4>0</vt:i4>
      </vt:variant>
      <vt:variant>
        <vt:i4>5</vt:i4>
      </vt:variant>
      <vt:variant>
        <vt:lpwstr>http://vur-05-1.narod.ru/istotgp/su.htm</vt:lpwstr>
      </vt:variant>
      <vt:variant>
        <vt:lpwstr/>
      </vt:variant>
      <vt:variant>
        <vt:i4>7929913</vt:i4>
      </vt:variant>
      <vt:variant>
        <vt:i4>3</vt:i4>
      </vt:variant>
      <vt:variant>
        <vt:i4>0</vt:i4>
      </vt:variant>
      <vt:variant>
        <vt:i4>5</vt:i4>
      </vt:variant>
      <vt:variant>
        <vt:lpwstr>http://vur-05-1.narod.ru/istotgp/su.htm</vt:lpwstr>
      </vt:variant>
      <vt:variant>
        <vt:lpwstr/>
      </vt:variant>
      <vt:variant>
        <vt:i4>7929913</vt:i4>
      </vt:variant>
      <vt:variant>
        <vt:i4>0</vt:i4>
      </vt:variant>
      <vt:variant>
        <vt:i4>0</vt:i4>
      </vt:variant>
      <vt:variant>
        <vt:i4>5</vt:i4>
      </vt:variant>
      <vt:variant>
        <vt:lpwstr>http://vur-05-1.narod.ru/istotgp/su.htm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Гражданское право по Соборному уложению 1649 г</dc:title>
  <dc:subject/>
  <dc:creator>САИМА</dc:creator>
  <cp:keywords/>
  <dc:description/>
  <cp:lastModifiedBy>Irina</cp:lastModifiedBy>
  <cp:revision>2</cp:revision>
  <cp:lastPrinted>2009-11-08T11:17:00Z</cp:lastPrinted>
  <dcterms:created xsi:type="dcterms:W3CDTF">2014-08-18T08:38:00Z</dcterms:created>
  <dcterms:modified xsi:type="dcterms:W3CDTF">2014-08-18T08:38:00Z</dcterms:modified>
</cp:coreProperties>
</file>