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24" w:rsidRDefault="006C64F9">
      <w:pPr>
        <w:pStyle w:val="3"/>
        <w:jc w:val="both"/>
        <w:rPr>
          <w:lang w:val="uk-UA"/>
        </w:rPr>
      </w:pPr>
      <w:bookmarkStart w:id="0" w:name="_Ref499888059"/>
      <w:r>
        <w:rPr>
          <w:lang w:val="uk-UA"/>
        </w:rPr>
        <w:t>ОРГАНИ ПОПЕРЕДНЬОГО СЛІДСТВА.</w:t>
      </w:r>
      <w:bookmarkEnd w:id="0"/>
    </w:p>
    <w:p w:rsidR="00E77224" w:rsidRDefault="00E77224">
      <w:pPr>
        <w:ind w:left="426" w:right="-766" w:hanging="426"/>
        <w:jc w:val="both"/>
        <w:rPr>
          <w:b/>
          <w:u w:val="single"/>
        </w:rPr>
      </w:pPr>
    </w:p>
    <w:p w:rsidR="00E77224" w:rsidRDefault="006C64F9">
      <w:pPr>
        <w:ind w:left="426" w:right="-766" w:hanging="426"/>
        <w:jc w:val="both"/>
        <w:rPr>
          <w:u w:val="single"/>
        </w:rPr>
      </w:pPr>
      <w:r>
        <w:rPr>
          <w:u w:val="single"/>
        </w:rPr>
        <w:t xml:space="preserve">План. </w:t>
      </w:r>
    </w:p>
    <w:p w:rsidR="00E77224" w:rsidRDefault="006C64F9">
      <w:pPr>
        <w:pStyle w:val="a4"/>
        <w:numPr>
          <w:ilvl w:val="0"/>
          <w:numId w:val="1"/>
        </w:numPr>
        <w:ind w:right="-766"/>
        <w:rPr>
          <w:sz w:val="24"/>
        </w:rPr>
      </w:pPr>
      <w:r>
        <w:rPr>
          <w:sz w:val="24"/>
        </w:rPr>
        <w:t>Загальне поняття про попереднє слідство.</w:t>
      </w:r>
    </w:p>
    <w:p w:rsidR="00E77224" w:rsidRDefault="006C64F9">
      <w:pPr>
        <w:numPr>
          <w:ilvl w:val="0"/>
          <w:numId w:val="1"/>
        </w:numPr>
        <w:ind w:right="-766"/>
        <w:jc w:val="both"/>
      </w:pPr>
      <w:r>
        <w:t>Повноваження органів попереднього слідства.</w:t>
      </w:r>
    </w:p>
    <w:p w:rsidR="00E77224" w:rsidRDefault="00E77224">
      <w:pPr>
        <w:jc w:val="both"/>
      </w:pPr>
    </w:p>
    <w:p w:rsidR="00E77224" w:rsidRDefault="00E77224">
      <w:pPr>
        <w:jc w:val="both"/>
      </w:pPr>
    </w:p>
    <w:p w:rsidR="00E77224" w:rsidRDefault="006C64F9">
      <w:pPr>
        <w:ind w:right="-694" w:firstLine="900"/>
        <w:jc w:val="both"/>
      </w:pPr>
      <w:r>
        <w:t>1. Попереднє слідство – це передбачена кримінально-процесуальним законодавством діяльність слідчих по збиранні та дослідженні доказів, встановленні факту злочину і особи, винної в його вчиненні, з метою передання обвинуваченого до суду.</w:t>
      </w:r>
    </w:p>
    <w:p w:rsidR="00E77224" w:rsidRDefault="006C64F9">
      <w:pPr>
        <w:pStyle w:val="a3"/>
      </w:pPr>
      <w:r>
        <w:t>Завданнями органів попереднього слідства є швидке і повне розкриття кожного злочину і своєчасного притягнення до кримінальної відповідальності винних осіб.</w:t>
      </w:r>
    </w:p>
    <w:p w:rsidR="00E77224" w:rsidRDefault="006C64F9">
      <w:pPr>
        <w:ind w:right="-694" w:firstLine="900"/>
        <w:jc w:val="both"/>
      </w:pPr>
      <w:r>
        <w:t>Слідчі органи зобов’язані вживати всі передбачені заходи для всебічного, повного і об’єктивного дослідження кримінальної справи, виявити пом’якшуючі і обтяжуючі обставини, перевірити всі можливі версії по справі, встановити і притягнути до відповідальності всіх винних осіб. Органи попереднього слідства повинні виявити причини і умови, які сприяли вчиненню злочину і вжити заходів для їх ліквідації.</w:t>
      </w:r>
    </w:p>
    <w:p w:rsidR="00E77224" w:rsidRDefault="006C64F9">
      <w:pPr>
        <w:ind w:right="-694" w:firstLine="900"/>
        <w:jc w:val="both"/>
      </w:pPr>
      <w:r>
        <w:t xml:space="preserve">Органами попереднього слідства є слідчі прокуратури, слідчі органів внутрішніх справ, слідчі органів безпеки і слідчі податкової міліції. </w:t>
      </w:r>
    </w:p>
    <w:p w:rsidR="00E77224" w:rsidRDefault="006C64F9">
      <w:pPr>
        <w:ind w:right="-694" w:firstLine="900"/>
        <w:jc w:val="both"/>
      </w:pPr>
      <w:r>
        <w:t>На посади слідчих призначаються громадяни України, які мають вищу юридичну освіту, пройшли стажування і при цьому виявили професійну відповідність слідчій роботі.</w:t>
      </w:r>
    </w:p>
    <w:p w:rsidR="00E77224" w:rsidRDefault="00E77224">
      <w:pPr>
        <w:ind w:right="-694" w:firstLine="900"/>
        <w:jc w:val="both"/>
      </w:pPr>
    </w:p>
    <w:p w:rsidR="00E77224" w:rsidRDefault="006C64F9">
      <w:pPr>
        <w:ind w:right="-694" w:firstLine="900"/>
        <w:jc w:val="both"/>
      </w:pPr>
      <w:r>
        <w:t>3. Повноваження слідчого: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при провадженні попереднього слідства всі рішення про спрямування слідства і про провадження слідчих дій слідчий приймає самостійно, за винятком випадків, коли законом передбачено одержання санкції від прокурора, несе відповідальність за їх законне і своєчасне проведення;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слідчий по розслідуваних ним справах вправі давати органам дізнання доручення і вказівки про провадження розшукних та слідчих дій і вимагати від органів дізнання допомоги при провадженні окремих слідчих дій;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постанови слідчого, винесені відповідно до закону в кримінальній справі, яка перебуває в його провадженні, є обов’язковими для виконання всіма підприємствами, установами, організаціями, посадовими особами і громадянами;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при проведенні всіх слідчих дій слідчий вправі використовувати машинопис, звукозапис, стенографування, відеозапис;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слідчий має право проводити слідчі дії в інших районах і вправі доручати  провадження цих дій відповідному слідчому або органу дізнання, які зобов’язані це доручення виконати в десятиденний строк;</w:t>
      </w:r>
    </w:p>
    <w:p w:rsidR="00E77224" w:rsidRDefault="006C64F9">
      <w:pPr>
        <w:numPr>
          <w:ilvl w:val="0"/>
          <w:numId w:val="2"/>
        </w:numPr>
        <w:ind w:right="-694"/>
        <w:jc w:val="both"/>
      </w:pPr>
      <w:r>
        <w:t>розслідування особливо складної справи може доручатися декільком слідчим. Про це зазначається в постанові про порушення кримінальної справи або виноситься окрема постанова. Один із слідчих призначається старшим і приймає справу до свого провадження, безпосередньо керує діями слідчих.</w:t>
      </w:r>
    </w:p>
    <w:p w:rsidR="00E77224" w:rsidRDefault="006C64F9">
      <w:pPr>
        <w:ind w:right="-694" w:firstLine="900"/>
        <w:jc w:val="both"/>
      </w:pPr>
      <w:r>
        <w:t>Попереднє слідство у кримінальних справах повинно бути закінчене протягом 2 місяців. В цей строк включається час з моменту порушення кримінальної справи до направлення її прокуророві з обвинувальним висновком чи постановою про передачу справи до суду для розгляду питання про застосування примусових заходів медичного характеру або до закриття чи зупинення провадження в справі. В особливо складних справах строк попереднього слідства може бути продовжений прокурором АРК, області і прирівняним до них прокурором, який здійснює слідство або їх заступниками на підставі мотивованої постанови слідчого до 6 місяців. Строк - 2 місяці може бути продовжений районним і прирівняним до нього прокурором у разі неможливості закінчити розслідування – до 3 місяців. Більше 6 місяців строк попереднього слідства може бути продовжений у виняткових випадках Генеральним прокурором або його заступниками. Ці правила не поширюються на справи, в яких не встановлено особу, що вчинила злочин. Перебіг строку слідства починається з дня встановлення особи, яка вчинила злочин.</w:t>
      </w:r>
    </w:p>
    <w:p w:rsidR="00E77224" w:rsidRDefault="006C64F9">
      <w:pPr>
        <w:tabs>
          <w:tab w:val="left" w:pos="-9920"/>
          <w:tab w:val="left" w:pos="-9600"/>
          <w:tab w:val="left" w:pos="-9280"/>
          <w:tab w:val="left" w:pos="-8960"/>
          <w:tab w:val="left" w:pos="-8640"/>
          <w:tab w:val="left" w:pos="-8320"/>
          <w:tab w:val="left" w:pos="-8000"/>
          <w:tab w:val="left" w:pos="-7680"/>
          <w:tab w:val="left" w:pos="-7360"/>
          <w:tab w:val="left" w:pos="-7040"/>
          <w:tab w:val="left" w:pos="-6720"/>
          <w:tab w:val="left" w:pos="-6400"/>
          <w:tab w:val="left" w:pos="-6080"/>
          <w:tab w:val="left" w:pos="-5760"/>
          <w:tab w:val="left" w:pos="-5440"/>
          <w:tab w:val="left" w:pos="-5120"/>
          <w:tab w:val="left" w:pos="-4800"/>
          <w:tab w:val="left" w:pos="-4480"/>
          <w:tab w:val="left" w:pos="-4160"/>
          <w:tab w:val="left" w:pos="-3840"/>
          <w:tab w:val="left" w:pos="-3520"/>
          <w:tab w:val="left" w:pos="-3200"/>
          <w:tab w:val="left" w:pos="-2880"/>
          <w:tab w:val="left" w:pos="-2560"/>
          <w:tab w:val="left" w:pos="-2240"/>
          <w:tab w:val="left" w:pos="-1920"/>
          <w:tab w:val="left" w:pos="-1600"/>
          <w:tab w:val="left" w:pos="-1280"/>
          <w:tab w:val="left" w:pos="-960"/>
          <w:tab w:val="left" w:pos="-640"/>
          <w:tab w:val="left" w:pos="-320"/>
        </w:tabs>
        <w:autoSpaceDE w:val="0"/>
        <w:autoSpaceDN w:val="0"/>
        <w:adjustRightInd w:val="0"/>
        <w:ind w:right="-654" w:firstLine="900"/>
        <w:jc w:val="both"/>
        <w:rPr>
          <w:color w:val="000000"/>
        </w:rPr>
      </w:pPr>
      <w:r>
        <w:rPr>
          <w:color w:val="000000"/>
        </w:rPr>
        <w:t>Попереднє слідство   закінчується  складанням  обвинувального висновку або  постанови  про  закриття  справи  чи  постанови  про направлення  справи до суду для вирішення питання про застосування примусових заходів медичного характеру.</w:t>
      </w:r>
    </w:p>
    <w:p w:rsidR="00E77224" w:rsidRDefault="00E77224">
      <w:pPr>
        <w:ind w:right="-694" w:firstLine="900"/>
        <w:jc w:val="both"/>
      </w:pPr>
    </w:p>
    <w:p w:rsidR="00E77224" w:rsidRDefault="00E77224">
      <w:pPr>
        <w:ind w:right="-694" w:firstLine="900"/>
        <w:jc w:val="both"/>
      </w:pPr>
    </w:p>
    <w:p w:rsidR="00E77224" w:rsidRDefault="006C64F9">
      <w:pPr>
        <w:ind w:right="-694" w:firstLine="900"/>
        <w:jc w:val="both"/>
      </w:pPr>
      <w:r>
        <w:t>КОНТРОЛЬНІ ПИТАННЯ:</w:t>
      </w:r>
    </w:p>
    <w:p w:rsidR="00E77224" w:rsidRDefault="00E77224">
      <w:pPr>
        <w:ind w:right="-694" w:firstLine="900"/>
        <w:jc w:val="both"/>
      </w:pPr>
    </w:p>
    <w:p w:rsidR="00E77224" w:rsidRDefault="006C64F9">
      <w:pPr>
        <w:pStyle w:val="a3"/>
        <w:numPr>
          <w:ilvl w:val="0"/>
          <w:numId w:val="3"/>
        </w:numPr>
      </w:pPr>
      <w:r>
        <w:t>Що таке попереднє слідство?</w:t>
      </w:r>
    </w:p>
    <w:p w:rsidR="00E77224" w:rsidRDefault="006C64F9">
      <w:pPr>
        <w:numPr>
          <w:ilvl w:val="0"/>
          <w:numId w:val="3"/>
        </w:numPr>
        <w:ind w:right="-694"/>
        <w:jc w:val="both"/>
      </w:pPr>
      <w:r>
        <w:t>Які завдання органів попереднього слідства?</w:t>
      </w:r>
    </w:p>
    <w:p w:rsidR="00E77224" w:rsidRDefault="006C64F9">
      <w:pPr>
        <w:numPr>
          <w:ilvl w:val="0"/>
          <w:numId w:val="3"/>
        </w:numPr>
        <w:ind w:right="-694"/>
        <w:jc w:val="both"/>
      </w:pPr>
      <w:r>
        <w:t>Які органи проводять попереднє слідство?</w:t>
      </w:r>
    </w:p>
    <w:p w:rsidR="00E77224" w:rsidRDefault="006C64F9">
      <w:pPr>
        <w:numPr>
          <w:ilvl w:val="0"/>
          <w:numId w:val="3"/>
        </w:numPr>
        <w:ind w:right="-694"/>
        <w:jc w:val="both"/>
      </w:pPr>
      <w:r>
        <w:t>Які повноваження має слідчий?</w:t>
      </w:r>
    </w:p>
    <w:p w:rsidR="00E77224" w:rsidRDefault="006C64F9">
      <w:r>
        <w:t>Які строки проведення попереднього слідства?</w:t>
      </w:r>
      <w:bookmarkStart w:id="1" w:name="_GoBack"/>
      <w:bookmarkEnd w:id="1"/>
    </w:p>
    <w:sectPr w:rsidR="00E772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C7516"/>
    <w:multiLevelType w:val="hybridMultilevel"/>
    <w:tmpl w:val="054EDDA0"/>
    <w:lvl w:ilvl="0" w:tplc="FFFFFFFF">
      <w:start w:val="3"/>
      <w:numFmt w:val="bullet"/>
      <w:lvlText w:val="-"/>
      <w:lvlJc w:val="left"/>
      <w:pPr>
        <w:tabs>
          <w:tab w:val="num" w:pos="2040"/>
        </w:tabs>
        <w:ind w:left="2040" w:hanging="11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F2F4A3D"/>
    <w:multiLevelType w:val="hybridMultilevel"/>
    <w:tmpl w:val="D9E4BAD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8ED0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4F9"/>
    <w:rsid w:val="006C64F9"/>
    <w:rsid w:val="00DB1987"/>
    <w:rsid w:val="00E7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FC70B-8E4C-4455-AB18-3CAA8A3B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694" w:firstLine="900"/>
      <w:jc w:val="both"/>
    </w:pPr>
    <w:rPr>
      <w:lang w:eastAsia="en-US"/>
    </w:rPr>
  </w:style>
  <w:style w:type="paragraph" w:styleId="a4">
    <w:name w:val="Body Text"/>
    <w:basedOn w:val="a"/>
    <w:semiHidden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 ПОПЕРЕДНЬОГО СЛІДСТВА</vt:lpstr>
    </vt:vector>
  </TitlesOfParts>
  <Manager>Право. Міжнародні відносини</Manager>
  <Company> Право. Міжнародні відносини</Company>
  <LinksUpToDate>false</LinksUpToDate>
  <CharactersWithSpaces>4043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 ПОПЕРЕДНЬОГО СЛІДСТВА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2014-04-02T11:05:00Z</dcterms:created>
  <dcterms:modified xsi:type="dcterms:W3CDTF">2014-04-02T11:05:00Z</dcterms:modified>
  <cp:category>Право. Міжнародні відносини</cp:category>
</cp:coreProperties>
</file>