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Соціально-демографічна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характеристика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злочинців,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статевий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злочин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неповнолітнього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7B3DE0" w:rsidRPr="00E66802" w:rsidRDefault="00816CB8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соціально-демографічна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характеристика,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оскільки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повноті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висвітлення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даної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проблеми.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відомо,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властиві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будь-якій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і,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перший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погляд,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кримінологічного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своїй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сукупності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дають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важливу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інформацію,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без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здійснити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повну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кримінологічну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злочинця.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Важливість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соціально-демографічної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дасть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змогу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виявити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чинники,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котрі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сприяють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формуванню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нього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врахування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поряд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зазначеними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ознаками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соціально-психологічних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причин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сприятиме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виробленню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ефективних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заходів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запобігання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вчиненню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3DE0"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Розглянемо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складові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правило,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недоторканості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вчиняються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чоловічої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статі.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стосується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переважна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(97,4%)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вчинюється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чоловіками.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Доволі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молодої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зазначимо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нижче.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наголосити,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чималий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(25</w:t>
      </w:r>
      <w:r w:rsidRPr="00E66802">
        <w:rPr>
          <w:rFonts w:ascii="Times New Roman" w:hAnsi="Times New Roman"/>
          <w:color w:val="000000"/>
          <w:sz w:val="28"/>
          <w:szCs w:val="28"/>
        </w:rPr>
        <w:t>%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чоловіків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стосовно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порушено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справу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передбачених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ч.2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153,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ч.2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156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Проведеним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досудовим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слідством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установлено,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власному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будинку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неодноразово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задовольняв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пристрасть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неприродним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способом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малолітньою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Р.,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внучкою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дружини.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того,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розпусні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дії.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свідчить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емпіричне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жінки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беруть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Департаменту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покарань,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установах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кримінально-виконавчої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служби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тримається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1851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свободи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недоторканості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2,6%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становлять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жінки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r w:rsidRPr="00E66802">
        <w:rPr>
          <w:rFonts w:ascii="Times New Roman" w:hAnsi="Times New Roman"/>
          <w:color w:val="000000"/>
          <w:sz w:val="28"/>
          <w:szCs w:val="28"/>
        </w:rPr>
        <w:t>4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Невисокий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жінок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нашу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думку,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зумовлений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рівнем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латентності,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тим,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своєю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природою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жінка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матір’ю,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життя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дитині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міцному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психологічному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зв’язку.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відносять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злочинця.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біологічний,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ступінь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Здійснюючи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перехід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ступеня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інший,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постійно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взаємодіє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середовищем,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отримує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накопичує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життєвий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[1,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54].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Аналіз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допоможе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кримінально-активні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науці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визначено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критерію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поділу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активності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розглядали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визначені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практиці.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Проведений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аналіз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демографічних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Державній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кримінально-виконавчій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службі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змогу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здійснити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досліджуваних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найчисельнішою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63,6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33,4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понад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10,7%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1,5%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судової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адміністрації,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свободи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недоторканості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років,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38,1%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становили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58,9;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61,2;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90%.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50,5%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60,7%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55%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81,7%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становила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45,4%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46,8%;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39,4%;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71,2%.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34,2%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36,2%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33,7%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70,8%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свободи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недоторканості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30,3%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становили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34,9%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32,7%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73,3%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>;</w:t>
      </w:r>
      <w:r w:rsidR="00816CB8" w:rsidRPr="00E6680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старше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12,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9%;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17,1%;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25%;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43,7%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[5].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чином,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наведені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різні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свободи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недоторканості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можливість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14–25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найбільше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Заслуговує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уваги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категоріях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старших,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зменшувався,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почав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зростати.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матеріалів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вивчених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виявлено,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численну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становлять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18–25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(37,2%).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В.Т.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Маляренко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Я.В.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Мачужак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своєму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(35,6)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[7,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23].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Косенко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встановила,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36,2%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стосовно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25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r w:rsidRPr="00E66802">
        <w:rPr>
          <w:rFonts w:ascii="Times New Roman" w:hAnsi="Times New Roman"/>
          <w:color w:val="000000"/>
          <w:sz w:val="28"/>
          <w:szCs w:val="28"/>
        </w:rPr>
        <w:t>6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47].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Наступною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досить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численною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25–40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(27,5%).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вивченими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справами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14,5%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понад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Найнижчий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(6,25)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простежується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14–16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Доречно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звернути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увагу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значний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(15,5)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16–18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чином,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згрупувати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(58%)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досліджувані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16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підтверджують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проведені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вченими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попередні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роки.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свідчить,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злочинах,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виявляється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тенденція,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найвища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кримінальна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активність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простежується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наймолодших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вікових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групах.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Занепокоєння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викликає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відбувається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вибір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сталого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мікросередовища,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набирається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життєвого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досвіду,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допомагає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прийняті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життєво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важливих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рішень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вирішенні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конфліктних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ситуацій.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відсоток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молоді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засвідчує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деструктивні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тенденції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слушно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М.М.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Бабаєв,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масштаби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негативні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тенденції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показово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демонструють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багато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злого,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брудного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жорстокого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свідомості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душах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молодих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людей,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життя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склалося,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вдалося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[6,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114].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Хотілося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звернути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увагу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громадянство.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Опрацьовані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емпіричні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можливість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встановити,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96,8%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держав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1,0%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без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громадянства.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викладеного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випливає,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скоюється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громадянами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Але,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іншого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боку,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применшувати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ролі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держав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досліджуваних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Судово-слідча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практика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свідчить,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іноземними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громадянами,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характеризуються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жорстокістю.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громадянин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Арабської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Єгипет,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зареєстрований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проживав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Києві,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діючи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умисно,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застосуванням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фізичного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насильства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використанням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безпорадного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малолітньої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З.,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насильницьке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пристрасті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неприродним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способом,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спричинило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тяжкі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наслідки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умисне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вбивство,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поєднане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насильницьким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задоволенням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пристрасті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неприродним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способом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особливою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жорстокістю.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разу,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малолітня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температуру,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приїхав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провідати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тітки.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Знаючи,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тітка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малолітньої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піде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нічну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зміну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роботу,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дочекався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цього.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випив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літр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пива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маючи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меті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задовольнити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пристрасть,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зайшов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E191B" w:rsidRPr="00E66802">
        <w:rPr>
          <w:rFonts w:ascii="Times New Roman" w:hAnsi="Times New Roman"/>
          <w:color w:val="000000"/>
          <w:sz w:val="28"/>
          <w:szCs w:val="28"/>
          <w:lang w:val="uk-UA"/>
        </w:rPr>
        <w:t>квартири.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Потерпіла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чинила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опір,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вибігла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коридор,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догнав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жбурнув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кімнату,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приставивши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шиї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ножа,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продовжував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насильницькі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неприродним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способом,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спричинило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потерпілій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мучення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r w:rsidRPr="00E66802">
        <w:rPr>
          <w:rFonts w:ascii="Times New Roman" w:hAnsi="Times New Roman"/>
          <w:color w:val="000000"/>
          <w:sz w:val="28"/>
          <w:szCs w:val="28"/>
        </w:rPr>
        <w:t>3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соціально-демографічної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рівень.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ознака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можливість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простежити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залежність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інтелектуального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водночас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впливають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інтереси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Адже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низький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самосвідомість,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погляди,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досить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бажання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реалізації.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безперечно,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анкетування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Департаменту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покарань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допомогли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встановити,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51,6%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зазначеної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36,1%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базову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6,4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початкову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незакінчену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вищу,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1,6%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вищу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0,7%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неписьменні.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12,2%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навчаються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загальноосвітньому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закладі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установі,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6,1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навчаються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професійно-технічному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закладі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установі,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0,1%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заочно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(дистанційно)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вищих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навчальних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закладах.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викладеного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випливає,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переважній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більшості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базову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неналежним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чином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засвоїли.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наголосити,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однією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функцій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моральних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якостей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навичок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праці,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антикриміногенної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Водночас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свідчить,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шкільне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виконало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покладеної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нього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антикриміногенної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функції.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Косенко,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більшості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спостерігається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недостатньо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87%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незакінчену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технічну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10%,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вищу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кількості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вивчених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зазначає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вчена,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отримані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підтверджують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комплекс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негативних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якостей,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склались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внаслідок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недостатнього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освітнього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рівня,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недоліків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тощо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[10,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48].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погодитися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тим,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правило,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вчиняють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некритично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ставляться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власної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обмежений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кругозір,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стримані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намірах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бажаннях,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застосовують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фізичну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силу.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безумовно,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необхідно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отримання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визначає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належного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цілому,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зокрема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культури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відносинах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людьми.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приводу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слушно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зауважує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Е.Ф.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Побєгайло,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високий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сам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собі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далеко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завжди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слугувати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панацеєю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особистістю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тяжких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насильницьких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злочинів[8,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103].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Отже,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аналіз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освітнього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досліджуваних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доводить,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зберігається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загальна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тенденція,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переважна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частина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характеризується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низьким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середнім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рівнем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освіти.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Розглянемо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дані,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характеризують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сім'ю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стосовно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Адже,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відомо,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один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визначальних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елементів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мікросередовища,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людини.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сучасному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українському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суспільстві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постійно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зростає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розуміння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тієї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обставини,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зміцнення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сімейних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найважливіших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факторів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стабільності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сталого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фізичного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духовного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нації.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стосується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природним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середовищем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існують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сприятливі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умови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належного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[2,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33].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Водночас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проблеми,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виникають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сімейного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дітей,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негативно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впливають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здорового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молодого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покоління.</w:t>
      </w:r>
    </w:p>
    <w:p w:rsidR="007B3DE0" w:rsidRPr="00E66802" w:rsidRDefault="007B3DE0" w:rsidP="00816CB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Анкетування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допомогло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встановити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сімейний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цієї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засуджених.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61,7%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ніколи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шлюбі,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22,0%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зареєстрованому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шлюб,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42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зареєстрували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шлюб,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перебуваючи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місцях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позбавлення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волі,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3,7%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перебувають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громадянському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шлюбі,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0,9%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удівці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(удови),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розлучених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11,7%,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розлучились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місцях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позбавлення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волі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29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наведеного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простежується,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загалом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поширеність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злочинів,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вчинених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сім'ю,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нижча,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мав.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огляду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сказане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особливий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інтерес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нашого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становить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сім'я,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якій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зростали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Все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допоможе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виявити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криміногенний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антикриміногенний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сім'ї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злочинну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поведінку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досліджуваної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66802">
        <w:rPr>
          <w:rFonts w:ascii="Times New Roman" w:hAnsi="Times New Roman"/>
          <w:color w:val="000000"/>
          <w:sz w:val="28"/>
          <w:szCs w:val="28"/>
          <w:lang w:val="uk-UA"/>
        </w:rPr>
        <w:t>злочинців.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Необхідно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сучасні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наукові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свідчать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велику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кількість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розлучень,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сімей,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дисфункціональних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шлюбно-сімейних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взаємин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тощо.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Соціально-економічні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труднощі,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політичні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кризи,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атмосфера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невизначеності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нестабільності,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наразилося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українське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суспільство,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негативно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позначаються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спроможності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ефективно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функціонувати,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зумовлюють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загострення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багатьох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сімейних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проблем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[8,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102].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нашим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дослідженням,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30%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виховувались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без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батька.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цьому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відсутність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пояснювалася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неприязними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міжособистісними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стосунками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матір'ю.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Важливо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проведені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вченими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переконливо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доводять,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розбіжності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психосоціальному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розвитку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значною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мірою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залежать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взаємовідносин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між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дітьми.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підкреслити,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основною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умовою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нормального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психо-соціального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розвитку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(за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здорової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нервової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системи)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спокійна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доброзичлива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атмосфера,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створювана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або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особами,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замінюють,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уважно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ставляться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емоційних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потреб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дитини.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Поряд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потрібно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надати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дитині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більше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самостійності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незалежності,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можливості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спілкуватися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іншими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дітьми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дорослими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домом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забезпечувати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відповідні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умови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для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[4,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355].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Проведене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сімейного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оточення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підстави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констатувати,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вони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позбавлені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умов.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залежність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психологічного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здоров'я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розглядатиметься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наступних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підрозділах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дисертації.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цілком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слушно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вчені,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насильницькі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зокрема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виховувались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постійно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застосовувалося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насильство,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об’єктом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будь-хто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членів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родини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[2,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175–187].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підтверджує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наше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емпіричне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5%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схильні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прояву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внутрішньої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агресії,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проявлятись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самогубстві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або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заподіянні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тілесних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ушкоджень.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1,4%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схильність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прояву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зовнішньої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агресії,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виді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нападу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персонал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установи,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вони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відбувають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покарання,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створенні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конфліктних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ситуацій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серед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Поряд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наголосити,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негативний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досвід,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отриманий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власних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вони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переносять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власні.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згідно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нашим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1,1%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позбавлені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батьківських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прав.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умовах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неблагополучної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або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практично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відсутнє,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або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набуває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формального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навіть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явно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спотвореного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характеру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</w:t>
      </w:r>
      <w:r w:rsidRPr="00E66802">
        <w:rPr>
          <w:color w:val="000000"/>
          <w:sz w:val="28"/>
          <w:szCs w:val="28"/>
        </w:rPr>
        <w:t>3</w:t>
      </w:r>
      <w:r w:rsidRPr="00E66802">
        <w:rPr>
          <w:color w:val="000000"/>
          <w:sz w:val="28"/>
          <w:szCs w:val="28"/>
          <w:lang w:val="uk-UA"/>
        </w:rPr>
        <w:t>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36].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Важливим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чинником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виступає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обставина,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сімейне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неблагополуччя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тільки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обмежує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моральний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розвиток,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сприяє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сприяє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формуванню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комплексу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сваволі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ілюзій,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причиною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поведінки,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зокрема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статевої,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зазначалося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попередньому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розділі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нашим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дослідженням,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57%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виховувалися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неблагополучних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місце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зловживання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спиртними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напоями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ігнорування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дитини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батьками.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Адже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зловживає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алкогольними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напоями,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втрачає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риси,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повага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іншої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людини,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здатність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турбуватися,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відповідати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підтримувати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складних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ситуаціях.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дивно,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зловживають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алкоголем,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менша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увага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приділяється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залишаються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самоті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своїми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проблемами.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правило,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легко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піддаються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негативному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впливу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неформальних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груп,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йшлося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попередньому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розділі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Особливої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уваги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заслуговує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думка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науковців,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згідно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насильство,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зокрема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сексуальне,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боку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близької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людини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завдає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важкої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психологічної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фізичної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шкоди,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ніж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насильство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боку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незнайомої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[7,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37].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Вважаємо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думка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цілком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обґрунтованою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такою,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заслуговує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підтримку.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По-перше,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дитина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близькій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людині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намагається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знайти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надійну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підтримку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захист,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по-друге,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зазначеному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випадку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порушується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основний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принцип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безпечне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існування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будь-якого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члена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родини.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Отже,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механізм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поведінки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значний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вплив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справляли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виділити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основні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обставини,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сприяли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неправильному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формуванню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досліджуваного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сім'ї: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невиконання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своїх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обов’язків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дітей;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самі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батьки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поганим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прикладом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для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наслідування.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чином,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сім'я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виконує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покладеної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функції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соціального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контролю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забезпечення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позитивної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поведінки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відносинах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між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людьми.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Серед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розглянутих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соціально-демографічних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ознак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звернути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увагу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професію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заняття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Проведене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емпіричне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дало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змогу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виявити,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48,9%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професію,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10,9%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професії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установі,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7,8%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виробництві,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відбувають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покарання.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Дослідження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ознаки,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зайнятість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допомогло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встановити,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момент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56,4%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робітничу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професію.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Варто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відмітити,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серед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зустрічаються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державні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службовці,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військовослужбовці,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вчителі,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вихователі,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приватні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підприємці.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залишити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увагою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той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факт,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серед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учні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шкіл,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ліцеїв,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коледжів.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правило,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зазначена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категорія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найбільше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стосовно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однолітків.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останні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частка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зростає.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Наприклад,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2004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частка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становила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45,8%,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2005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64,5%,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60,5%,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2007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84,9%.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контексті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сказаного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звернути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увагу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одну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негативну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тенденцію,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момент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неповнолітнього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значний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відсоток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працездатними,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проте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ніде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працювали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навчалися,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кожним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роком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зростає.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даними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ДСА,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частка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становила: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2004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41,1%,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2005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44,2%,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38,6%,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2007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61,4%.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Наприклад,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В.,О.,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непрацюючі,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середньою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освітою,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раніше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судимі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метою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зґвалтування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залякали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застосуванням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фізичної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сили,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наказали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роздягнутись.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усвідомлюючи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наміри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просила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бити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ґвалтувати.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Однак,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вступив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потерпілою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зв'язок,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знаходився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поруч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подавляв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волю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погрозами</w:t>
      </w:r>
      <w:r w:rsidR="00816CB8" w:rsidRPr="00E66802">
        <w:rPr>
          <w:rStyle w:val="a3"/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[2].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Слід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зазначити,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серед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пенсіонерів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(у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інвалідів),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зростає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питома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вага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неповнолітнього.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Зокрема,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2005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вона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становила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9,5%,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22,7%,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2007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40%.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Тобто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простежується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збільшення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кількості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старшого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віку,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для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задоволення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потреб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використовували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інвалід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III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групи,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розпусні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відносно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однокласниць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своєї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внучки,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учениці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третього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класу,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також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задовольняв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пристрасть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неприродним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способом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неодноразово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приходив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своєю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внучкою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школу,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залишався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дітьми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біля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дитячого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садку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(де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навчалась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внучка)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гральному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майданчику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час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маючи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меті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викликати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себе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збудження,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садив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дівчаток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себе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коліна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розпусні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дії: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шукав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руками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органи,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гладив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мацав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ягодиці,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бедра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[3].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Так,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громадянин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неодноразово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усиновлених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проживав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сім’єю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трьома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малолітніми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дітьми.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нічний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час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використанням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безпорадного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шляхом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застосуванням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фізичної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сили,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утриманням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рук,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ніг,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закриванням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роту,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ґвалтував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дітей.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Задовольняючи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пристрасть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використовував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засіб,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застосовується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місцевій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анестезії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для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знеболення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ран.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Таким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чином,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наведене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засвідчує,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соціально-демографічна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характеристика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важливе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кримінологічне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значення,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оскільки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сприяє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повноті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висвітлення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розглядуваної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проблеми.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також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дає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можливість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простежити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залежність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культури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її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соціального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статусу,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сприятиме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розробленню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заходів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запобігання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злочинам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Отже,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засуджені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здебільшого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людьми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невисоким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рівнем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освіти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низьким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рівнем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культури,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отримали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належного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результатом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сформований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комплекс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сваволі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ілюзій.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Таким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чином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вищенаведеного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можна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скласти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узагальнюючу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характеристику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особистості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неповнолітнього.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правило,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97,4%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досліджуваних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чоловіками,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58%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осіб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вчинили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віці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30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років,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переважна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більшість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(61,4%)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були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працездатними,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однак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ніде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працювали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навчалися,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57%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неблагополучні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умови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сімейного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виховання,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лише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1,6%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отримали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повну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вищу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освіту,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цілому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зазначеній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категорії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злочинців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притаманний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низький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рівень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культури.</w:t>
      </w:r>
    </w:p>
    <w:p w:rsidR="00B02689" w:rsidRPr="00E66802" w:rsidRDefault="00B02689" w:rsidP="00B02689">
      <w:pPr>
        <w:rPr>
          <w:rFonts w:ascii="Times New Roman" w:hAnsi="Times New Roman"/>
          <w:b/>
          <w:color w:val="FFFFFF"/>
          <w:sz w:val="28"/>
          <w:szCs w:val="28"/>
          <w:lang w:val="uk-UA"/>
        </w:rPr>
      </w:pPr>
      <w:r w:rsidRPr="00E66802">
        <w:rPr>
          <w:rFonts w:ascii="Times New Roman" w:hAnsi="Times New Roman"/>
          <w:b/>
          <w:color w:val="FFFFFF"/>
          <w:sz w:val="28"/>
          <w:szCs w:val="28"/>
          <w:lang w:val="uk-UA"/>
        </w:rPr>
        <w:t>злочинець неповнолітній статевий злочин</w:t>
      </w: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3DE0" w:rsidRPr="00E66802" w:rsidRDefault="00816CB8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br w:type="page"/>
      </w:r>
      <w:r w:rsidR="007B3DE0" w:rsidRPr="00E66802">
        <w:rPr>
          <w:b/>
          <w:color w:val="000000"/>
          <w:sz w:val="28"/>
          <w:szCs w:val="28"/>
          <w:lang w:val="uk-UA"/>
        </w:rPr>
        <w:t>Література</w:t>
      </w:r>
    </w:p>
    <w:p w:rsidR="00816CB8" w:rsidRPr="00E66802" w:rsidRDefault="00816CB8" w:rsidP="00816CB8">
      <w:pPr>
        <w:pStyle w:val="msonormalcxspmiddl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6802">
        <w:rPr>
          <w:color w:val="000000"/>
          <w:sz w:val="28"/>
          <w:szCs w:val="28"/>
        </w:rPr>
        <w:t>Глистин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В.К.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Проблема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уголовно-правовой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охраны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общественных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отношений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(объект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и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квалификация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преступлений)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В.К.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Глистин</w:t>
      </w:r>
      <w:r w:rsidRPr="00E66802">
        <w:rPr>
          <w:color w:val="000000"/>
          <w:sz w:val="28"/>
          <w:szCs w:val="28"/>
        </w:rPr>
        <w:t>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Ленинград,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Издательство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Ленинградского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университета,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1979.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128с.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Голіна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Злочинності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організовану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протидію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Голіна.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Х.: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Рубікон,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1998.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126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Голіна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Кримінологічна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характеристика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злочинів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проти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життя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здоров’я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вчиняються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неповнолітніми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Голіна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В.В.,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Ємельянов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В.П.,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Лукашевич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С.Ю.,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Самолова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О.М.,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Колодязний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М.Г.];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під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ред.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Голіни.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Х.: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«Кроссроуд»,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2007.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156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Головінський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І.З.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Особистість: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розвиток,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теорії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виміри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І.З.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Головінський.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К.: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Аконіт,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2005.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128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Кримінологія: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[Підручник]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[О.М.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Джужа,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Я.Ю.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Кондратьєв,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О.Г.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Кулик,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П.П.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Михайленко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ін.]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К.: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Юрінком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Інтер,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2002.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446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6802">
        <w:rPr>
          <w:color w:val="000000"/>
          <w:sz w:val="28"/>
          <w:szCs w:val="28"/>
        </w:rPr>
        <w:t>Кудрявцев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В.Н.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Причинность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криминологии: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структуре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индивидуального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преступного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поведения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/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В.Н.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Кудрявцев.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М.</w:t>
      </w:r>
      <w:r w:rsidRPr="00E66802">
        <w:rPr>
          <w:color w:val="000000"/>
          <w:sz w:val="28"/>
          <w:szCs w:val="28"/>
          <w:lang w:val="uk-UA"/>
        </w:rPr>
        <w:t>: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Юрид.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лит.,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1968.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175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с.</w:t>
      </w:r>
    </w:p>
    <w:p w:rsidR="007B3DE0" w:rsidRPr="00E66802" w:rsidRDefault="007B3DE0" w:rsidP="00816CB8">
      <w:pPr>
        <w:pStyle w:val="msoendnotetextcxspmiddle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color w:val="000000"/>
          <w:sz w:val="28"/>
          <w:szCs w:val="28"/>
        </w:rPr>
      </w:pPr>
      <w:r w:rsidRPr="00E66802">
        <w:rPr>
          <w:color w:val="000000"/>
          <w:sz w:val="28"/>
          <w:szCs w:val="28"/>
        </w:rPr>
        <w:t>Кудрявцев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В.Н.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Причины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правонарушений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/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В.Н.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Кудрявцев.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М.</w:t>
      </w:r>
      <w:r w:rsidRPr="00E66802">
        <w:rPr>
          <w:color w:val="000000"/>
          <w:sz w:val="28"/>
          <w:szCs w:val="28"/>
          <w:lang w:val="uk-UA"/>
        </w:rPr>
        <w:t>: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Наука.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1976.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285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6802">
        <w:rPr>
          <w:color w:val="000000"/>
          <w:sz w:val="28"/>
          <w:szCs w:val="28"/>
        </w:rPr>
        <w:t>Кузнецова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Н.Ф.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Проблемы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криминологической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детерминации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/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Н.Ф.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Кузнецова.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М.: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Изд-во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Моск.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ун-та,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1984.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208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с.</w:t>
      </w:r>
    </w:p>
    <w:p w:rsidR="007B3DE0" w:rsidRPr="00E66802" w:rsidRDefault="007B3DE0" w:rsidP="00816CB8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</w:rPr>
        <w:t>Кузнецова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Н.М.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Криминология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/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Кузнецова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Н.М.,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Миньковский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Г.М.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М.: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Издательство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МГУ,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1994.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–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415</w:t>
      </w:r>
      <w:r w:rsidR="00816CB8" w:rsidRPr="00E66802">
        <w:rPr>
          <w:color w:val="000000"/>
          <w:sz w:val="28"/>
          <w:szCs w:val="28"/>
        </w:rPr>
        <w:t xml:space="preserve"> </w:t>
      </w:r>
      <w:r w:rsidRPr="00E66802">
        <w:rPr>
          <w:color w:val="000000"/>
          <w:sz w:val="28"/>
          <w:szCs w:val="28"/>
        </w:rPr>
        <w:t>с.</w:t>
      </w:r>
    </w:p>
    <w:p w:rsidR="007B3DE0" w:rsidRPr="00E66802" w:rsidRDefault="007B3DE0" w:rsidP="00816CB8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E66802">
        <w:rPr>
          <w:color w:val="000000"/>
          <w:sz w:val="28"/>
          <w:szCs w:val="28"/>
          <w:lang w:val="uk-UA"/>
        </w:rPr>
        <w:t>Маляренко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В.Т.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статеві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злочини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та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інші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сексуальні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зловживання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щодо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малолітніх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неповнолітніх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В.Т.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Маляренко,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Я.В.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Мачужак.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Постанови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Пленуму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Верховного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Суду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України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(1995-1997рр.)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//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Бюлетень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законодавства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і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юридичної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практики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України.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№1.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–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288</w:t>
      </w:r>
      <w:r w:rsidR="00816CB8" w:rsidRPr="00E66802">
        <w:rPr>
          <w:color w:val="000000"/>
          <w:sz w:val="28"/>
          <w:szCs w:val="28"/>
          <w:lang w:val="uk-UA"/>
        </w:rPr>
        <w:t xml:space="preserve"> </w:t>
      </w:r>
      <w:r w:rsidRPr="00E66802">
        <w:rPr>
          <w:color w:val="000000"/>
          <w:sz w:val="28"/>
          <w:szCs w:val="28"/>
          <w:lang w:val="uk-UA"/>
        </w:rPr>
        <w:t>с.</w:t>
      </w:r>
    </w:p>
    <w:p w:rsidR="00D77A40" w:rsidRPr="00D4422E" w:rsidRDefault="00D77A40" w:rsidP="00D77A40">
      <w:pPr>
        <w:spacing w:line="360" w:lineRule="auto"/>
        <w:ind w:left="720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D77A40" w:rsidRPr="00D4422E" w:rsidSect="00816CB8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802" w:rsidRDefault="00E66802" w:rsidP="00D77A40">
      <w:pPr>
        <w:spacing w:after="0" w:line="240" w:lineRule="auto"/>
      </w:pPr>
      <w:r>
        <w:separator/>
      </w:r>
    </w:p>
  </w:endnote>
  <w:endnote w:type="continuationSeparator" w:id="0">
    <w:p w:rsidR="00E66802" w:rsidRDefault="00E66802" w:rsidP="00D7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802" w:rsidRDefault="00E66802" w:rsidP="00D77A40">
      <w:pPr>
        <w:spacing w:after="0" w:line="240" w:lineRule="auto"/>
      </w:pPr>
      <w:r>
        <w:separator/>
      </w:r>
    </w:p>
  </w:footnote>
  <w:footnote w:type="continuationSeparator" w:id="0">
    <w:p w:rsidR="00E66802" w:rsidRDefault="00E66802" w:rsidP="00D7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A40" w:rsidRDefault="00D77A40" w:rsidP="00D77A40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96CA2"/>
    <w:multiLevelType w:val="hybridMultilevel"/>
    <w:tmpl w:val="268636D6"/>
    <w:lvl w:ilvl="0" w:tplc="12B6324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DE0"/>
    <w:rsid w:val="000715C2"/>
    <w:rsid w:val="000D42F6"/>
    <w:rsid w:val="000F305E"/>
    <w:rsid w:val="00171A54"/>
    <w:rsid w:val="001771A8"/>
    <w:rsid w:val="001D11A1"/>
    <w:rsid w:val="002053D7"/>
    <w:rsid w:val="00220588"/>
    <w:rsid w:val="00231FFE"/>
    <w:rsid w:val="002330CE"/>
    <w:rsid w:val="002656FC"/>
    <w:rsid w:val="00273954"/>
    <w:rsid w:val="002F4991"/>
    <w:rsid w:val="00375688"/>
    <w:rsid w:val="0039586E"/>
    <w:rsid w:val="003B3A5F"/>
    <w:rsid w:val="003C7FE8"/>
    <w:rsid w:val="004143A0"/>
    <w:rsid w:val="00416000"/>
    <w:rsid w:val="004B420A"/>
    <w:rsid w:val="004F76B3"/>
    <w:rsid w:val="005B35D9"/>
    <w:rsid w:val="005C5E63"/>
    <w:rsid w:val="005E2896"/>
    <w:rsid w:val="005E4395"/>
    <w:rsid w:val="006341F2"/>
    <w:rsid w:val="006E191B"/>
    <w:rsid w:val="006E3084"/>
    <w:rsid w:val="006E59B5"/>
    <w:rsid w:val="00715D5A"/>
    <w:rsid w:val="0073492E"/>
    <w:rsid w:val="00740014"/>
    <w:rsid w:val="007B3DE0"/>
    <w:rsid w:val="007D53C5"/>
    <w:rsid w:val="007D69FD"/>
    <w:rsid w:val="00807A29"/>
    <w:rsid w:val="00816CB8"/>
    <w:rsid w:val="0084039F"/>
    <w:rsid w:val="00842F15"/>
    <w:rsid w:val="008813F5"/>
    <w:rsid w:val="00896E8A"/>
    <w:rsid w:val="00903A0A"/>
    <w:rsid w:val="00937FD3"/>
    <w:rsid w:val="009A43AD"/>
    <w:rsid w:val="009F2F31"/>
    <w:rsid w:val="00A05F2A"/>
    <w:rsid w:val="00A4757A"/>
    <w:rsid w:val="00A77BA1"/>
    <w:rsid w:val="00A8069D"/>
    <w:rsid w:val="00A87217"/>
    <w:rsid w:val="00A923F4"/>
    <w:rsid w:val="00AF39BF"/>
    <w:rsid w:val="00B02689"/>
    <w:rsid w:val="00B138FD"/>
    <w:rsid w:val="00B24FEF"/>
    <w:rsid w:val="00B471D4"/>
    <w:rsid w:val="00B926D5"/>
    <w:rsid w:val="00BC2B7D"/>
    <w:rsid w:val="00BE7D17"/>
    <w:rsid w:val="00C06DCB"/>
    <w:rsid w:val="00C167AB"/>
    <w:rsid w:val="00C25413"/>
    <w:rsid w:val="00C32289"/>
    <w:rsid w:val="00C4143F"/>
    <w:rsid w:val="00C475C7"/>
    <w:rsid w:val="00C519DC"/>
    <w:rsid w:val="00C74734"/>
    <w:rsid w:val="00CB7B0F"/>
    <w:rsid w:val="00CC73CF"/>
    <w:rsid w:val="00CE4B8A"/>
    <w:rsid w:val="00D25FE6"/>
    <w:rsid w:val="00D2635F"/>
    <w:rsid w:val="00D4422E"/>
    <w:rsid w:val="00D574C2"/>
    <w:rsid w:val="00D77A40"/>
    <w:rsid w:val="00D86A22"/>
    <w:rsid w:val="00DA5940"/>
    <w:rsid w:val="00DD0076"/>
    <w:rsid w:val="00E07DA9"/>
    <w:rsid w:val="00E1559D"/>
    <w:rsid w:val="00E66802"/>
    <w:rsid w:val="00E74399"/>
    <w:rsid w:val="00E85909"/>
    <w:rsid w:val="00EB3CE0"/>
    <w:rsid w:val="00F00060"/>
    <w:rsid w:val="00F06AAB"/>
    <w:rsid w:val="00F370F7"/>
    <w:rsid w:val="00F508C7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293CC4-D7EB-459B-9591-2D8B79C6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E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B3D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endnote reference"/>
    <w:uiPriority w:val="99"/>
    <w:semiHidden/>
    <w:unhideWhenUsed/>
    <w:rsid w:val="007B3DE0"/>
    <w:rPr>
      <w:rFonts w:cs="Times New Roman"/>
      <w:vertAlign w:val="superscript"/>
    </w:rPr>
  </w:style>
  <w:style w:type="paragraph" w:styleId="a4">
    <w:name w:val="endnote text"/>
    <w:basedOn w:val="a"/>
    <w:link w:val="a5"/>
    <w:uiPriority w:val="99"/>
    <w:rsid w:val="007B3DE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концевой сноски Знак"/>
    <w:link w:val="a4"/>
    <w:uiPriority w:val="99"/>
    <w:locked/>
    <w:rsid w:val="007B3DE0"/>
    <w:rPr>
      <w:rFonts w:cs="Times New Roman"/>
      <w:lang w:val="ru-RU" w:eastAsia="ru-RU" w:bidi="ar-SA"/>
    </w:rPr>
  </w:style>
  <w:style w:type="paragraph" w:styleId="a6">
    <w:name w:val="footnote text"/>
    <w:basedOn w:val="a"/>
    <w:link w:val="a7"/>
    <w:uiPriority w:val="99"/>
    <w:rsid w:val="007B3DE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7B3DE0"/>
    <w:rPr>
      <w:rFonts w:cs="Times New Roman"/>
      <w:lang w:val="ru-RU" w:eastAsia="ru-RU" w:bidi="ar-SA"/>
    </w:rPr>
  </w:style>
  <w:style w:type="paragraph" w:customStyle="1" w:styleId="msoendnotetextcxspmiddle">
    <w:name w:val="msoendnotetextcxspmiddle"/>
    <w:basedOn w:val="a"/>
    <w:rsid w:val="007B3D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rsid w:val="00D77A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D77A40"/>
    <w:rPr>
      <w:rFonts w:ascii="Calibri" w:hAnsi="Calibri" w:cs="Times New Roman"/>
      <w:sz w:val="22"/>
      <w:szCs w:val="22"/>
    </w:rPr>
  </w:style>
  <w:style w:type="paragraph" w:styleId="aa">
    <w:name w:val="footer"/>
    <w:basedOn w:val="a"/>
    <w:link w:val="ab"/>
    <w:uiPriority w:val="99"/>
    <w:rsid w:val="00D77A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77A40"/>
    <w:rPr>
      <w:rFonts w:ascii="Calibri" w:hAnsi="Calibri" w:cs="Times New Roman"/>
      <w:sz w:val="22"/>
      <w:szCs w:val="22"/>
    </w:rPr>
  </w:style>
  <w:style w:type="character" w:styleId="ac">
    <w:name w:val="Hyperlink"/>
    <w:uiPriority w:val="99"/>
    <w:rsid w:val="00D77A4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3485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!!!</Company>
  <LinksUpToDate>false</LinksUpToDate>
  <CharactersWithSpaces>23310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!!!</dc:creator>
  <cp:keywords/>
  <dc:description/>
  <cp:lastModifiedBy>admin</cp:lastModifiedBy>
  <cp:revision>2</cp:revision>
  <dcterms:created xsi:type="dcterms:W3CDTF">2014-03-27T14:06:00Z</dcterms:created>
  <dcterms:modified xsi:type="dcterms:W3CDTF">2014-03-27T14:06:00Z</dcterms:modified>
</cp:coreProperties>
</file>