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5F" w:rsidRDefault="003357BF" w:rsidP="00B7185F">
      <w:pPr>
        <w:pStyle w:val="1"/>
        <w:rPr>
          <w:lang w:val="uk-UA"/>
        </w:rPr>
      </w:pPr>
      <w:r w:rsidRPr="00B7185F">
        <w:rPr>
          <w:lang w:val="uk-UA"/>
        </w:rPr>
        <w:t>Роль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</w:p>
    <w:p w:rsidR="00B7185F" w:rsidRPr="00B7185F" w:rsidRDefault="00B7185F" w:rsidP="00B7185F">
      <w:pPr>
        <w:rPr>
          <w:lang w:val="uk-UA" w:eastAsia="en-US"/>
        </w:rPr>
      </w:pP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Виходячи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твердження,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весь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системою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досягнення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істини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охорони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громадян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1,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.5</w:t>
      </w:r>
      <w:r w:rsidRPr="00B7185F">
        <w:rPr>
          <w:lang w:val="uk-UA"/>
        </w:rPr>
        <w:t>6</w:t>
      </w:r>
      <w:r w:rsidRPr="00B7185F">
        <w:rPr>
          <w:lang w:val="en-US"/>
        </w:rPr>
        <w:sym w:font="Symbol" w:char="F05D"/>
      </w:r>
      <w:r w:rsidRPr="00B7185F">
        <w:rPr>
          <w:lang w:val="uk-UA"/>
        </w:rPr>
        <w:t>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</w:t>
      </w:r>
      <w:r w:rsidR="00B7185F">
        <w:rPr>
          <w:lang w:val="uk-UA"/>
        </w:rPr>
        <w:t xml:space="preserve">.А. </w:t>
      </w:r>
      <w:r w:rsidRPr="00B7185F">
        <w:rPr>
          <w:lang w:val="uk-UA"/>
        </w:rPr>
        <w:t>Абдумаджидов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доходить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висновку,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досудове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слідство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дізнання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одним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елементів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системи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гарантій,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кожна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дія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підсистемною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одиницею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4,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.3</w:t>
      </w:r>
      <w:r w:rsidRPr="00B7185F">
        <w:rPr>
          <w:lang w:val="uk-UA"/>
        </w:rPr>
        <w:t>8</w:t>
      </w:r>
      <w:r w:rsidRPr="00B7185F">
        <w:rPr>
          <w:lang w:val="en-US"/>
        </w:rPr>
        <w:sym w:font="Symbol" w:char="F05D"/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загалом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законодавчо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регламентовані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чином,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щоб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гарантувати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інтереси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Метою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регламентації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підстав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порядку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по-перше,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достовірності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об’єктивності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отриманої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доказової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інформації,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по-друге,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правозастосуванні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необхідно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виходити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меті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оптимальним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чином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врегулювати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визначити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межі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максимального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обмеження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конституційних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наприклад,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забороняє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домагатися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показань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шляхом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насильства,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погроз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незаконних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засобів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), </w:t>
      </w:r>
      <w:r w:rsidRPr="00B7185F">
        <w:rPr>
          <w:lang w:val="uk-UA"/>
        </w:rPr>
        <w:t>вчиняти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принижують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гідність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освідуваної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або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небезпечні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>
        <w:rPr>
          <w:lang w:val="uk-UA"/>
        </w:rPr>
        <w:t>. 19</w:t>
      </w:r>
      <w:r w:rsidRPr="00B7185F">
        <w:rPr>
          <w:lang w:val="uk-UA"/>
        </w:rPr>
        <w:t>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),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також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зобов’язує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вживати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нерозголошення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виявлених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або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виїмки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обставин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особистого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обшукуваного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проживають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або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тимчасово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перебувають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приміщенні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>
        <w:rPr>
          <w:lang w:val="uk-UA"/>
        </w:rPr>
        <w:t>.1</w:t>
      </w:r>
      <w:r w:rsidRPr="00B7185F">
        <w:rPr>
          <w:lang w:val="uk-UA"/>
        </w:rPr>
        <w:t>85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>).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Водночас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положення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обмежений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характер,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охоплюють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окремі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свідчить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необхідність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вдосконалення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законодавчої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регламентації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Розглядаючи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сутність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зазначимо,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теорії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відсутній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єдиний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підхід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розуміння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поняття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>
        <w:rPr>
          <w:lang w:val="uk-UA"/>
        </w:rPr>
        <w:t>"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Однією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причин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різноманітних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наукових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тлумачень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недостатньо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чітке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законодавче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формулювання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терміна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Чинний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відносить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захисника,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цивільного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позивача,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цивільного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відповідача,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також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їхніх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представників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п</w:t>
      </w:r>
      <w:r w:rsidR="00B7185F">
        <w:rPr>
          <w:lang w:val="uk-UA"/>
        </w:rPr>
        <w:t>.8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.3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 xml:space="preserve">). </w:t>
      </w:r>
      <w:r w:rsidRPr="00B7185F">
        <w:rPr>
          <w:lang w:val="uk-UA"/>
        </w:rPr>
        <w:t>Гл</w:t>
      </w:r>
      <w:r w:rsidR="00B7185F">
        <w:rPr>
          <w:lang w:val="uk-UA"/>
        </w:rPr>
        <w:t>.3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обов’язки</w:t>
      </w:r>
      <w:r w:rsidR="00B7185F">
        <w:rPr>
          <w:lang w:val="uk-UA"/>
        </w:rPr>
        <w:t xml:space="preserve">" </w:t>
      </w:r>
      <w:r w:rsidRPr="00B7185F">
        <w:rPr>
          <w:lang w:val="uk-UA"/>
        </w:rPr>
        <w:t>додає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наведеного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переліку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також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>
        <w:rPr>
          <w:lang w:val="uk-UA"/>
        </w:rPr>
        <w:t>.4</w:t>
      </w:r>
      <w:r w:rsidRPr="00B7185F">
        <w:rPr>
          <w:lang w:val="uk-UA"/>
        </w:rPr>
        <w:t>3-1</w:t>
      </w:r>
      <w:r w:rsidR="00B7185F" w:rsidRPr="00B7185F">
        <w:rPr>
          <w:lang w:val="uk-UA"/>
        </w:rPr>
        <w:t>).</w:t>
      </w:r>
    </w:p>
    <w:p w:rsid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Привертає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увагу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поряд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терміном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>
        <w:rPr>
          <w:lang w:val="uk-UA"/>
        </w:rPr>
        <w:t xml:space="preserve">"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вживається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поняття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</w:t>
      </w:r>
      <w:r w:rsidR="00B7185F">
        <w:rPr>
          <w:lang w:val="uk-UA"/>
        </w:rPr>
        <w:t>"</w:t>
      </w:r>
      <w:r w:rsidRPr="00B7185F">
        <w:rPr>
          <w:lang w:val="uk-UA"/>
        </w:rPr>
        <w:t>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також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судочинстві</w:t>
      </w:r>
      <w:r w:rsidR="00B7185F">
        <w:rPr>
          <w:lang w:val="uk-UA"/>
        </w:rPr>
        <w:t>"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відповідно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завданнями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охорона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інтересів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фізичних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юридичних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ньому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Згідно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забороняється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домагатись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показань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шляхом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насильства,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погроз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незаконних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заходів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.5</w:t>
      </w:r>
      <w:r w:rsidRPr="00B7185F">
        <w:rPr>
          <w:lang w:val="uk-UA"/>
        </w:rPr>
        <w:t>2-1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йде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наявності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реальної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загрози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життю,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здоров’ю,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майну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безпеки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Далі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наводиться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перелік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суб’єктів,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безпеки,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саме</w:t>
      </w:r>
      <w:r w:rsidR="00B7185F">
        <w:rPr>
          <w:lang w:val="uk-UA"/>
        </w:rPr>
        <w:t>:</w:t>
      </w:r>
    </w:p>
    <w:p w:rsid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1)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особа,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яка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заявила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до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правоохоронного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органу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злочин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або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в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іншій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формі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брала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участь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у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виявленні,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запобіганні,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припиненні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розкритті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злочину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чи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сприяла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цьому</w:t>
      </w:r>
      <w:r>
        <w:rPr>
          <w:lang w:val="uk-UA"/>
        </w:rPr>
        <w:t>;</w:t>
      </w:r>
    </w:p>
    <w:p w:rsid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2)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потерпілий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або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його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представник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у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кримінальній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справі</w:t>
      </w:r>
      <w:r>
        <w:rPr>
          <w:lang w:val="uk-UA"/>
        </w:rPr>
        <w:t>;</w:t>
      </w:r>
    </w:p>
    <w:p w:rsid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3)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підозрюваний,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обвинувачений,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захисники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законні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представники</w:t>
      </w:r>
      <w:r>
        <w:rPr>
          <w:lang w:val="uk-UA"/>
        </w:rPr>
        <w:t>;</w:t>
      </w:r>
    </w:p>
    <w:p w:rsid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4)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цивільний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позивач,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цивільний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відповідач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та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їх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представники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у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справі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відшкодування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шкоди,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завданої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злочином</w:t>
      </w:r>
      <w:r>
        <w:rPr>
          <w:lang w:val="uk-UA"/>
        </w:rPr>
        <w:t>;</w:t>
      </w:r>
    </w:p>
    <w:p w:rsid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5)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свідок</w:t>
      </w:r>
      <w:r>
        <w:rPr>
          <w:lang w:val="uk-UA"/>
        </w:rPr>
        <w:t>;</w:t>
      </w:r>
    </w:p>
    <w:p w:rsid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6)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експерт,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спеціаліст,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перекладач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понятий</w:t>
      </w:r>
      <w:r>
        <w:rPr>
          <w:lang w:val="uk-UA"/>
        </w:rPr>
        <w:t>;</w:t>
      </w:r>
    </w:p>
    <w:p w:rsidR="00B7185F" w:rsidRPr="00B7185F" w:rsidRDefault="00B7185F" w:rsidP="00B7185F">
      <w:pPr>
        <w:tabs>
          <w:tab w:val="left" w:pos="726"/>
        </w:tabs>
        <w:rPr>
          <w:lang w:val="uk-UA"/>
        </w:rPr>
      </w:pPr>
      <w:r>
        <w:rPr>
          <w:lang w:val="uk-UA"/>
        </w:rPr>
        <w:t>7)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члени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сімей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та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близькі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родичі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осіб,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перелічених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у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пунктах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1-6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цієї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статті,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якщо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шляхом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погроз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або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інших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протиправних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дій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щодо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них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робляться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спроби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вплинути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на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учасників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кримінального</w:t>
      </w:r>
      <w:r w:rsidRPr="00B7185F">
        <w:rPr>
          <w:lang w:val="uk-UA"/>
        </w:rPr>
        <w:t xml:space="preserve"> </w:t>
      </w:r>
      <w:r w:rsidR="003357BF" w:rsidRPr="00B7185F">
        <w:rPr>
          <w:lang w:val="uk-UA"/>
        </w:rPr>
        <w:t>судочинства</w:t>
      </w:r>
      <w:r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Також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поняття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учасник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>
        <w:rPr>
          <w:lang w:val="uk-UA"/>
        </w:rPr>
        <w:t>"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відповідно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.8</w:t>
      </w:r>
      <w:r w:rsidRPr="00B7185F">
        <w:rPr>
          <w:lang w:val="uk-UA"/>
        </w:rPr>
        <w:t>5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однією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вимог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оформлення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протоколу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ньому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прізвищ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брали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цієї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Згідно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.8</w:t>
      </w:r>
      <w:r w:rsidRPr="00B7185F">
        <w:rPr>
          <w:lang w:val="uk-UA"/>
        </w:rPr>
        <w:t>5-1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звукозапису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повідомляються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використовується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термін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розгляду</w:t>
      </w:r>
      <w:r w:rsidR="00B7185F">
        <w:rPr>
          <w:lang w:val="uk-UA"/>
        </w:rPr>
        <w:t>"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Pr="00B7185F">
        <w:rPr>
          <w:lang w:val="uk-UA"/>
        </w:rPr>
        <w:t>84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зазначено,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відкривши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судове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засідання,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головуючий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оголошує,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хто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розгляду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викликаних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з'явився,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повідомляє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причини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неявки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відсутніх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Неоднозначне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законодавче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визначення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породжує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відсутність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єдиного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підходу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вирішення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питання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теорії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Окремі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вчені,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прихильники,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званого,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вузького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тлумачення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терміна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>
        <w:rPr>
          <w:lang w:val="uk-UA"/>
        </w:rPr>
        <w:t>"</w:t>
      </w:r>
      <w:r w:rsidRPr="00B7185F">
        <w:rPr>
          <w:lang w:val="uk-UA"/>
        </w:rPr>
        <w:t>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вважають,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віднесені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захищають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інтереси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Відмінною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рисою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обсяг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характер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наданих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дозволяють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активно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впливати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результат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Відповідно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цієї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концепції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прокурор,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слідчий,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дізнання,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власного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інтересу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</w:t>
      </w:r>
      <w:r w:rsidR="00B7185F" w:rsidRPr="00B7185F">
        <w:rPr>
          <w:lang w:val="uk-UA"/>
        </w:rPr>
        <w:t xml:space="preserve"> </w:t>
      </w:r>
      <w:r w:rsidR="00B7185F" w:rsidRPr="00B7185F">
        <w:t>[</w:t>
      </w:r>
      <w:r w:rsidRPr="00B7185F">
        <w:t>5,</w:t>
      </w:r>
      <w:r w:rsidR="00B7185F" w:rsidRPr="00B7185F">
        <w:t xml:space="preserve"> </w:t>
      </w:r>
      <w:r w:rsidRPr="00B7185F">
        <w:t>с</w:t>
      </w:r>
      <w:r w:rsidR="00B7185F">
        <w:t>.7</w:t>
      </w:r>
      <w:r w:rsidRPr="00B7185F">
        <w:t>1</w:t>
      </w:r>
      <w:r w:rsidRPr="00B7185F">
        <w:rPr>
          <w:lang w:val="en-US"/>
        </w:rPr>
        <w:sym w:font="Symbol" w:char="F05D"/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Існує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також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позиція,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відповідно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це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виконують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функції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обвинувачення,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захист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вирішення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належать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суд,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прокурор,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орган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дізнання,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обвинувачений,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захисник,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потерпілий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стосується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свідків,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експертів,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понятих,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перекладачів,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наділені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певними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обов’язками,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однак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виконують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функції,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 </w:t>
      </w:r>
      <w:r w:rsidR="00B7185F" w:rsidRPr="00B7185F">
        <w:t>[</w:t>
      </w:r>
      <w:r w:rsidRPr="00B7185F">
        <w:rPr>
          <w:lang w:val="uk-UA"/>
        </w:rPr>
        <w:t>7</w:t>
      </w:r>
      <w:r w:rsidRPr="00B7185F">
        <w:t>,</w:t>
      </w:r>
      <w:r w:rsidR="00B7185F" w:rsidRPr="00B7185F">
        <w:t xml:space="preserve"> </w:t>
      </w:r>
      <w:r w:rsidRPr="00B7185F">
        <w:t>с</w:t>
      </w:r>
      <w:r w:rsidR="00B7185F">
        <w:t>.1</w:t>
      </w:r>
      <w:r w:rsidRPr="00B7185F">
        <w:rPr>
          <w:lang w:val="uk-UA"/>
        </w:rPr>
        <w:t>11</w:t>
      </w:r>
      <w:r w:rsidRPr="00B7185F">
        <w:rPr>
          <w:lang w:val="en-US"/>
        </w:rPr>
        <w:sym w:font="Symbol" w:char="F05D"/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Прихильники,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званого,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широкого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тлумачення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терміна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стверджують,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усі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наслідок,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Окремі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усіх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стадіях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тоді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окремих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діях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2,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.6</w:t>
      </w:r>
      <w:r w:rsidRPr="00B7185F">
        <w:rPr>
          <w:lang w:val="uk-UA"/>
        </w:rPr>
        <w:t>6</w:t>
      </w:r>
      <w:r w:rsidRPr="00B7185F">
        <w:rPr>
          <w:lang w:val="en-US"/>
        </w:rPr>
        <w:sym w:font="Symbol" w:char="F05D"/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Видається,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остання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точка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зору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найбільш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вдалою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Незважаючи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розбіжності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вступають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конкретні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правовідносини,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здійснюють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певну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діяльність,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кожен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наділений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певними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виконує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покладені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підстави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об’єднання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загальним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поняттям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учасники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Діяльність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комплексний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характер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передбачає</w:t>
      </w:r>
      <w:r w:rsidR="00B7185F" w:rsidRPr="00B7185F">
        <w:rPr>
          <w:lang w:val="uk-UA"/>
        </w:rPr>
        <w:t>:</w:t>
      </w:r>
    </w:p>
    <w:p w:rsidR="00B7185F" w:rsidRPr="00B7185F" w:rsidRDefault="003357BF" w:rsidP="00B7185F">
      <w:pPr>
        <w:numPr>
          <w:ilvl w:val="0"/>
          <w:numId w:val="1"/>
        </w:numPr>
        <w:tabs>
          <w:tab w:val="clear" w:pos="481"/>
          <w:tab w:val="left" w:pos="726"/>
        </w:tabs>
        <w:ind w:left="0" w:firstLine="709"/>
        <w:rPr>
          <w:lang w:val="uk-UA"/>
        </w:rPr>
      </w:pPr>
      <w:r w:rsidRPr="00B7185F">
        <w:rPr>
          <w:lang w:val="uk-UA"/>
        </w:rPr>
        <w:t>інформування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надані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роз’яснення</w:t>
      </w:r>
      <w:r w:rsidR="00B7185F" w:rsidRPr="00B7185F">
        <w:rPr>
          <w:lang w:val="uk-UA"/>
        </w:rPr>
        <w:t>;</w:t>
      </w:r>
    </w:p>
    <w:p w:rsidR="00B7185F" w:rsidRPr="00B7185F" w:rsidRDefault="003357BF" w:rsidP="00B7185F">
      <w:pPr>
        <w:numPr>
          <w:ilvl w:val="0"/>
          <w:numId w:val="1"/>
        </w:numPr>
        <w:tabs>
          <w:tab w:val="clear" w:pos="481"/>
          <w:tab w:val="left" w:pos="726"/>
        </w:tabs>
        <w:ind w:left="0" w:firstLine="709"/>
        <w:rPr>
          <w:lang w:val="uk-UA"/>
        </w:rPr>
      </w:pPr>
      <w:r w:rsidRPr="00B7185F">
        <w:rPr>
          <w:lang w:val="uk-UA"/>
        </w:rPr>
        <w:t>створення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необхідних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умов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повноцінної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реалізації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>;</w:t>
      </w:r>
    </w:p>
    <w:p w:rsidR="00B7185F" w:rsidRPr="00B7185F" w:rsidRDefault="003357BF" w:rsidP="00B7185F">
      <w:pPr>
        <w:numPr>
          <w:ilvl w:val="0"/>
          <w:numId w:val="1"/>
        </w:numPr>
        <w:tabs>
          <w:tab w:val="clear" w:pos="481"/>
          <w:tab w:val="left" w:pos="726"/>
        </w:tabs>
        <w:ind w:left="0" w:firstLine="709"/>
        <w:rPr>
          <w:lang w:val="uk-UA"/>
        </w:rPr>
      </w:pPr>
      <w:r w:rsidRPr="00B7185F">
        <w:rPr>
          <w:lang w:val="uk-UA"/>
        </w:rPr>
        <w:t>охорона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порушень</w:t>
      </w:r>
      <w:r w:rsidR="00B7185F" w:rsidRPr="00B7185F">
        <w:rPr>
          <w:lang w:val="uk-UA"/>
        </w:rPr>
        <w:t>;</w:t>
      </w:r>
    </w:p>
    <w:p w:rsidR="00B7185F" w:rsidRPr="00B7185F" w:rsidRDefault="003357BF" w:rsidP="00B7185F">
      <w:pPr>
        <w:numPr>
          <w:ilvl w:val="0"/>
          <w:numId w:val="1"/>
        </w:numPr>
        <w:tabs>
          <w:tab w:val="clear" w:pos="481"/>
          <w:tab w:val="left" w:pos="726"/>
        </w:tabs>
        <w:ind w:left="0" w:firstLine="709"/>
        <w:rPr>
          <w:lang w:val="uk-UA"/>
        </w:rPr>
      </w:pPr>
      <w:r w:rsidRPr="00B7185F">
        <w:rPr>
          <w:lang w:val="uk-UA"/>
        </w:rPr>
        <w:t>захист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>;</w:t>
      </w:r>
    </w:p>
    <w:p w:rsidR="00B7185F" w:rsidRPr="00B7185F" w:rsidRDefault="003357BF" w:rsidP="00B7185F">
      <w:pPr>
        <w:numPr>
          <w:ilvl w:val="0"/>
          <w:numId w:val="1"/>
        </w:numPr>
        <w:tabs>
          <w:tab w:val="clear" w:pos="481"/>
          <w:tab w:val="left" w:pos="726"/>
        </w:tabs>
        <w:ind w:left="0" w:firstLine="709"/>
      </w:pPr>
      <w:r w:rsidRPr="00B7185F">
        <w:rPr>
          <w:lang w:val="uk-UA"/>
        </w:rPr>
        <w:t>поновлення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порушених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="00B7185F" w:rsidRPr="00B7185F">
        <w:t>[</w:t>
      </w:r>
      <w:r w:rsidRPr="00B7185F">
        <w:t>1,</w:t>
      </w:r>
      <w:r w:rsidR="00B7185F" w:rsidRPr="00B7185F">
        <w:t xml:space="preserve"> </w:t>
      </w:r>
      <w:r w:rsidRPr="00B7185F">
        <w:t>с</w:t>
      </w:r>
      <w:r w:rsidR="00B7185F">
        <w:t>.4</w:t>
      </w:r>
      <w:r w:rsidRPr="00B7185F">
        <w:t>0</w:t>
      </w:r>
      <w:r w:rsidRPr="00B7185F">
        <w:rPr>
          <w:lang w:val="en-US"/>
        </w:rPr>
        <w:sym w:font="Symbol" w:char="F05D"/>
      </w:r>
      <w:r w:rsidR="00B7185F" w:rsidRPr="00B7185F"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Правовий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розслідування,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ґрунтується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загальному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правовому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громадянина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гарантується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Конституцією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визначається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сукупністю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суб’єктивних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юридичних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обов’язків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Конституційні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відтворені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закріплені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нормах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набувають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характеру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принципів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гарантована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Конституцією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недоторканність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Pr="00B7185F">
        <w:rPr>
          <w:lang w:val="uk-UA"/>
        </w:rPr>
        <w:t>9</w:t>
      </w:r>
      <w:r w:rsidR="00B7185F" w:rsidRPr="00B7185F">
        <w:rPr>
          <w:lang w:val="uk-UA"/>
        </w:rPr>
        <w:t xml:space="preserve">) </w:t>
      </w:r>
      <w:r w:rsidRPr="00B7185F">
        <w:rPr>
          <w:lang w:val="uk-UA"/>
        </w:rPr>
        <w:t>як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принцип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суб’єктивне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відтворено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.1</w:t>
      </w:r>
      <w:r w:rsidRPr="00B7185F">
        <w:rPr>
          <w:lang w:val="uk-UA"/>
        </w:rPr>
        <w:t>4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Суб’єктивне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недоторканність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таємницю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листування,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телефонних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розмов,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телеграфної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кореспонденції,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охорону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особистого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ст</w:t>
      </w:r>
      <w:r w:rsidR="00B7185F">
        <w:rPr>
          <w:lang w:val="uk-UA"/>
        </w:rPr>
        <w:t>.3</w:t>
      </w:r>
      <w:r w:rsidRPr="00B7185F">
        <w:rPr>
          <w:lang w:val="uk-UA"/>
        </w:rPr>
        <w:t>0-32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) </w:t>
      </w:r>
      <w:r w:rsidRPr="00B7185F">
        <w:rPr>
          <w:lang w:val="uk-UA"/>
        </w:rPr>
        <w:t>відображені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.1</w:t>
      </w:r>
      <w:r w:rsidRPr="00B7185F">
        <w:rPr>
          <w:lang w:val="uk-UA"/>
        </w:rPr>
        <w:t>4-1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нормах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закріплені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конституційні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підозрюваному,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захист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правовому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допомогу,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знати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оскаржувати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незаконні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рішення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посадових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Разом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тим,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реалізація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громадян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невід’ємна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виконання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обов’язків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галузевого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числі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передбачають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громадян,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можливість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громадян,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неналежним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чином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виконують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покладені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обов’язки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Проблема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тісно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пов’язана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можливістю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залежно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статусу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Думки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науковців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приводу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дещо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відрізняються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деякі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вчені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вважають,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допускається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стосовно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свідка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будуть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неправомірними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Наприклад,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>
        <w:rPr>
          <w:lang w:val="uk-UA"/>
        </w:rPr>
        <w:t xml:space="preserve">.В. </w:t>
      </w:r>
      <w:r w:rsidRPr="00B7185F">
        <w:rPr>
          <w:lang w:val="uk-UA"/>
        </w:rPr>
        <w:t>Леоненко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стверджує,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завідомо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причетної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свідок,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особливо,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вже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було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завдано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шкоди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злочином,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виправданим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завданнями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боротьби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злочинністю,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завдання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вирішені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умови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неухильного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дотримання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інтересів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громадян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7,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.6</w:t>
      </w:r>
      <w:r w:rsidRPr="00B7185F">
        <w:rPr>
          <w:lang w:val="uk-UA"/>
        </w:rPr>
        <w:t>7</w:t>
      </w:r>
      <w:r w:rsidR="00B7185F" w:rsidRPr="00B7185F">
        <w:rPr>
          <w:lang w:val="uk-UA"/>
        </w:rPr>
        <w:t xml:space="preserve">].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противагу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науковці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допускають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можливість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незалежно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6,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.1</w:t>
      </w:r>
      <w:r w:rsidRPr="00B7185F">
        <w:rPr>
          <w:lang w:val="uk-UA"/>
        </w:rPr>
        <w:t>52</w:t>
      </w:r>
      <w:r w:rsidR="00B7185F" w:rsidRPr="00B7185F">
        <w:rPr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Відтак,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диференційований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підхід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залежно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сприятиме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зміцненню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підтримуємо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думку,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протиставляти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інтереси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свідка,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неправомірно,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провадяться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метою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швидкого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розкриття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злочинів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умов,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порівнянні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розширенням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свідка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необґрунтовано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обмежуватимуться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Проте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вважається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невинуватою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вчиненні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буде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доведено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порядку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встановлено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обвинувальним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вироком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суду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>
        <w:rPr>
          <w:lang w:val="uk-UA"/>
        </w:rPr>
        <w:t>.6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>) [</w:t>
      </w:r>
      <w:r w:rsidRPr="00B7185F">
        <w:rPr>
          <w:lang w:val="uk-UA"/>
        </w:rPr>
        <w:t>9</w:t>
      </w:r>
      <w:r w:rsidR="00B7185F" w:rsidRPr="00B7185F">
        <w:rPr>
          <w:lang w:val="uk-UA"/>
        </w:rPr>
        <w:t xml:space="preserve">]. </w:t>
      </w:r>
      <w:r w:rsidRPr="00B7185F">
        <w:rPr>
          <w:lang w:val="uk-UA"/>
        </w:rPr>
        <w:t>Тобто,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статус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підстави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вважати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винуватою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застосовувати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допускається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свідка,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Важливою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гарантією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час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проведення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положення,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закріплене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</w:t>
      </w:r>
      <w:r w:rsidR="00B7185F">
        <w:rPr>
          <w:bCs/>
          <w:lang w:val="uk-UA"/>
        </w:rPr>
        <w:t>.3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.2</w:t>
      </w:r>
      <w:r w:rsidRPr="00B7185F">
        <w:rPr>
          <w:bCs/>
          <w:lang w:val="uk-UA"/>
        </w:rPr>
        <w:t>2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КПК</w:t>
      </w:r>
      <w:r w:rsidR="00B7185F" w:rsidRPr="00B7185F">
        <w:rPr>
          <w:noProof/>
          <w:lang w:val="uk-UA"/>
        </w:rPr>
        <w:t xml:space="preserve"> </w:t>
      </w:r>
      <w:r w:rsidRPr="00B7185F">
        <w:rPr>
          <w:noProof/>
          <w:lang w:val="uk-UA"/>
        </w:rPr>
        <w:t>України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Згідно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забороняється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домагатись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показань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обвинуваченого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осіб,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беруть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участь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справі,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шляхом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насильства,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погроз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незаконних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заходів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Крім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того,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.3</w:t>
      </w:r>
      <w:r w:rsidRPr="00B7185F">
        <w:rPr>
          <w:bCs/>
          <w:lang w:val="uk-UA"/>
        </w:rPr>
        <w:t>73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передбачає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кримінальну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відповідальність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проводить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дізнання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або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досудове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слідство,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примушування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давати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показання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допиті</w:t>
      </w:r>
      <w:r w:rsidR="00B7185F" w:rsidRPr="00B7185F">
        <w:rPr>
          <w:bCs/>
          <w:lang w:val="uk-UA"/>
        </w:rPr>
        <w:t xml:space="preserve"> </w:t>
      </w:r>
      <w:r w:rsidR="00B7185F" w:rsidRPr="00B7185F">
        <w:rPr>
          <w:lang w:val="uk-UA"/>
        </w:rPr>
        <w:t>[</w:t>
      </w:r>
      <w:r w:rsidRPr="00B7185F">
        <w:rPr>
          <w:lang w:val="uk-UA"/>
        </w:rPr>
        <w:t>9</w:t>
      </w:r>
      <w:r w:rsidR="00B7185F" w:rsidRPr="00B7185F">
        <w:rPr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Законодавець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використовує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термін</w:t>
      </w:r>
      <w:r w:rsidR="00B7185F">
        <w:rPr>
          <w:bCs/>
          <w:lang w:val="uk-UA"/>
        </w:rPr>
        <w:t xml:space="preserve"> "</w:t>
      </w:r>
      <w:r w:rsidRPr="00B7185F">
        <w:rPr>
          <w:bCs/>
          <w:lang w:val="uk-UA"/>
        </w:rPr>
        <w:t>незаконні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дії</w:t>
      </w:r>
      <w:r w:rsidR="00B7185F">
        <w:rPr>
          <w:bCs/>
          <w:lang w:val="uk-UA"/>
        </w:rPr>
        <w:t>"</w:t>
      </w:r>
      <w:r w:rsidRPr="00B7185F">
        <w:rPr>
          <w:bCs/>
          <w:lang w:val="uk-UA"/>
        </w:rPr>
        <w:t>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підкреслює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негативний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зміст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примушування,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проте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розкриває,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можуть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проявлятись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незаконні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застосування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норм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викликає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різні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запитання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Привертає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увагу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те,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наявності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багатьох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видів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дій,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ході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можливе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примушення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давати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показання,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законодавець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обмежився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лише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допитом</w:t>
      </w:r>
      <w:r w:rsidR="00B7185F" w:rsidRPr="00B7185F">
        <w:rPr>
          <w:bCs/>
          <w:lang w:val="uk-UA"/>
        </w:rPr>
        <w:t xml:space="preserve"> </w:t>
      </w:r>
      <w:r w:rsidR="00B7185F" w:rsidRPr="00B7185F">
        <w:rPr>
          <w:bCs/>
        </w:rPr>
        <w:t>[</w:t>
      </w:r>
      <w:r w:rsidRPr="00B7185F">
        <w:rPr>
          <w:bCs/>
          <w:lang w:val="uk-UA"/>
        </w:rPr>
        <w:t>1,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</w:t>
      </w:r>
      <w:r w:rsidR="00B7185F">
        <w:rPr>
          <w:bCs/>
          <w:lang w:val="uk-UA"/>
        </w:rPr>
        <w:t>.1</w:t>
      </w:r>
      <w:r w:rsidRPr="00B7185F">
        <w:rPr>
          <w:bCs/>
          <w:lang w:val="uk-UA"/>
        </w:rPr>
        <w:t>2</w:t>
      </w:r>
      <w:r w:rsidRPr="00B7185F">
        <w:rPr>
          <w:lang w:val="uk-UA"/>
        </w:rPr>
        <w:t>-</w:t>
      </w:r>
      <w:r w:rsidRPr="00B7185F">
        <w:rPr>
          <w:bCs/>
          <w:lang w:val="uk-UA"/>
        </w:rPr>
        <w:t>13</w:t>
      </w:r>
      <w:r w:rsidR="00B7185F" w:rsidRPr="00B7185F">
        <w:rPr>
          <w:bCs/>
        </w:rPr>
        <w:t>].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Крім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того,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зазначає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Гончаренко,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перелік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незаконних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заходів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вимагає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розширеного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тлумачення,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твердження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незаконність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заходу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повинно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випливати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конкретної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норми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оскільки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лише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його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Особливій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частині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міститься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вичерпний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перелік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караних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вчинків</w:t>
      </w:r>
      <w:r w:rsidR="00B7185F" w:rsidRPr="00B7185F">
        <w:rPr>
          <w:bCs/>
          <w:lang w:val="uk-UA"/>
        </w:rPr>
        <w:t xml:space="preserve"> [</w:t>
      </w:r>
      <w:r w:rsidRPr="00B7185F">
        <w:rPr>
          <w:bCs/>
          <w:lang w:val="uk-UA"/>
        </w:rPr>
        <w:t>2,</w:t>
      </w:r>
      <w:r w:rsidR="00B7185F" w:rsidRPr="00B7185F">
        <w:rPr>
          <w:bCs/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.7</w:t>
      </w:r>
      <w:r w:rsidRPr="00B7185F">
        <w:rPr>
          <w:lang w:val="uk-UA"/>
        </w:rPr>
        <w:t>02</w:t>
      </w:r>
      <w:r w:rsidR="00B7185F" w:rsidRPr="00B7185F">
        <w:rPr>
          <w:bCs/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Попри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існування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цієї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сьогодні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літературі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зустрічаються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суперечливі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думки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науковців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приводу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незаконних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впливу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наприклад,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</w:t>
      </w:r>
      <w:r w:rsidR="00B7185F">
        <w:rPr>
          <w:lang w:val="uk-UA"/>
        </w:rPr>
        <w:t xml:space="preserve">.І. </w:t>
      </w:r>
      <w:r w:rsidRPr="00B7185F">
        <w:rPr>
          <w:lang w:val="uk-UA"/>
        </w:rPr>
        <w:t>Мичко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стверджує,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кримінально-процесуальний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будь-якій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форм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фізичній,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психічній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матеріальній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повинен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застосовуватися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всупереч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бажанню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суб’єктів,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авторитету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переконання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недостатньо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Допустимим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примусу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застосуванням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фізичної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сили,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больових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прийомів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завдання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болю,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навряд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по-іншому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пригнітити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волю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Однак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недопустимим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нанесення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тілесних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ушкоджень,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винятком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затримання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злочинця</w:t>
      </w:r>
      <w:r w:rsidR="00B7185F">
        <w:rPr>
          <w:lang w:val="uk-UA"/>
        </w:rPr>
        <w:t xml:space="preserve">" </w:t>
      </w:r>
      <w:r w:rsidR="00B7185F" w:rsidRPr="00B7185F">
        <w:rPr>
          <w:bCs/>
          <w:lang w:val="uk-UA"/>
        </w:rPr>
        <w:t>[</w:t>
      </w:r>
      <w:r w:rsidRPr="00B7185F">
        <w:rPr>
          <w:bCs/>
          <w:lang w:val="uk-UA"/>
        </w:rPr>
        <w:t>4,</w:t>
      </w:r>
      <w:r w:rsidR="00B7185F" w:rsidRPr="00B7185F">
        <w:rPr>
          <w:bCs/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.1</w:t>
      </w:r>
      <w:r w:rsidRPr="00B7185F">
        <w:rPr>
          <w:lang w:val="uk-UA"/>
        </w:rPr>
        <w:t>89</w:t>
      </w:r>
      <w:r w:rsidR="00B7185F" w:rsidRPr="00B7185F">
        <w:rPr>
          <w:bCs/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lang w:val="uk-UA"/>
        </w:rPr>
        <w:t>Одним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пріоритетних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напрямів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державної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політики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сьогодні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реформування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внутрішнього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законодавства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метою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наближення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світових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стандартів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демократичної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країни</w:t>
      </w:r>
      <w:r w:rsidR="00B7185F" w:rsidRPr="00B7185F">
        <w:t xml:space="preserve"> [</w:t>
      </w:r>
      <w:r w:rsidRPr="00B7185F">
        <w:rPr>
          <w:lang w:val="uk-UA"/>
        </w:rPr>
        <w:t>3,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.4</w:t>
      </w:r>
      <w:r w:rsidRPr="00B7185F">
        <w:t>07</w:t>
      </w:r>
      <w:r w:rsidR="00B7185F" w:rsidRPr="00B7185F">
        <w:t>].</w:t>
      </w:r>
      <w:r w:rsidR="00B7185F" w:rsidRPr="00B7185F">
        <w:rPr>
          <w:lang w:val="uk-UA"/>
        </w:rPr>
        <w:t xml:space="preserve"> </w:t>
      </w:r>
      <w:r w:rsidRPr="00B7185F">
        <w:rPr>
          <w:bCs/>
          <w:lang w:val="uk-UA"/>
        </w:rPr>
        <w:t>Ратифікація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17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липня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1997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Європейської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Конвенції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захист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основоположних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</w:t>
      </w:r>
      <w:r w:rsidR="00B7185F" w:rsidRPr="00B7185F">
        <w:rPr>
          <w:bCs/>
          <w:lang w:val="uk-UA"/>
        </w:rPr>
        <w:t xml:space="preserve"> </w:t>
      </w:r>
      <w:r w:rsidR="00B7185F" w:rsidRPr="00B7185F">
        <w:rPr>
          <w:lang w:val="uk-UA"/>
        </w:rPr>
        <w:t>[</w:t>
      </w:r>
      <w:r w:rsidRPr="00B7185F">
        <w:rPr>
          <w:lang w:val="uk-UA"/>
        </w:rPr>
        <w:t>9</w:t>
      </w:r>
      <w:r w:rsidR="00B7185F" w:rsidRPr="00B7185F">
        <w:rPr>
          <w:lang w:val="uk-UA"/>
        </w:rPr>
        <w:t>]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далі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Конвенція</w:t>
      </w:r>
      <w:r w:rsidR="00B7185F" w:rsidRPr="00B7185F">
        <w:rPr>
          <w:lang w:val="uk-UA"/>
        </w:rPr>
        <w:t xml:space="preserve">) </w:t>
      </w:r>
      <w:r w:rsidRPr="00B7185F">
        <w:rPr>
          <w:bCs/>
          <w:lang w:val="uk-UA"/>
        </w:rPr>
        <w:t>започаткувала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новий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етап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діяльності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вітчизняних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державних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органів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Цим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актом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держава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підтвердила,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новий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підхід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галузі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закріплений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Конституції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бути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незворотнім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остаточним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Конвенція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відповідно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.9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Конституції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стала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частиною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вітчизняного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законодавства</w:t>
      </w:r>
      <w:r w:rsidR="00B7185F" w:rsidRPr="00B7185F">
        <w:rPr>
          <w:bCs/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Варто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звернути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увагу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те,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відповідно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</w:t>
      </w:r>
      <w:r w:rsidR="00B7185F">
        <w:rPr>
          <w:bCs/>
          <w:lang w:val="uk-UA"/>
        </w:rPr>
        <w:t xml:space="preserve"> "</w:t>
      </w:r>
      <w:r w:rsidRPr="00B7185F">
        <w:rPr>
          <w:bCs/>
          <w:lang w:val="uk-UA"/>
        </w:rPr>
        <w:t>Про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виконання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рішень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застосування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практики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Європейського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>
        <w:rPr>
          <w:bCs/>
          <w:lang w:val="uk-UA"/>
        </w:rPr>
        <w:t xml:space="preserve">" </w:t>
      </w:r>
      <w:r w:rsidRPr="00B7185F">
        <w:rPr>
          <w:bCs/>
          <w:lang w:val="uk-UA"/>
        </w:rPr>
        <w:t>від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23</w:t>
      </w:r>
      <w:r w:rsidR="00B7185F">
        <w:rPr>
          <w:bCs/>
          <w:lang w:val="uk-UA"/>
        </w:rPr>
        <w:t>.02.20</w:t>
      </w:r>
      <w:r w:rsidRPr="00B7185F">
        <w:rPr>
          <w:bCs/>
          <w:lang w:val="uk-UA"/>
        </w:rPr>
        <w:t>06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</w:t>
      </w:r>
      <w:r w:rsidR="00B7185F" w:rsidRPr="00B7185F">
        <w:rPr>
          <w:bCs/>
          <w:lang w:val="uk-UA"/>
        </w:rPr>
        <w:t xml:space="preserve">. </w:t>
      </w:r>
      <w:r w:rsidR="00B7185F" w:rsidRPr="00B7185F">
        <w:rPr>
          <w:lang w:val="uk-UA"/>
        </w:rPr>
        <w:t>[</w:t>
      </w:r>
      <w:r w:rsidRPr="00B7185F">
        <w:rPr>
          <w:lang w:val="uk-UA"/>
        </w:rPr>
        <w:t>5</w:t>
      </w:r>
      <w:r w:rsidR="00B7185F" w:rsidRPr="00B7185F">
        <w:rPr>
          <w:lang w:val="uk-UA"/>
        </w:rPr>
        <w:t xml:space="preserve">] </w:t>
      </w:r>
      <w:r w:rsidRPr="00B7185F">
        <w:rPr>
          <w:bCs/>
          <w:lang w:val="uk-UA"/>
        </w:rPr>
        <w:t>рішення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Європейського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далі</w:t>
      </w:r>
      <w:r w:rsidR="00B7185F" w:rsidRPr="00B7185F">
        <w:rPr>
          <w:bCs/>
          <w:lang w:val="uk-UA"/>
        </w:rPr>
        <w:t xml:space="preserve"> - </w:t>
      </w:r>
      <w:r w:rsidRPr="00B7185F">
        <w:rPr>
          <w:bCs/>
          <w:lang w:val="uk-UA"/>
        </w:rPr>
        <w:t>Європейський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</w:t>
      </w:r>
      <w:r w:rsidR="00B7185F" w:rsidRPr="00B7185F">
        <w:rPr>
          <w:bCs/>
          <w:lang w:val="uk-UA"/>
        </w:rPr>
        <w:t xml:space="preserve">) </w:t>
      </w:r>
      <w:r w:rsidRPr="00B7185F">
        <w:rPr>
          <w:bCs/>
          <w:lang w:val="uk-UA"/>
        </w:rPr>
        <w:t>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Європейської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комісії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джерелом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права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Враховуючи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відмітити,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декількох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рішеннях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2006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Європейський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запровадив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рішучі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зміни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практику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щодо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застосування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.6</w:t>
      </w:r>
      <w:r w:rsidR="00B7185F" w:rsidRPr="00B7185F">
        <w:rPr>
          <w:bCs/>
          <w:lang w:val="uk-UA"/>
        </w:rPr>
        <w:t xml:space="preserve"> </w:t>
      </w:r>
      <w:r w:rsidRPr="00B7185F">
        <w:rPr>
          <w:lang w:val="uk-UA"/>
        </w:rPr>
        <w:t>Конвенції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Він,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нарешті,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прямо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визнав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використання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доказів,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отриманих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результаті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порушення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передбачених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статтями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Конвенції,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порушенням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.6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цього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нормативного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акту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До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цього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були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випадки,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коли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Європейський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визнавши,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наприклад,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порушення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статті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8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Конвенції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час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проведення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висловлювався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приводу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використання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результатів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цього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кримінальній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справі</w:t>
      </w:r>
      <w:r w:rsidR="00B7185F" w:rsidRPr="00B7185F">
        <w:rPr>
          <w:bCs/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Рішення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Європейського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людини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17</w:t>
      </w:r>
      <w:r w:rsidR="00B7185F">
        <w:rPr>
          <w:lang w:val="uk-UA"/>
        </w:rPr>
        <w:t>.10.20</w:t>
      </w:r>
      <w:r w:rsidRPr="00B7185F">
        <w:rPr>
          <w:lang w:val="uk-UA"/>
        </w:rPr>
        <w:t>06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справі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Ґечмен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Туреччини</w:t>
      </w:r>
      <w:r w:rsidR="00B7185F">
        <w:rPr>
          <w:lang w:val="uk-UA"/>
        </w:rPr>
        <w:t xml:space="preserve">" </w:t>
      </w:r>
      <w:r w:rsidR="00B7185F" w:rsidRPr="00B7185F">
        <w:t xml:space="preserve">- </w:t>
      </w:r>
      <w:r w:rsidRPr="00B7185F">
        <w:rPr>
          <w:lang w:val="uk-UA"/>
        </w:rPr>
        <w:t>одне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рішень,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Європейський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людини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визнав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використання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свідчень,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отриманих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шляхом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катування,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порушенням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справедливий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судовий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розгляд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Суд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вирішив,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стосовно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заявника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було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порушення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Конвенції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.6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досягли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своєї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мети,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оскільки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дали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змоги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виключити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показання,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отримані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тортурами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результаті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Європейський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людини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визнав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порушення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.6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Конвенції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6</w:t>
      </w:r>
      <w:r w:rsidR="00B7185F" w:rsidRPr="00B7185F">
        <w:rPr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bCs/>
          <w:lang w:val="uk-UA"/>
        </w:rPr>
        <w:t>Враховуючи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наявність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зазначеного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вище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можемо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стверджувати,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впровадженням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українське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європейських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стандартів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людини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створить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додаткові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залученої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зокрема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Норми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КПК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відображаючи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конституційні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принципи,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передбачають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систему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гарантій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недоторканності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недоторканності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житла,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охорони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громадян,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таємниці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листування,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телефонних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розмов,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телеграфної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кореспонденції,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захисту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честі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гідності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 w:rsidRPr="00B7185F">
        <w:rPr>
          <w:bCs/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ході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кримінально-процесуальної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діяльності,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особливо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провадженні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дій,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найбільше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зазнають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обмежень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саме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громадянські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чергу,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зачіпає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види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Так,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наприклад,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час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проведення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виїмки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обмежується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недоторканність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житла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Водночас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стосуються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майнових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громадян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якщо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результаті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виїмки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вилучаються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речі,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гроші,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цінності</w:t>
      </w:r>
      <w:r w:rsidR="00B7185F" w:rsidRPr="00B7185F">
        <w:rPr>
          <w:bCs/>
          <w:lang w:val="uk-UA"/>
        </w:rPr>
        <w:t xml:space="preserve">). </w:t>
      </w:r>
      <w:r w:rsidRPr="00B7185F">
        <w:rPr>
          <w:bCs/>
          <w:lang w:val="uk-UA"/>
        </w:rPr>
        <w:t>Крім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того,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процесі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виїмки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надбанням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понятих</w:t>
      </w:r>
      <w:r w:rsidR="00B7185F" w:rsidRPr="00B7185F">
        <w:rPr>
          <w:b/>
          <w:bCs/>
          <w:lang w:val="uk-UA"/>
        </w:rPr>
        <w:t xml:space="preserve"> </w:t>
      </w:r>
      <w:r w:rsidRPr="00B7185F">
        <w:rPr>
          <w:bCs/>
          <w:lang w:val="uk-UA"/>
        </w:rPr>
        <w:t>можуть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громадян,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сам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факт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їх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проведення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завдає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шкоди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таким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соціальним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благам,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честь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гідність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</w:t>
      </w:r>
      <w:r w:rsidR="00B7185F" w:rsidRPr="00B7185F">
        <w:rPr>
          <w:bCs/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Згідно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.3</w:t>
      </w:r>
      <w:r w:rsidRPr="00B7185F">
        <w:rPr>
          <w:lang w:val="uk-UA"/>
        </w:rPr>
        <w:t>0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кожному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гарантується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недоторканність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житла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Однак,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аналіз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чинного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законодавства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свідчить,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недоторканності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поширюються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огляд,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виїмка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Водночас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проводитися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наприклад,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відтворення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обстановки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обставин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допит,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очна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ставка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доцільно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закріпити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особливий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порядок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усіх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володінні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прикладом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.1</w:t>
      </w:r>
      <w:r w:rsidRPr="00B7185F">
        <w:rPr>
          <w:lang w:val="uk-UA"/>
        </w:rPr>
        <w:t>85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недоторканність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тісно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пов’язане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повагу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приватного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сімейного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зокрема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.8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Конвенції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захист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людини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основних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="00B7185F" w:rsidRPr="00B7185F">
        <w:t>[</w:t>
      </w:r>
      <w:r w:rsidRPr="00B7185F">
        <w:rPr>
          <w:lang w:val="uk-UA"/>
        </w:rPr>
        <w:t>9</w:t>
      </w:r>
      <w:r w:rsidR="00B7185F" w:rsidRPr="00B7185F">
        <w:t xml:space="preserve">] </w:t>
      </w:r>
      <w:r w:rsidRPr="00B7185F">
        <w:rPr>
          <w:lang w:val="uk-UA"/>
        </w:rPr>
        <w:t>комплексно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декларує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>: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Кожен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повагу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приватного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сімейного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таємниці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кореспонденції</w:t>
      </w:r>
      <w:r w:rsidR="00B7185F">
        <w:rPr>
          <w:lang w:val="uk-UA"/>
        </w:rPr>
        <w:t>"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.3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Основного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передбачено,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ніхто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втручання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особисте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сімейне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випадків,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передбачених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Конституцією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Сфера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особистого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приватного</w:t>
      </w:r>
      <w:r w:rsidR="00B7185F" w:rsidRPr="00B7185F">
        <w:rPr>
          <w:bCs/>
          <w:lang w:val="uk-UA"/>
        </w:rPr>
        <w:t xml:space="preserve">) </w:t>
      </w:r>
      <w:r w:rsidRPr="00B7185F">
        <w:rPr>
          <w:bCs/>
          <w:lang w:val="uk-UA"/>
        </w:rPr>
        <w:t>життя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 w:rsidRPr="00B7185F">
        <w:rPr>
          <w:bCs/>
          <w:lang w:val="uk-UA"/>
        </w:rPr>
        <w:t xml:space="preserve"> - </w:t>
      </w:r>
      <w:r w:rsidRPr="00B7185F">
        <w:rPr>
          <w:bCs/>
          <w:lang w:val="uk-UA"/>
        </w:rPr>
        <w:t>це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взаємовідносини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сім'ї,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спілкування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стосунки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людьми,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зміст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приватних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щоденників,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листів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записок,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віросповідання,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спосіб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всі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конфіденційні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існування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вона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сама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вважає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потрібне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або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можливе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розголошувати</w:t>
      </w:r>
      <w:r w:rsidR="00B7185F" w:rsidRPr="00B7185F">
        <w:rPr>
          <w:bCs/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Під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час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проведення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виїмки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допускається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огляд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предметів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документів,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містять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відомості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житлі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проводиться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Слідчому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учасникам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може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відома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інформація,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становить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таємницю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Крім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того,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розголошення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життя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може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відбутися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внаслідок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сприйняття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учасниками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обстановки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обшукуваного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приміщення,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констатації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факту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перебування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приміщенні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певної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виявлення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різних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предметів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інтимного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характеру,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незалежно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їх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відношення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справи</w:t>
      </w:r>
      <w:r w:rsidR="00B7185F" w:rsidRPr="00B7185F">
        <w:rPr>
          <w:bCs/>
          <w:lang w:val="uk-UA"/>
        </w:rPr>
        <w:t xml:space="preserve"> </w:t>
      </w:r>
      <w:r w:rsidR="00B7185F" w:rsidRPr="00B7185F">
        <w:rPr>
          <w:lang w:val="uk-UA"/>
        </w:rPr>
        <w:t>[</w:t>
      </w:r>
      <w:r w:rsidRPr="00B7185F">
        <w:rPr>
          <w:lang w:val="uk-UA"/>
        </w:rPr>
        <w:t>9,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.2</w:t>
      </w:r>
      <w:r w:rsidRPr="00B7185F">
        <w:rPr>
          <w:lang w:val="uk-UA"/>
        </w:rPr>
        <w:t>75</w:t>
      </w:r>
      <w:r w:rsidR="00B7185F" w:rsidRPr="00B7185F">
        <w:rPr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Тому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Статуті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кримінального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судочинства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1864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містилось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правило,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обшук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паперах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підозрюваної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повинен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проводитись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крайньою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обережністю,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без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розголошення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стосуються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слідства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.3</w:t>
      </w:r>
      <w:r w:rsidRPr="00B7185F">
        <w:rPr>
          <w:bCs/>
          <w:lang w:val="uk-UA"/>
        </w:rPr>
        <w:t>68</w:t>
      </w:r>
      <w:r w:rsidR="00B7185F" w:rsidRPr="00B7185F">
        <w:rPr>
          <w:bCs/>
          <w:lang w:val="uk-UA"/>
        </w:rPr>
        <w:t xml:space="preserve">) </w:t>
      </w:r>
      <w:r w:rsidR="00B7185F" w:rsidRPr="00B7185F">
        <w:t>[</w:t>
      </w:r>
      <w:r w:rsidRPr="00B7185F">
        <w:rPr>
          <w:lang w:val="uk-UA"/>
        </w:rPr>
        <w:t>6,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.1</w:t>
      </w:r>
      <w:r w:rsidRPr="00B7185F">
        <w:rPr>
          <w:lang w:val="uk-UA"/>
        </w:rPr>
        <w:t>57</w:t>
      </w:r>
      <w:r w:rsidR="00B7185F" w:rsidRPr="00B7185F">
        <w:t>].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bCs/>
          <w:lang w:val="uk-UA"/>
        </w:rPr>
        <w:t>Зважаючи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це,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законодавець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.1</w:t>
      </w:r>
      <w:r w:rsidRPr="00B7185F">
        <w:rPr>
          <w:lang w:val="uk-UA"/>
        </w:rPr>
        <w:t>85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закріпив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положення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або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виїмки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повинен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уживати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нерозголошення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виявлених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обставин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особистого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життя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обшукуваного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проживають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або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тимчасово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перебувають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приміщенні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заходів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належить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максимальне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обмеження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кола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врахування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особистих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якостей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особливо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понятих</w:t>
      </w:r>
      <w:r w:rsidR="00B7185F" w:rsidRPr="00B7185F">
        <w:rPr>
          <w:lang w:val="uk-UA"/>
        </w:rPr>
        <w:t xml:space="preserve">), </w:t>
      </w:r>
      <w:r w:rsidRPr="00B7185F">
        <w:rPr>
          <w:lang w:val="uk-UA"/>
        </w:rPr>
        <w:t>нерозголошення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змісту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документів,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інтимний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характер</w:t>
      </w:r>
      <w:r w:rsidR="00B7185F" w:rsidRPr="00B7185F">
        <w:rPr>
          <w:lang w:val="uk-UA"/>
        </w:rPr>
        <w:t xml:space="preserve"> [</w:t>
      </w:r>
      <w:r w:rsidRPr="00B7185F">
        <w:rPr>
          <w:lang w:val="uk-UA"/>
        </w:rPr>
        <w:t>7,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.2</w:t>
      </w:r>
      <w:r w:rsidRPr="00B7185F">
        <w:rPr>
          <w:lang w:val="uk-UA"/>
        </w:rPr>
        <w:t>75</w:t>
      </w:r>
      <w:r w:rsidR="00B7185F" w:rsidRPr="00B7185F">
        <w:rPr>
          <w:lang w:val="uk-UA"/>
        </w:rPr>
        <w:t xml:space="preserve">]. </w:t>
      </w:r>
      <w:r w:rsidRPr="00B7185F">
        <w:rPr>
          <w:lang w:val="uk-UA"/>
        </w:rPr>
        <w:t>Однак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виїмки,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можуть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проводитися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наприклад,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огляд,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відтворення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обстановки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обставин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ході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існує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ймовірність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розголошення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обставин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Враховуючи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зазначене,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видається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доцільне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поширити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цього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положення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всі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проводять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володінні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додавши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загальних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правил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</w:pPr>
      <w:r w:rsidRPr="00B7185F">
        <w:t>На</w:t>
      </w:r>
      <w:r w:rsidR="00B7185F" w:rsidRPr="00B7185F">
        <w:t xml:space="preserve"> </w:t>
      </w:r>
      <w:r w:rsidRPr="00B7185F">
        <w:t>підставі</w:t>
      </w:r>
      <w:r w:rsidR="00B7185F" w:rsidRPr="00B7185F">
        <w:t xml:space="preserve"> </w:t>
      </w:r>
      <w:r w:rsidRPr="00B7185F">
        <w:t>викладеного,</w:t>
      </w:r>
      <w:r w:rsidR="00B7185F" w:rsidRPr="00B7185F">
        <w:t xml:space="preserve"> </w:t>
      </w:r>
      <w:r w:rsidRPr="00B7185F">
        <w:t>вважаємо</w:t>
      </w:r>
      <w:r w:rsidR="00B7185F" w:rsidRPr="00B7185F">
        <w:t xml:space="preserve"> </w:t>
      </w:r>
      <w:r w:rsidRPr="00B7185F">
        <w:t>за</w:t>
      </w:r>
      <w:r w:rsidR="00B7185F" w:rsidRPr="00B7185F">
        <w:t xml:space="preserve"> </w:t>
      </w:r>
      <w:r w:rsidRPr="00B7185F">
        <w:t>необхідне</w:t>
      </w:r>
      <w:r w:rsidR="00B7185F" w:rsidRPr="00B7185F">
        <w:t xml:space="preserve"> </w:t>
      </w:r>
      <w:r w:rsidRPr="00B7185F">
        <w:t>доповнити</w:t>
      </w:r>
      <w:r w:rsidR="00B7185F" w:rsidRPr="00B7185F">
        <w:t xml:space="preserve"> </w:t>
      </w:r>
      <w:r w:rsidRPr="00B7185F">
        <w:t>ч</w:t>
      </w:r>
      <w:r w:rsidR="00B7185F">
        <w:t>.4</w:t>
      </w:r>
      <w:r w:rsidR="00B7185F" w:rsidRPr="00B7185F">
        <w:t xml:space="preserve"> </w:t>
      </w:r>
      <w:r w:rsidRPr="00B7185F">
        <w:t>ст</w:t>
      </w:r>
      <w:r w:rsidR="00B7185F">
        <w:t>.2</w:t>
      </w:r>
      <w:r w:rsidRPr="00B7185F">
        <w:t>27</w:t>
      </w:r>
      <w:r w:rsidR="00B7185F" w:rsidRPr="00B7185F">
        <w:t xml:space="preserve"> </w:t>
      </w:r>
      <w:r w:rsidRPr="00B7185F">
        <w:t>проекту</w:t>
      </w:r>
      <w:r w:rsidR="00B7185F" w:rsidRPr="00B7185F">
        <w:t xml:space="preserve"> </w:t>
      </w:r>
      <w:r w:rsidRPr="00B7185F">
        <w:t>КПК</w:t>
      </w:r>
      <w:r w:rsidR="00B7185F" w:rsidRPr="00B7185F">
        <w:t xml:space="preserve"> </w:t>
      </w:r>
      <w:r w:rsidRPr="00B7185F">
        <w:t>України</w:t>
      </w:r>
      <w:r w:rsidR="00B7185F" w:rsidRPr="00B7185F">
        <w:t xml:space="preserve"> </w:t>
      </w:r>
      <w:r w:rsidRPr="00B7185F">
        <w:t>наступним</w:t>
      </w:r>
      <w:r w:rsidR="00B7185F" w:rsidRPr="00B7185F">
        <w:t>:</w:t>
      </w:r>
      <w:r w:rsidR="00B7185F">
        <w:t xml:space="preserve"> "</w:t>
      </w:r>
      <w:r w:rsidRPr="00B7185F">
        <w:t>Під</w:t>
      </w:r>
      <w:r w:rsidR="00B7185F" w:rsidRPr="00B7185F">
        <w:t xml:space="preserve"> </w:t>
      </w:r>
      <w:r w:rsidRPr="00B7185F">
        <w:t>час</w:t>
      </w:r>
      <w:r w:rsidR="00B7185F" w:rsidRPr="00B7185F">
        <w:t xml:space="preserve"> </w:t>
      </w:r>
      <w:r w:rsidRPr="00B7185F">
        <w:t>проведення</w:t>
      </w:r>
      <w:r w:rsidR="00B7185F" w:rsidRPr="00B7185F">
        <w:t xml:space="preserve"> </w:t>
      </w:r>
      <w:r w:rsidRPr="00B7185F">
        <w:t>слідчих</w:t>
      </w:r>
      <w:r w:rsidR="00B7185F" w:rsidRPr="00B7185F">
        <w:t xml:space="preserve"> </w:t>
      </w:r>
      <w:r w:rsidRPr="00B7185F">
        <w:t>дій</w:t>
      </w:r>
      <w:r w:rsidR="00B7185F" w:rsidRPr="00B7185F">
        <w:t xml:space="preserve"> </w:t>
      </w:r>
      <w:r w:rsidRPr="00B7185F">
        <w:t>у</w:t>
      </w:r>
      <w:r w:rsidR="00B7185F" w:rsidRPr="00B7185F">
        <w:t xml:space="preserve"> </w:t>
      </w:r>
      <w:r w:rsidRPr="00B7185F">
        <w:t>житлі</w:t>
      </w:r>
      <w:r w:rsidR="00B7185F" w:rsidRPr="00B7185F">
        <w:t xml:space="preserve"> </w:t>
      </w:r>
      <w:r w:rsidRPr="00B7185F">
        <w:t>чи</w:t>
      </w:r>
      <w:r w:rsidR="00B7185F" w:rsidRPr="00B7185F">
        <w:t xml:space="preserve"> </w:t>
      </w:r>
      <w:r w:rsidRPr="00B7185F">
        <w:t>іншому</w:t>
      </w:r>
      <w:r w:rsidR="00B7185F" w:rsidRPr="00B7185F">
        <w:t xml:space="preserve"> </w:t>
      </w:r>
      <w:r w:rsidRPr="00B7185F">
        <w:t>володінні</w:t>
      </w:r>
      <w:r w:rsidR="00B7185F" w:rsidRPr="00B7185F">
        <w:t xml:space="preserve"> </w:t>
      </w:r>
      <w:r w:rsidRPr="00B7185F">
        <w:t>особи</w:t>
      </w:r>
      <w:r w:rsidR="00B7185F" w:rsidRPr="00B7185F">
        <w:t xml:space="preserve"> </w:t>
      </w:r>
      <w:r w:rsidRPr="00B7185F">
        <w:t>слідчий</w:t>
      </w:r>
      <w:r w:rsidR="00B7185F" w:rsidRPr="00B7185F">
        <w:t xml:space="preserve"> </w:t>
      </w:r>
      <w:r w:rsidRPr="00B7185F">
        <w:t>повинен</w:t>
      </w:r>
      <w:r w:rsidR="00B7185F" w:rsidRPr="00B7185F">
        <w:t xml:space="preserve"> </w:t>
      </w:r>
      <w:r w:rsidRPr="00B7185F">
        <w:t>уживати</w:t>
      </w:r>
      <w:r w:rsidR="00B7185F" w:rsidRPr="00B7185F">
        <w:t xml:space="preserve"> </w:t>
      </w:r>
      <w:r w:rsidRPr="00B7185F">
        <w:t>заходів</w:t>
      </w:r>
      <w:r w:rsidR="00B7185F" w:rsidRPr="00B7185F">
        <w:t xml:space="preserve"> </w:t>
      </w:r>
      <w:r w:rsidRPr="00B7185F">
        <w:t>щодо</w:t>
      </w:r>
      <w:r w:rsidR="00B7185F" w:rsidRPr="00B7185F">
        <w:t xml:space="preserve"> </w:t>
      </w:r>
      <w:r w:rsidRPr="00B7185F">
        <w:t>нерозголошення</w:t>
      </w:r>
      <w:r w:rsidR="00B7185F" w:rsidRPr="00B7185F">
        <w:t xml:space="preserve"> </w:t>
      </w:r>
      <w:r w:rsidRPr="00B7185F">
        <w:t>виявлених</w:t>
      </w:r>
      <w:r w:rsidR="00B7185F" w:rsidRPr="00B7185F">
        <w:t xml:space="preserve"> </w:t>
      </w:r>
      <w:r w:rsidRPr="00B7185F">
        <w:t>при</w:t>
      </w:r>
      <w:r w:rsidR="00B7185F" w:rsidRPr="00B7185F">
        <w:t xml:space="preserve"> </w:t>
      </w:r>
      <w:r w:rsidRPr="00B7185F">
        <w:t>цьому</w:t>
      </w:r>
      <w:r w:rsidR="00B7185F" w:rsidRPr="00B7185F">
        <w:t xml:space="preserve"> </w:t>
      </w:r>
      <w:r w:rsidRPr="00B7185F">
        <w:t>обставин</w:t>
      </w:r>
      <w:r w:rsidR="00B7185F" w:rsidRPr="00B7185F">
        <w:t xml:space="preserve"> </w:t>
      </w:r>
      <w:r w:rsidRPr="00B7185F">
        <w:t>її</w:t>
      </w:r>
      <w:r w:rsidR="00B7185F" w:rsidRPr="00B7185F">
        <w:t xml:space="preserve"> </w:t>
      </w:r>
      <w:r w:rsidRPr="00B7185F">
        <w:t>особистого</w:t>
      </w:r>
      <w:r w:rsidR="00B7185F" w:rsidRPr="00B7185F">
        <w:t xml:space="preserve"> </w:t>
      </w:r>
      <w:r w:rsidRPr="00B7185F">
        <w:t>життя,</w:t>
      </w:r>
      <w:r w:rsidR="00B7185F" w:rsidRPr="00B7185F">
        <w:t xml:space="preserve"> </w:t>
      </w:r>
      <w:r w:rsidRPr="00B7185F">
        <w:t>а</w:t>
      </w:r>
      <w:r w:rsidR="00B7185F" w:rsidRPr="00B7185F">
        <w:t xml:space="preserve"> </w:t>
      </w:r>
      <w:r w:rsidRPr="00B7185F">
        <w:t>також</w:t>
      </w:r>
      <w:r w:rsidR="00B7185F" w:rsidRPr="00B7185F">
        <w:t xml:space="preserve"> </w:t>
      </w:r>
      <w:r w:rsidRPr="00B7185F">
        <w:t>особистого</w:t>
      </w:r>
      <w:r w:rsidR="00B7185F" w:rsidRPr="00B7185F">
        <w:t xml:space="preserve"> </w:t>
      </w:r>
      <w:r w:rsidRPr="00B7185F">
        <w:t>життя</w:t>
      </w:r>
      <w:r w:rsidR="00B7185F" w:rsidRPr="00B7185F">
        <w:t xml:space="preserve"> </w:t>
      </w:r>
      <w:r w:rsidRPr="00B7185F">
        <w:t>інших</w:t>
      </w:r>
      <w:r w:rsidR="00B7185F" w:rsidRPr="00B7185F">
        <w:t xml:space="preserve"> </w:t>
      </w:r>
      <w:r w:rsidRPr="00B7185F">
        <w:t>осіб,</w:t>
      </w:r>
      <w:r w:rsidR="00B7185F" w:rsidRPr="00B7185F">
        <w:t xml:space="preserve"> </w:t>
      </w:r>
      <w:r w:rsidRPr="00B7185F">
        <w:t>які</w:t>
      </w:r>
      <w:r w:rsidR="00B7185F" w:rsidRPr="00B7185F">
        <w:t xml:space="preserve"> </w:t>
      </w:r>
      <w:r w:rsidRPr="00B7185F">
        <w:t>проживають</w:t>
      </w:r>
      <w:r w:rsidR="00B7185F" w:rsidRPr="00B7185F">
        <w:t xml:space="preserve"> </w:t>
      </w:r>
      <w:r w:rsidRPr="00B7185F">
        <w:t>або</w:t>
      </w:r>
      <w:r w:rsidR="00B7185F" w:rsidRPr="00B7185F">
        <w:t xml:space="preserve"> </w:t>
      </w:r>
      <w:r w:rsidRPr="00B7185F">
        <w:t>тимчасово</w:t>
      </w:r>
      <w:r w:rsidR="00B7185F" w:rsidRPr="00B7185F">
        <w:t xml:space="preserve"> </w:t>
      </w:r>
      <w:r w:rsidRPr="00B7185F">
        <w:t>перебувають</w:t>
      </w:r>
      <w:r w:rsidR="00B7185F" w:rsidRPr="00B7185F">
        <w:t xml:space="preserve"> </w:t>
      </w:r>
      <w:r w:rsidRPr="00B7185F">
        <w:t>у</w:t>
      </w:r>
      <w:r w:rsidR="00B7185F" w:rsidRPr="00B7185F">
        <w:t xml:space="preserve"> </w:t>
      </w:r>
      <w:r w:rsidRPr="00B7185F">
        <w:t>цьому</w:t>
      </w:r>
      <w:r w:rsidR="00B7185F" w:rsidRPr="00B7185F">
        <w:t xml:space="preserve"> </w:t>
      </w:r>
      <w:r w:rsidRPr="00B7185F">
        <w:t>приміщенні</w:t>
      </w:r>
      <w:r w:rsidR="00B7185F">
        <w:t>"</w:t>
      </w:r>
      <w:r w:rsidR="00B7185F" w:rsidRPr="00B7185F"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Важливою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гарантією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учасників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судочинства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заборона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проводити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вночі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Однак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чинний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кримінально-процесуальний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містить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чітких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вказівок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noProof/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лише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забороняє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проводити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допит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виїмку,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невідкладних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випадків,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вночі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ст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ст</w:t>
      </w:r>
      <w:r w:rsidR="00B7185F">
        <w:rPr>
          <w:lang w:val="uk-UA"/>
        </w:rPr>
        <w:t>.1</w:t>
      </w:r>
      <w:r w:rsidRPr="00B7185F">
        <w:rPr>
          <w:lang w:val="uk-UA"/>
        </w:rPr>
        <w:t>43,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180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). </w:t>
      </w:r>
      <w:r w:rsidRPr="00B7185F">
        <w:rPr>
          <w:lang w:val="uk-UA" w:eastAsia="ja-JP"/>
        </w:rPr>
        <w:t>Отже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законодавчо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невизначеним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залишається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допитів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підозрюваного,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свідка,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потерпілого,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експерта,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очної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ставки,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пред’явлення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осіб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предметів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впізнання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поділяємо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позицію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учених,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пропонують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доповнити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.3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тлумаченням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поняття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нічний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>
        <w:rPr>
          <w:lang w:val="uk-UA"/>
        </w:rPr>
        <w:t xml:space="preserve">" </w:t>
      </w:r>
      <w:r w:rsidR="00B7185F" w:rsidRPr="00B7185F">
        <w:rPr>
          <w:lang w:val="uk-UA"/>
        </w:rPr>
        <w:t>[</w:t>
      </w:r>
      <w:r w:rsidRPr="00B7185F">
        <w:rPr>
          <w:lang w:val="uk-UA"/>
        </w:rPr>
        <w:t>2,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>.3</w:t>
      </w:r>
      <w:r w:rsidRPr="00B7185F">
        <w:rPr>
          <w:lang w:val="uk-UA"/>
        </w:rPr>
        <w:t>52</w:t>
      </w:r>
      <w:r w:rsidR="00B7185F" w:rsidRPr="00B7185F">
        <w:rPr>
          <w:lang w:val="uk-UA"/>
        </w:rPr>
        <w:t>].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Зазначені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прогалини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заповнені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проекті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noProof/>
          <w:lang w:val="uk-UA"/>
        </w:rPr>
        <w:t xml:space="preserve"> </w:t>
      </w:r>
      <w:r w:rsidRPr="00B7185F">
        <w:rPr>
          <w:noProof/>
          <w:lang w:val="uk-UA"/>
        </w:rPr>
        <w:t>України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Так,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>
        <w:rPr>
          <w:lang w:val="uk-UA"/>
        </w:rPr>
        <w:t>.3</w:t>
      </w:r>
      <w:r w:rsidRPr="00B7185F">
        <w:rPr>
          <w:lang w:val="uk-UA"/>
        </w:rPr>
        <w:t>5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.6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Pr="00B7185F">
        <w:rPr>
          <w:lang w:val="uk-UA"/>
        </w:rPr>
        <w:t>27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міститься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подібне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тлумачення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положення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заборону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нічний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крім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невідкладних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випадків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 w:eastAsia="ja-JP"/>
        </w:rPr>
      </w:pPr>
      <w:r w:rsidRPr="00B7185F">
        <w:rPr>
          <w:lang w:val="uk-UA"/>
        </w:rPr>
        <w:t>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вважаємо,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разі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виникнення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подібних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випадків,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постанові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зобов’язаний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мотивувати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необхідність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нічний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вимагає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виносити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постанову,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мотивування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рішення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нічний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повинно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викладене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відповідному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протоколі</w:t>
      </w:r>
      <w:r w:rsidR="00B7185F" w:rsidRPr="00B7185F">
        <w:rPr>
          <w:lang w:val="uk-UA"/>
        </w:rPr>
        <w:t xml:space="preserve">. </w:t>
      </w:r>
      <w:r w:rsidRPr="00B7185F">
        <w:rPr>
          <w:lang w:val="uk-UA" w:eastAsia="ja-JP"/>
        </w:rPr>
        <w:t>Це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дасть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змогу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в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подальшому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оцінити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законність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та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обґрунтованість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її</w:t>
      </w:r>
      <w:r w:rsidR="00B7185F" w:rsidRPr="00B7185F">
        <w:rPr>
          <w:lang w:val="uk-UA" w:eastAsia="ja-JP"/>
        </w:rPr>
        <w:t xml:space="preserve"> </w:t>
      </w:r>
      <w:r w:rsidRPr="00B7185F">
        <w:rPr>
          <w:lang w:val="uk-UA" w:eastAsia="ja-JP"/>
        </w:rPr>
        <w:t>проведення</w:t>
      </w:r>
      <w:r w:rsidR="00B7185F" w:rsidRPr="00B7185F">
        <w:rPr>
          <w:lang w:val="uk-UA" w:eastAsia="ja-JP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Тому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пропонуємо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</w:t>
      </w:r>
      <w:r w:rsidR="00B7185F">
        <w:rPr>
          <w:lang w:val="uk-UA"/>
        </w:rPr>
        <w:t>.3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</w:t>
      </w:r>
      <w:r w:rsidR="00B7185F">
        <w:rPr>
          <w:lang w:val="uk-UA"/>
        </w:rPr>
        <w:t>.2</w:t>
      </w:r>
      <w:r w:rsidRPr="00B7185F">
        <w:rPr>
          <w:lang w:val="uk-UA"/>
        </w:rPr>
        <w:t>27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проекту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КПК</w:t>
      </w:r>
      <w:r w:rsidR="00B7185F" w:rsidRPr="00B7185F">
        <w:rPr>
          <w:lang w:val="uk-UA"/>
        </w:rPr>
        <w:t xml:space="preserve"> </w:t>
      </w:r>
      <w:r w:rsidRPr="00B7185F">
        <w:rPr>
          <w:noProof/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доповнити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положенням</w:t>
      </w:r>
      <w:r w:rsidR="00B7185F" w:rsidRPr="00B7185F">
        <w:rPr>
          <w:lang w:val="uk-UA"/>
        </w:rPr>
        <w:t>:</w:t>
      </w:r>
      <w:r w:rsidR="00B7185F">
        <w:rPr>
          <w:lang w:val="uk-UA"/>
        </w:rPr>
        <w:t xml:space="preserve"> "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разі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необхідності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провести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нічний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слідчий,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випадках,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передбачених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частиною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першою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цієї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статті,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зазначає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мотиви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прийняття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такого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рішення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постанові,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усіх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випадках</w:t>
      </w:r>
      <w:r w:rsidR="00B7185F" w:rsidRPr="00B7185F">
        <w:rPr>
          <w:lang w:val="uk-UA"/>
        </w:rPr>
        <w:t xml:space="preserve"> -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протоколі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</w:t>
      </w:r>
      <w:r w:rsidR="00B7185F">
        <w:rPr>
          <w:lang w:val="uk-UA"/>
        </w:rPr>
        <w:t>"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Деякі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особливості,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звернути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увагу,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розглядаючи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гарантії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притаманні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нормативному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регулюванню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проведення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допиту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неповнолітнього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свідка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Додатковою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гарантією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забезпечення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неповнолітнього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участь</w:t>
      </w:r>
      <w:r w:rsidR="00B7185F" w:rsidRPr="00B7185F">
        <w:rPr>
          <w:noProof/>
          <w:lang w:val="uk-UA"/>
        </w:rPr>
        <w:t xml:space="preserve"> </w:t>
      </w:r>
      <w:r w:rsidRPr="00B7185F">
        <w:rPr>
          <w:noProof/>
          <w:lang w:val="uk-UA"/>
        </w:rPr>
        <w:t>у</w:t>
      </w:r>
      <w:r w:rsidR="00B7185F" w:rsidRPr="00B7185F">
        <w:rPr>
          <w:noProof/>
          <w:lang w:val="uk-UA"/>
        </w:rPr>
        <w:t xml:space="preserve"> </w:t>
      </w:r>
      <w:r w:rsidRPr="00B7185F">
        <w:rPr>
          <w:noProof/>
          <w:lang w:val="uk-UA"/>
        </w:rPr>
        <w:t>слідчій</w:t>
      </w:r>
      <w:r w:rsidR="00B7185F" w:rsidRPr="00B7185F">
        <w:rPr>
          <w:noProof/>
          <w:lang w:val="uk-UA"/>
        </w:rPr>
        <w:t xml:space="preserve"> </w:t>
      </w:r>
      <w:r w:rsidRPr="00B7185F">
        <w:rPr>
          <w:noProof/>
          <w:lang w:val="uk-UA"/>
        </w:rPr>
        <w:t>дії</w:t>
      </w:r>
      <w:r w:rsidR="00B7185F" w:rsidRPr="00B7185F">
        <w:rPr>
          <w:noProof/>
          <w:lang w:val="uk-UA"/>
        </w:rPr>
        <w:t xml:space="preserve"> </w:t>
      </w:r>
      <w:r w:rsidRPr="00B7185F">
        <w:rPr>
          <w:bCs/>
          <w:lang w:val="uk-UA"/>
        </w:rPr>
        <w:t>педагога,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необхідності</w:t>
      </w:r>
      <w:r w:rsidR="00B7185F" w:rsidRPr="00B7185F">
        <w:rPr>
          <w:bCs/>
          <w:lang w:val="uk-UA"/>
        </w:rPr>
        <w:t xml:space="preserve"> - </w:t>
      </w:r>
      <w:r w:rsidRPr="00B7185F">
        <w:rPr>
          <w:bCs/>
          <w:lang w:val="uk-UA"/>
        </w:rPr>
        <w:t>лікаря,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батьків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представників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неповнолітнього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ч</w:t>
      </w:r>
      <w:r w:rsidR="00B7185F">
        <w:rPr>
          <w:bCs/>
          <w:lang w:val="uk-UA"/>
        </w:rPr>
        <w:t>.3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.1</w:t>
      </w:r>
      <w:r w:rsidRPr="00B7185F">
        <w:rPr>
          <w:bCs/>
          <w:lang w:val="uk-UA"/>
        </w:rPr>
        <w:t>68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КПК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</w:t>
      </w:r>
      <w:r w:rsidR="00B7185F" w:rsidRPr="00B7185F">
        <w:rPr>
          <w:bCs/>
          <w:lang w:val="uk-UA"/>
        </w:rPr>
        <w:t xml:space="preserve">). </w:t>
      </w:r>
      <w:r w:rsidRPr="00B7185F">
        <w:rPr>
          <w:bCs/>
          <w:lang w:val="uk-UA"/>
        </w:rPr>
        <w:t>Нажаль,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КПК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закріплює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зазначених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вимог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для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очної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ставки,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пред’явлення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для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впізнання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відтворення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обстановки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події,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проводяться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участю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осіб,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досягли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шістнадцяти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років,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хоча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випадки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мають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місце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практичній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діяльності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Привертає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увагу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факт,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68,4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%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128</w:t>
      </w:r>
      <w:r w:rsidR="00B7185F" w:rsidRPr="00B7185F">
        <w:rPr>
          <w:bCs/>
          <w:lang w:val="uk-UA"/>
        </w:rPr>
        <w:t xml:space="preserve">) </w:t>
      </w:r>
      <w:r w:rsidRPr="00B7185F">
        <w:rPr>
          <w:bCs/>
          <w:lang w:val="uk-UA"/>
        </w:rPr>
        <w:t>опитаних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зазначили,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очна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ставка,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пред’явлення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для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впізнання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відтворення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обстановки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обставин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події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участю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осіб,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досягли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шістнадцятирічного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віку,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повинно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проводитися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загальних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підставах</w:t>
      </w:r>
      <w:r w:rsidR="00B7185F">
        <w:rPr>
          <w:bCs/>
          <w:lang w:val="uk-UA"/>
        </w:rPr>
        <w:t xml:space="preserve"> (</w:t>
      </w:r>
      <w:r w:rsidRPr="00B7185F">
        <w:rPr>
          <w:bCs/>
          <w:lang w:val="uk-UA"/>
        </w:rPr>
        <w:t>дод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Д</w:t>
      </w:r>
      <w:r w:rsidR="00B7185F" w:rsidRPr="00B7185F">
        <w:rPr>
          <w:bCs/>
          <w:lang w:val="uk-UA"/>
        </w:rPr>
        <w:t xml:space="preserve">). </w:t>
      </w:r>
      <w:r w:rsidRPr="00B7185F">
        <w:rPr>
          <w:bCs/>
          <w:lang w:val="uk-UA"/>
        </w:rPr>
        <w:t>Тому,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нашу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думку,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правова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регламентація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перелічених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слідчих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дій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потребує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вдосконалення</w:t>
      </w:r>
      <w:r w:rsidR="00B7185F" w:rsidRPr="00B7185F">
        <w:rPr>
          <w:bCs/>
          <w:lang w:val="uk-UA"/>
        </w:rPr>
        <w:t>.</w:t>
      </w:r>
    </w:p>
    <w:p w:rsidR="00B7185F" w:rsidRPr="00B7185F" w:rsidRDefault="003357BF" w:rsidP="00B7185F">
      <w:pPr>
        <w:tabs>
          <w:tab w:val="left" w:pos="726"/>
        </w:tabs>
        <w:rPr>
          <w:bCs/>
          <w:lang w:val="uk-UA"/>
        </w:rPr>
      </w:pPr>
      <w:r w:rsidRPr="00B7185F">
        <w:rPr>
          <w:bCs/>
          <w:lang w:val="uk-UA"/>
        </w:rPr>
        <w:t>Закріплюючи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конституційні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кримінально-процесуальному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законі,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законодавець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просто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їх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відтворює,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ще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деталізує,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доповнює,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виходячи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особливостей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правовідносин,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предметом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регулювання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цієї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галузі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права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Разом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тим,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надає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органу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розслідування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прокурору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застосовувати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різноманітні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процесуальні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тією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іншою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мірою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обмежують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однак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необхідними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для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розкриття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злочину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Як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зазначає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Європейський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людини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своєму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рішенні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02</w:t>
      </w:r>
      <w:r w:rsidR="00B7185F">
        <w:rPr>
          <w:bCs/>
          <w:lang w:val="uk-UA"/>
        </w:rPr>
        <w:t>.11.20</w:t>
      </w:r>
      <w:r w:rsidRPr="00B7185F">
        <w:rPr>
          <w:bCs/>
          <w:lang w:val="uk-UA"/>
        </w:rPr>
        <w:t>06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р</w:t>
      </w:r>
      <w:r w:rsidR="00B7185F" w:rsidRPr="00B7185F">
        <w:rPr>
          <w:bCs/>
          <w:lang w:val="uk-UA"/>
        </w:rPr>
        <w:t xml:space="preserve">.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справі</w:t>
      </w:r>
      <w:r w:rsidR="00B7185F">
        <w:rPr>
          <w:bCs/>
          <w:lang w:val="uk-UA"/>
        </w:rPr>
        <w:t xml:space="preserve"> "</w:t>
      </w:r>
      <w:r w:rsidRPr="00B7185F">
        <w:rPr>
          <w:bCs/>
          <w:lang w:val="uk-UA"/>
        </w:rPr>
        <w:t>Волохи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України</w:t>
      </w:r>
      <w:r w:rsidR="00B7185F">
        <w:rPr>
          <w:bCs/>
          <w:lang w:val="uk-UA"/>
        </w:rPr>
        <w:t>"</w:t>
      </w:r>
      <w:r w:rsidRPr="00B7185F">
        <w:rPr>
          <w:bCs/>
          <w:lang w:val="uk-UA"/>
        </w:rPr>
        <w:t>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втручання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права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виправданим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точки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зору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</w:t>
      </w:r>
      <w:r w:rsidR="00B7185F">
        <w:rPr>
          <w:bCs/>
          <w:lang w:val="uk-UA"/>
        </w:rPr>
        <w:t>.2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</w:t>
      </w:r>
      <w:r w:rsidR="00B7185F">
        <w:rPr>
          <w:bCs/>
          <w:lang w:val="uk-UA"/>
        </w:rPr>
        <w:t>.8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Конвенції,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якщо</w:t>
      </w:r>
      <w:r w:rsidR="00B7185F">
        <w:rPr>
          <w:bCs/>
          <w:lang w:val="uk-UA"/>
        </w:rPr>
        <w:t xml:space="preserve"> "</w:t>
      </w:r>
      <w:r w:rsidRPr="00B7185F">
        <w:rPr>
          <w:bCs/>
          <w:lang w:val="uk-UA"/>
        </w:rPr>
        <w:t>воно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здійснюється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згідно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законом,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переслідує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законну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мету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відповідно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</w:t>
      </w:r>
      <w:r w:rsidR="00B7185F">
        <w:rPr>
          <w:bCs/>
          <w:lang w:val="uk-UA"/>
        </w:rPr>
        <w:t>.2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цієї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статті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якщо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воно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є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необхідним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демократичному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суспільстві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задля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досягнення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цієї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мети</w:t>
      </w:r>
      <w:r w:rsidR="00B7185F">
        <w:rPr>
          <w:bCs/>
          <w:lang w:val="uk-UA"/>
        </w:rPr>
        <w:t xml:space="preserve">" </w:t>
      </w:r>
      <w:r w:rsidR="00B7185F" w:rsidRPr="00B7185F">
        <w:rPr>
          <w:lang w:val="uk-UA"/>
        </w:rPr>
        <w:t>[</w:t>
      </w:r>
      <w:r w:rsidRPr="00B7185F">
        <w:rPr>
          <w:lang w:val="uk-UA"/>
        </w:rPr>
        <w:t>8</w:t>
      </w:r>
      <w:r w:rsidR="00B7185F" w:rsidRPr="00B7185F">
        <w:rPr>
          <w:lang w:val="uk-UA"/>
        </w:rPr>
        <w:t>].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кожен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захід,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пов'язаний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із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застосуванням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примусу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чи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обмеженням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особистої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свободи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особи,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незалежно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від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її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процесуального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становища,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повинен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бути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обґрунтованим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та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здійснюватися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встановленому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законом</w:t>
      </w:r>
      <w:r w:rsidR="00B7185F" w:rsidRPr="00B7185F">
        <w:rPr>
          <w:bCs/>
          <w:lang w:val="uk-UA"/>
        </w:rPr>
        <w:t xml:space="preserve"> </w:t>
      </w:r>
      <w:r w:rsidRPr="00B7185F">
        <w:rPr>
          <w:bCs/>
          <w:lang w:val="uk-UA"/>
        </w:rPr>
        <w:t>порядку</w:t>
      </w:r>
      <w:r w:rsidR="00B7185F" w:rsidRPr="00B7185F">
        <w:rPr>
          <w:bCs/>
          <w:lang w:val="uk-UA"/>
        </w:rPr>
        <w:t>.</w:t>
      </w:r>
    </w:p>
    <w:p w:rsidR="00B7185F" w:rsidRDefault="003357BF" w:rsidP="00B7185F">
      <w:pPr>
        <w:tabs>
          <w:tab w:val="left" w:pos="726"/>
        </w:tabs>
        <w:rPr>
          <w:lang w:val="uk-UA"/>
        </w:rPr>
      </w:pPr>
      <w:r w:rsidRPr="00B7185F">
        <w:rPr>
          <w:lang w:val="uk-UA"/>
        </w:rPr>
        <w:t>Отже,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гарантії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час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полягають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особливих,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детально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регламентованих,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підставах,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умовах,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порядку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їх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оформлення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обмеження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виникає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внаслідок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правомірно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проведеної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законної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обґрунтованої</w:t>
      </w:r>
      <w:r w:rsidR="00B7185F" w:rsidRPr="00B7185F">
        <w:rPr>
          <w:lang w:val="uk-UA"/>
        </w:rPr>
        <w:t xml:space="preserve">) </w:t>
      </w:r>
      <w:r w:rsidRPr="00B7185F">
        <w:rPr>
          <w:lang w:val="uk-UA"/>
        </w:rPr>
        <w:t>слідчої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дії,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повинно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розглядатись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як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неминучий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наслідок,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однак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повинно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бути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його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метою</w:t>
      </w:r>
      <w:r w:rsidR="00B7185F" w:rsidRPr="00B7185F">
        <w:rPr>
          <w:lang w:val="uk-UA"/>
        </w:rPr>
        <w:t>.</w:t>
      </w:r>
    </w:p>
    <w:p w:rsidR="00481718" w:rsidRPr="00481718" w:rsidRDefault="00481718" w:rsidP="00481718">
      <w:pPr>
        <w:pStyle w:val="af7"/>
        <w:rPr>
          <w:lang w:val="uk-UA"/>
        </w:rPr>
      </w:pPr>
      <w:r w:rsidRPr="00481718">
        <w:rPr>
          <w:lang w:val="uk-UA"/>
        </w:rPr>
        <w:t>учасник кримінальне судочинство право</w:t>
      </w:r>
    </w:p>
    <w:p w:rsidR="003357BF" w:rsidRDefault="00B7185F" w:rsidP="00B7185F">
      <w:pPr>
        <w:pStyle w:val="1"/>
        <w:rPr>
          <w:lang w:val="uk-UA"/>
        </w:rPr>
      </w:pPr>
      <w:r>
        <w:rPr>
          <w:lang w:val="uk-UA"/>
        </w:rPr>
        <w:br w:type="page"/>
        <w:t>Література</w:t>
      </w:r>
    </w:p>
    <w:p w:rsidR="00B7185F" w:rsidRPr="00B7185F" w:rsidRDefault="00B7185F" w:rsidP="00B7185F">
      <w:pPr>
        <w:rPr>
          <w:lang w:val="uk-UA" w:eastAsia="en-US"/>
        </w:rPr>
      </w:pP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Трагнюк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>
        <w:rPr>
          <w:lang w:val="uk-UA"/>
        </w:rPr>
        <w:t xml:space="preserve">.Р. </w:t>
      </w:r>
      <w:r w:rsidRPr="00B7185F">
        <w:rPr>
          <w:lang w:val="uk-UA"/>
        </w:rPr>
        <w:t>Прокурорський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нагляд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додержанням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що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забезпечують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обвинуваченого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монографія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Трагнюк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>
        <w:rPr>
          <w:lang w:val="uk-UA"/>
        </w:rPr>
        <w:t xml:space="preserve">.Р. - </w:t>
      </w:r>
      <w:r w:rsidRPr="00B7185F">
        <w:rPr>
          <w:lang w:val="uk-UA"/>
        </w:rPr>
        <w:t>Х</w:t>
      </w:r>
      <w:r w:rsidR="00B7185F" w:rsidRPr="00B7185F">
        <w:rPr>
          <w:lang w:val="uk-UA"/>
        </w:rPr>
        <w:t xml:space="preserve">.: </w:t>
      </w:r>
      <w:r w:rsidRPr="00B7185F">
        <w:rPr>
          <w:lang w:val="uk-UA"/>
        </w:rPr>
        <w:t>Факт,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2004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200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Мінюков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>
        <w:rPr>
          <w:lang w:val="uk-UA"/>
        </w:rPr>
        <w:t xml:space="preserve">.І. </w:t>
      </w:r>
      <w:r w:rsidRPr="00B7185F">
        <w:rPr>
          <w:lang w:val="uk-UA"/>
        </w:rPr>
        <w:t>Процесуальні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повноваження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начальника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відділу</w:t>
      </w:r>
      <w:r w:rsidR="00B7185F">
        <w:rPr>
          <w:lang w:val="uk-UA"/>
        </w:rPr>
        <w:t xml:space="preserve"> (</w:t>
      </w:r>
      <w:r w:rsidRPr="00B7185F">
        <w:rPr>
          <w:lang w:val="uk-UA"/>
        </w:rPr>
        <w:t>відділення</w:t>
      </w:r>
      <w:r w:rsidR="00B7185F" w:rsidRPr="00B7185F">
        <w:rPr>
          <w:lang w:val="uk-UA"/>
        </w:rPr>
        <w:t xml:space="preserve">) </w:t>
      </w:r>
      <w:r w:rsidRPr="00B7185F">
        <w:rPr>
          <w:lang w:val="uk-UA"/>
        </w:rPr>
        <w:t>органів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внутрішніх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проблем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керівництва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досудовим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слідством</w:t>
      </w:r>
      <w:r w:rsidR="00B7185F" w:rsidRPr="00B7185F">
        <w:rPr>
          <w:lang w:val="uk-UA"/>
        </w:rPr>
        <w:t>: [</w:t>
      </w:r>
      <w:r w:rsidRPr="00B7185F">
        <w:rPr>
          <w:lang w:val="uk-UA"/>
        </w:rPr>
        <w:t>навч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посіб</w:t>
      </w:r>
      <w:r w:rsidR="00B7185F" w:rsidRPr="00B7185F">
        <w:rPr>
          <w:lang w:val="uk-UA"/>
        </w:rPr>
        <w:t xml:space="preserve">.]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>
        <w:rPr>
          <w:lang w:val="uk-UA"/>
        </w:rPr>
        <w:t xml:space="preserve">.І. </w:t>
      </w:r>
      <w:r w:rsidRPr="00B7185F">
        <w:rPr>
          <w:lang w:val="uk-UA"/>
        </w:rPr>
        <w:t>Мінюков,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</w:t>
      </w:r>
      <w:r w:rsidR="00B7185F">
        <w:rPr>
          <w:lang w:val="uk-UA"/>
        </w:rPr>
        <w:t xml:space="preserve">.П. </w:t>
      </w:r>
      <w:r w:rsidRPr="00B7185F">
        <w:rPr>
          <w:lang w:val="uk-UA"/>
        </w:rPr>
        <w:t>Мінюков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К</w:t>
      </w:r>
      <w:r w:rsidR="00B7185F" w:rsidRPr="00B7185F">
        <w:rPr>
          <w:lang w:val="uk-UA"/>
        </w:rPr>
        <w:t xml:space="preserve">.: </w:t>
      </w:r>
      <w:r w:rsidRPr="00B7185F">
        <w:rPr>
          <w:lang w:val="uk-UA"/>
        </w:rPr>
        <w:t>Кондор,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2004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214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Охріменко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 xml:space="preserve">.С. </w:t>
      </w:r>
      <w:r w:rsidRPr="00B7185F">
        <w:rPr>
          <w:lang w:val="uk-UA"/>
        </w:rPr>
        <w:t>Гарантії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захисту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самостійності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незалежності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слідчого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автореф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дис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здобуття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наук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ступеня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канд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юрид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наук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спец</w:t>
      </w:r>
      <w:r w:rsidR="00B7185F">
        <w:rPr>
          <w:lang w:val="uk-UA"/>
        </w:rPr>
        <w:t>.1</w:t>
      </w:r>
      <w:r w:rsidRPr="00B7185F">
        <w:rPr>
          <w:lang w:val="uk-UA"/>
        </w:rPr>
        <w:t>2</w:t>
      </w:r>
      <w:r w:rsidR="00B7185F">
        <w:rPr>
          <w:lang w:val="uk-UA"/>
        </w:rPr>
        <w:t>.0</w:t>
      </w:r>
      <w:r w:rsidRPr="00B7185F">
        <w:rPr>
          <w:lang w:val="uk-UA"/>
        </w:rPr>
        <w:t>0</w:t>
      </w:r>
      <w:r w:rsidR="00B7185F">
        <w:rPr>
          <w:lang w:val="uk-UA"/>
        </w:rPr>
        <w:t>.0</w:t>
      </w:r>
      <w:r w:rsidRPr="00B7185F">
        <w:rPr>
          <w:lang w:val="uk-UA"/>
        </w:rPr>
        <w:t>9</w:t>
      </w:r>
      <w:r w:rsidR="00B7185F" w:rsidRPr="00B7185F">
        <w:rPr>
          <w:lang w:val="uk-UA"/>
        </w:rPr>
        <w:t>,</w:t>
      </w:r>
      <w:r w:rsidR="00B7185F">
        <w:t>, К</w:t>
      </w:r>
      <w:r w:rsidRPr="00B7185F">
        <w:rPr>
          <w:lang w:val="uk-UA"/>
        </w:rPr>
        <w:t>римінальний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криміналістика</w:t>
      </w:r>
      <w:r w:rsidR="00B7185F" w:rsidRPr="00B7185F">
        <w:rPr>
          <w:lang w:val="uk-UA"/>
        </w:rPr>
        <w:t xml:space="preserve">; </w:t>
      </w:r>
      <w:r w:rsidRPr="00B7185F">
        <w:rPr>
          <w:lang w:val="uk-UA"/>
        </w:rPr>
        <w:t>судова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експертиза</w:t>
      </w:r>
      <w:r w:rsidRPr="00B7185F">
        <w:t>”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>
        <w:rPr>
          <w:lang w:val="uk-UA"/>
        </w:rPr>
        <w:t xml:space="preserve">.С. </w:t>
      </w:r>
      <w:r w:rsidRPr="00B7185F">
        <w:rPr>
          <w:lang w:val="uk-UA"/>
        </w:rPr>
        <w:t>Охріменко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К</w:t>
      </w:r>
      <w:r w:rsidR="00B7185F" w:rsidRPr="00B7185F">
        <w:rPr>
          <w:lang w:val="uk-UA"/>
        </w:rPr>
        <w:t xml:space="preserve">., </w:t>
      </w:r>
      <w:r w:rsidRPr="00B7185F">
        <w:rPr>
          <w:lang w:val="uk-UA"/>
        </w:rPr>
        <w:t>2007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16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Химичева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</w:t>
      </w:r>
      <w:r w:rsidR="00B7185F">
        <w:rPr>
          <w:lang w:val="uk-UA"/>
        </w:rPr>
        <w:t xml:space="preserve">.В. </w:t>
      </w:r>
      <w:r w:rsidRPr="00B7185F">
        <w:rPr>
          <w:lang w:val="uk-UA"/>
        </w:rPr>
        <w:t>Концептуальные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основы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процесуального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контроля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надзора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досудебных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стадиях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уголовного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судопроизводства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монография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Химичева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</w:t>
      </w:r>
      <w:r w:rsidR="00B7185F">
        <w:rPr>
          <w:lang w:val="uk-UA"/>
        </w:rPr>
        <w:t xml:space="preserve">.В. - </w:t>
      </w:r>
      <w:r w:rsidRPr="00B7185F">
        <w:rPr>
          <w:lang w:val="uk-UA"/>
        </w:rPr>
        <w:t>М</w:t>
      </w:r>
      <w:r w:rsidR="00B7185F" w:rsidRPr="00B7185F">
        <w:rPr>
          <w:lang w:val="uk-UA"/>
        </w:rPr>
        <w:t xml:space="preserve">.: </w:t>
      </w:r>
      <w:r w:rsidRPr="00B7185F">
        <w:rPr>
          <w:lang w:val="uk-UA"/>
        </w:rPr>
        <w:t>ЮНИТИ-ДАНА,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2004</w:t>
      </w:r>
      <w:r w:rsidR="00B7185F">
        <w:rPr>
          <w:lang w:val="uk-UA"/>
        </w:rPr>
        <w:t xml:space="preserve">. - </w:t>
      </w:r>
      <w:r w:rsidRPr="00B7185F">
        <w:t>287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Трагнюк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Функції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прокурора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досудовому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слідстві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Трагнюк</w:t>
      </w:r>
      <w:r w:rsidR="00B7185F">
        <w:rPr>
          <w:lang w:val="uk-UA"/>
        </w:rPr>
        <w:t xml:space="preserve"> //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2007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3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</w:t>
      </w:r>
      <w:r w:rsidR="00B7185F">
        <w:rPr>
          <w:lang w:val="uk-UA"/>
        </w:rPr>
        <w:t>.6</w:t>
      </w:r>
      <w:r w:rsidRPr="00B7185F">
        <w:rPr>
          <w:lang w:val="uk-UA"/>
        </w:rPr>
        <w:t>0</w:t>
      </w:r>
      <w:r w:rsidR="00B7185F" w:rsidRPr="00B7185F">
        <w:rPr>
          <w:lang w:val="uk-UA"/>
        </w:rPr>
        <w:t>-</w:t>
      </w:r>
      <w:r w:rsidRPr="00B7185F">
        <w:rPr>
          <w:lang w:val="uk-UA"/>
        </w:rPr>
        <w:t>62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</w:pPr>
      <w:r w:rsidRPr="00B7185F">
        <w:rPr>
          <w:lang w:val="uk-UA"/>
        </w:rPr>
        <w:t>Тетерин</w:t>
      </w:r>
      <w:r w:rsidR="00B7185F" w:rsidRPr="00B7185F">
        <w:rPr>
          <w:lang w:val="uk-UA"/>
        </w:rPr>
        <w:t xml:space="preserve"> </w:t>
      </w:r>
      <w:r w:rsidRPr="00B7185F">
        <w:t>Б</w:t>
      </w:r>
      <w:r w:rsidR="00B7185F">
        <w:t xml:space="preserve">.С. </w:t>
      </w:r>
      <w:r w:rsidRPr="00B7185F">
        <w:t>Возбуждение</w:t>
      </w:r>
      <w:r w:rsidR="00B7185F" w:rsidRPr="00B7185F">
        <w:t xml:space="preserve"> </w:t>
      </w:r>
      <w:r w:rsidRPr="00B7185F">
        <w:t>и</w:t>
      </w:r>
      <w:r w:rsidR="00B7185F" w:rsidRPr="00B7185F">
        <w:t xml:space="preserve"> </w:t>
      </w:r>
      <w:r w:rsidRPr="00B7185F">
        <w:t>расследование</w:t>
      </w:r>
      <w:r w:rsidR="00B7185F" w:rsidRPr="00B7185F">
        <w:t xml:space="preserve"> </w:t>
      </w:r>
      <w:r w:rsidRPr="00B7185F">
        <w:t>уголовных</w:t>
      </w:r>
      <w:r w:rsidR="00B7185F" w:rsidRPr="00B7185F">
        <w:t xml:space="preserve"> </w:t>
      </w:r>
      <w:r w:rsidRPr="00B7185F">
        <w:t>дел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t>Б</w:t>
      </w:r>
      <w:r w:rsidR="00B7185F">
        <w:t xml:space="preserve">.С. </w:t>
      </w:r>
      <w:r w:rsidRPr="00B7185F">
        <w:rPr>
          <w:lang w:val="uk-UA"/>
        </w:rPr>
        <w:t>Тетерин</w:t>
      </w:r>
      <w:r w:rsidRPr="00B7185F">
        <w:t>,</w:t>
      </w:r>
      <w:r w:rsidR="00B7185F" w:rsidRPr="00B7185F">
        <w:t xml:space="preserve"> </w:t>
      </w:r>
      <w:r w:rsidRPr="00B7185F">
        <w:t>Е</w:t>
      </w:r>
      <w:r w:rsidR="00B7185F">
        <w:t xml:space="preserve">.З. </w:t>
      </w:r>
      <w:r w:rsidRPr="00B7185F">
        <w:t>Трошкин</w:t>
      </w:r>
      <w:r w:rsidR="00B7185F">
        <w:t xml:space="preserve">. - </w:t>
      </w:r>
      <w:r w:rsidRPr="00B7185F">
        <w:t>М</w:t>
      </w:r>
      <w:r w:rsidR="00B7185F" w:rsidRPr="00B7185F">
        <w:t xml:space="preserve">., </w:t>
      </w:r>
      <w:r w:rsidRPr="00B7185F">
        <w:t>1997</w:t>
      </w:r>
      <w:r w:rsidR="00B7185F">
        <w:t xml:space="preserve">. - </w:t>
      </w:r>
      <w:r w:rsidRPr="00B7185F">
        <w:t>224</w:t>
      </w:r>
      <w:r w:rsidR="00B7185F" w:rsidRPr="00B7185F">
        <w:rPr>
          <w:lang w:val="uk-UA"/>
        </w:rPr>
        <w:t xml:space="preserve"> </w:t>
      </w:r>
      <w:r w:rsidRPr="00B7185F">
        <w:t>с</w:t>
      </w:r>
      <w:r w:rsidR="00B7185F" w:rsidRPr="00B7185F"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Курило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</w:t>
      </w:r>
      <w:r w:rsidR="00B7185F">
        <w:rPr>
          <w:lang w:val="uk-UA"/>
        </w:rPr>
        <w:t xml:space="preserve">.П. </w:t>
      </w:r>
      <w:r w:rsidRPr="00B7185F">
        <w:rPr>
          <w:lang w:val="uk-UA"/>
        </w:rPr>
        <w:t>Участь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прокурора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діях</w:t>
      </w:r>
      <w:r w:rsidR="00B7185F" w:rsidRPr="00B7185F">
        <w:rPr>
          <w:lang w:val="uk-UA"/>
        </w:rPr>
        <w:t xml:space="preserve">: </w:t>
      </w:r>
      <w:r w:rsidR="00B7185F" w:rsidRPr="00B7185F">
        <w:t>[</w:t>
      </w:r>
      <w:r w:rsidRPr="00B7185F">
        <w:rPr>
          <w:lang w:val="uk-UA"/>
        </w:rPr>
        <w:t>навч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посіб</w:t>
      </w:r>
      <w:r w:rsidR="00B7185F" w:rsidRPr="00B7185F">
        <w:rPr>
          <w:lang w:val="uk-UA"/>
        </w:rPr>
        <w:t>.]</w:t>
      </w:r>
      <w:r w:rsidR="00B7185F" w:rsidRPr="00B7185F"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</w:t>
      </w:r>
      <w:r w:rsidR="00B7185F">
        <w:rPr>
          <w:lang w:val="uk-UA"/>
        </w:rPr>
        <w:t xml:space="preserve">.П. </w:t>
      </w:r>
      <w:r w:rsidRPr="00B7185F">
        <w:rPr>
          <w:lang w:val="uk-UA"/>
        </w:rPr>
        <w:t>Курило,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>
        <w:rPr>
          <w:lang w:val="uk-UA"/>
        </w:rPr>
        <w:t xml:space="preserve">.П. </w:t>
      </w:r>
      <w:r w:rsidRPr="00B7185F">
        <w:rPr>
          <w:lang w:val="uk-UA"/>
        </w:rPr>
        <w:t>Півненко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Суми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Слобожанщина,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1998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24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Шумський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>
        <w:rPr>
          <w:lang w:val="uk-UA"/>
        </w:rPr>
        <w:t xml:space="preserve">.В. </w:t>
      </w:r>
      <w:r w:rsidRPr="00B7185F">
        <w:rPr>
          <w:lang w:val="uk-UA"/>
        </w:rPr>
        <w:t>Прокуратура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: </w:t>
      </w:r>
      <w:r w:rsidR="00B7185F" w:rsidRPr="00B7185F">
        <w:t>[</w:t>
      </w:r>
      <w:r w:rsidRPr="00B7185F">
        <w:rPr>
          <w:lang w:val="uk-UA"/>
        </w:rPr>
        <w:t>навч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посіб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студ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юрид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вузів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фак</w:t>
      </w:r>
      <w:r w:rsidR="00B7185F" w:rsidRPr="00B7185F">
        <w:rPr>
          <w:lang w:val="uk-UA"/>
        </w:rPr>
        <w:t>.]</w:t>
      </w:r>
      <w:r w:rsidR="00B7185F" w:rsidRPr="00B7185F"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Шумський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>
        <w:rPr>
          <w:lang w:val="uk-UA"/>
        </w:rPr>
        <w:t xml:space="preserve">.В. - </w:t>
      </w:r>
      <w:r w:rsidRPr="00B7185F">
        <w:rPr>
          <w:lang w:val="uk-UA"/>
        </w:rPr>
        <w:t>К</w:t>
      </w:r>
      <w:r w:rsidR="00B7185F" w:rsidRPr="00B7185F">
        <w:rPr>
          <w:lang w:val="uk-UA"/>
        </w:rPr>
        <w:t xml:space="preserve">.: </w:t>
      </w:r>
      <w:r w:rsidRPr="00B7185F">
        <w:rPr>
          <w:lang w:val="uk-UA"/>
        </w:rPr>
        <w:t>Вентурі,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1998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336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Врублевський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Диференціація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повноважень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прокуратури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розгляді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клопотань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провадження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володінні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Врублевський</w:t>
      </w:r>
      <w:r w:rsidR="00B7185F">
        <w:rPr>
          <w:lang w:val="uk-UA"/>
        </w:rPr>
        <w:t xml:space="preserve"> // </w:t>
      </w:r>
      <w:r w:rsidRPr="00B7185F">
        <w:rPr>
          <w:lang w:val="uk-UA"/>
        </w:rPr>
        <w:t>Підприємництво,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господарство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право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5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2002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</w:t>
      </w:r>
      <w:r w:rsidR="00B7185F">
        <w:rPr>
          <w:lang w:val="uk-UA"/>
        </w:rPr>
        <w:t>.8</w:t>
      </w:r>
      <w:r w:rsidRPr="00B7185F">
        <w:rPr>
          <w:lang w:val="uk-UA"/>
        </w:rPr>
        <w:t>9</w:t>
      </w:r>
      <w:r w:rsidR="00B7185F" w:rsidRPr="00B7185F">
        <w:rPr>
          <w:lang w:val="uk-UA"/>
        </w:rPr>
        <w:t>-</w:t>
      </w:r>
      <w:r w:rsidRPr="00B7185F">
        <w:rPr>
          <w:lang w:val="uk-UA"/>
        </w:rPr>
        <w:t>90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Мичко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Щодо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взаємодії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прокуратури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судовою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владою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Мичко</w:t>
      </w:r>
      <w:r w:rsidR="00B7185F">
        <w:rPr>
          <w:lang w:val="uk-UA"/>
        </w:rPr>
        <w:t xml:space="preserve"> // </w:t>
      </w:r>
      <w:r w:rsidRPr="00B7185F">
        <w:rPr>
          <w:lang w:val="uk-UA"/>
        </w:rPr>
        <w:t>Право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1999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12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</w:t>
      </w:r>
      <w:r w:rsidR="00B7185F">
        <w:rPr>
          <w:lang w:val="uk-UA"/>
        </w:rPr>
        <w:t>.5</w:t>
      </w:r>
      <w:r w:rsidRPr="00B7185F">
        <w:rPr>
          <w:lang w:val="uk-UA"/>
        </w:rPr>
        <w:t>3</w:t>
      </w:r>
      <w:r w:rsidR="00B7185F" w:rsidRPr="00B7185F">
        <w:rPr>
          <w:lang w:val="uk-UA"/>
        </w:rPr>
        <w:t>-</w:t>
      </w:r>
      <w:r w:rsidRPr="00B7185F">
        <w:rPr>
          <w:lang w:val="uk-UA"/>
        </w:rPr>
        <w:t>55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Кожевников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Упорядочить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полномочия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следователя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И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Кожевников</w:t>
      </w:r>
      <w:r w:rsidR="00B7185F">
        <w:rPr>
          <w:lang w:val="uk-UA"/>
        </w:rPr>
        <w:t xml:space="preserve"> // </w:t>
      </w:r>
      <w:r w:rsidRPr="00B7185F">
        <w:rPr>
          <w:lang w:val="uk-UA"/>
        </w:rPr>
        <w:t>Российская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юстиция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1997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12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</w:t>
      </w:r>
      <w:r w:rsidR="00B7185F">
        <w:rPr>
          <w:lang w:val="uk-UA"/>
        </w:rPr>
        <w:t>.2</w:t>
      </w:r>
      <w:r w:rsidRPr="00B7185F">
        <w:rPr>
          <w:lang w:val="uk-UA"/>
        </w:rPr>
        <w:t>2</w:t>
      </w:r>
      <w:r w:rsidR="00B7185F" w:rsidRPr="00B7185F">
        <w:rPr>
          <w:lang w:val="uk-UA"/>
        </w:rPr>
        <w:t>-</w:t>
      </w:r>
      <w:r w:rsidRPr="00B7185F">
        <w:rPr>
          <w:lang w:val="uk-UA"/>
        </w:rPr>
        <w:t>24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Аббакумов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Особливості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контролю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дотриманням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свобод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людини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слідчих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житлі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чи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іншому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володінні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особи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Аббакумов,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Трофименко</w:t>
      </w:r>
      <w:r w:rsidR="00B7185F">
        <w:rPr>
          <w:lang w:val="uk-UA"/>
        </w:rPr>
        <w:t xml:space="preserve"> // </w:t>
      </w:r>
      <w:r w:rsidRPr="00B7185F">
        <w:rPr>
          <w:lang w:val="uk-UA"/>
        </w:rPr>
        <w:t>Прокуратура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Людина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Держава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2005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№</w:t>
      </w:r>
      <w:r w:rsidR="00B7185F" w:rsidRPr="00B7185F">
        <w:rPr>
          <w:lang w:val="en-US"/>
        </w:rPr>
        <w:t xml:space="preserve"> </w:t>
      </w:r>
      <w:r w:rsidRPr="00B7185F">
        <w:rPr>
          <w:lang w:val="uk-UA"/>
        </w:rPr>
        <w:t>8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</w:t>
      </w:r>
      <w:r w:rsidR="00B7185F">
        <w:rPr>
          <w:lang w:val="uk-UA"/>
        </w:rPr>
        <w:t>.6</w:t>
      </w:r>
      <w:r w:rsidRPr="00B7185F">
        <w:rPr>
          <w:lang w:val="uk-UA"/>
        </w:rPr>
        <w:t>7</w:t>
      </w:r>
      <w:r w:rsidR="00B7185F" w:rsidRPr="00B7185F">
        <w:rPr>
          <w:lang w:val="uk-UA"/>
        </w:rPr>
        <w:t>-</w:t>
      </w:r>
      <w:r w:rsidRPr="00B7185F">
        <w:rPr>
          <w:lang w:val="uk-UA"/>
        </w:rPr>
        <w:t>72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Каркач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Нагляд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дотриманням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законності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проведенні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обшуку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виїмки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Каркач,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Суходубов</w:t>
      </w:r>
      <w:r w:rsidR="00B7185F">
        <w:rPr>
          <w:lang w:val="uk-UA"/>
        </w:rPr>
        <w:t xml:space="preserve"> // </w:t>
      </w:r>
      <w:r w:rsidRPr="00B7185F">
        <w:rPr>
          <w:lang w:val="uk-UA"/>
        </w:rPr>
        <w:t>Вісник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прокуратури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2003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С</w:t>
      </w:r>
      <w:r w:rsidR="00B7185F">
        <w:rPr>
          <w:lang w:val="uk-UA"/>
        </w:rPr>
        <w:t>.5</w:t>
      </w:r>
      <w:r w:rsidRPr="00B7185F">
        <w:rPr>
          <w:lang w:val="uk-UA"/>
        </w:rPr>
        <w:t>0</w:t>
      </w:r>
      <w:r w:rsidR="00B7185F" w:rsidRPr="00B7185F">
        <w:rPr>
          <w:lang w:val="uk-UA"/>
        </w:rPr>
        <w:t>-</w:t>
      </w:r>
      <w:r w:rsidRPr="00B7185F">
        <w:rPr>
          <w:lang w:val="uk-UA"/>
        </w:rPr>
        <w:t>52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організацію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діяльності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органів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Міністерства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внутрішніх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Наказ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МВС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31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берез</w:t>
      </w:r>
      <w:r w:rsidR="00B7185F">
        <w:rPr>
          <w:lang w:val="uk-UA"/>
        </w:rPr>
        <w:t>. 20</w:t>
      </w:r>
      <w:r w:rsidRPr="00B7185F">
        <w:rPr>
          <w:lang w:val="uk-UA"/>
        </w:rPr>
        <w:t>08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160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К</w:t>
      </w:r>
      <w:r w:rsidR="00B7185F" w:rsidRPr="00B7185F">
        <w:rPr>
          <w:lang w:val="uk-UA"/>
        </w:rPr>
        <w:t xml:space="preserve">., </w:t>
      </w:r>
      <w:r w:rsidRPr="00B7185F">
        <w:rPr>
          <w:lang w:val="uk-UA"/>
        </w:rPr>
        <w:t>2008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82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внесення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змін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нормативно-правових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актів,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затверджених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наказом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МВС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31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берез</w:t>
      </w:r>
      <w:r w:rsidR="00B7185F">
        <w:rPr>
          <w:lang w:val="uk-UA"/>
        </w:rPr>
        <w:t>. 20</w:t>
      </w:r>
      <w:r w:rsidRPr="00B7185F">
        <w:rPr>
          <w:lang w:val="uk-UA"/>
        </w:rPr>
        <w:t>08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160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Наказ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МВС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2</w:t>
      </w:r>
      <w:r w:rsidR="00B7185F" w:rsidRPr="00B7185F">
        <w:rPr>
          <w:lang w:val="en-US"/>
        </w:rPr>
        <w:t xml:space="preserve"> </w:t>
      </w:r>
      <w:r w:rsidRPr="00B7185F">
        <w:rPr>
          <w:lang w:val="uk-UA"/>
        </w:rPr>
        <w:t>лют</w:t>
      </w:r>
      <w:r w:rsidR="00B7185F">
        <w:rPr>
          <w:lang w:val="uk-UA"/>
        </w:rPr>
        <w:t>. 20</w:t>
      </w:r>
      <w:r w:rsidRPr="00B7185F">
        <w:rPr>
          <w:lang w:val="uk-UA"/>
        </w:rPr>
        <w:t>09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62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К</w:t>
      </w:r>
      <w:r w:rsidR="00B7185F" w:rsidRPr="00B7185F">
        <w:rPr>
          <w:lang w:val="uk-UA"/>
        </w:rPr>
        <w:t xml:space="preserve">., </w:t>
      </w:r>
      <w:r w:rsidRPr="00B7185F">
        <w:rPr>
          <w:lang w:val="uk-UA"/>
        </w:rPr>
        <w:t>2009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4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B7185F" w:rsidRPr="00B7185F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Про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затвердження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Інструкції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організації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взаємодії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органів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досудового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слідства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оперативними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підрозділами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органів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внутрішніх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справ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виявленні,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документуванні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розслідуванні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злочинів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сфері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економіки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Наказ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МВС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України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від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8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верес</w:t>
      </w:r>
      <w:r w:rsidR="00B7185F">
        <w:rPr>
          <w:lang w:val="uk-UA"/>
        </w:rPr>
        <w:t>. 20</w:t>
      </w:r>
      <w:r w:rsidRPr="00B7185F">
        <w:rPr>
          <w:lang w:val="uk-UA"/>
        </w:rPr>
        <w:t>05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</w:t>
      </w:r>
      <w:r w:rsidR="00B7185F" w:rsidRPr="00B7185F">
        <w:rPr>
          <w:lang w:val="uk-UA"/>
        </w:rPr>
        <w:t xml:space="preserve">. </w:t>
      </w:r>
      <w:r w:rsidRPr="00B7185F">
        <w:rPr>
          <w:lang w:val="uk-UA"/>
        </w:rPr>
        <w:t>№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760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К</w:t>
      </w:r>
      <w:r w:rsidR="00B7185F" w:rsidRPr="00B7185F">
        <w:rPr>
          <w:lang w:val="uk-UA"/>
        </w:rPr>
        <w:t xml:space="preserve">., </w:t>
      </w:r>
      <w:r w:rsidRPr="00B7185F">
        <w:rPr>
          <w:lang w:val="uk-UA"/>
        </w:rPr>
        <w:t>2005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19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9F2F31" w:rsidRDefault="003357BF" w:rsidP="00B7185F">
      <w:pPr>
        <w:pStyle w:val="a"/>
        <w:rPr>
          <w:lang w:val="uk-UA"/>
        </w:rPr>
      </w:pPr>
      <w:r w:rsidRPr="00B7185F">
        <w:rPr>
          <w:lang w:val="uk-UA"/>
        </w:rPr>
        <w:t>Таджиев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</w:t>
      </w:r>
      <w:r w:rsidR="00B7185F">
        <w:rPr>
          <w:lang w:val="uk-UA"/>
        </w:rPr>
        <w:t xml:space="preserve">.С. </w:t>
      </w:r>
      <w:r w:rsidRPr="00B7185F">
        <w:rPr>
          <w:lang w:val="uk-UA"/>
        </w:rPr>
        <w:t>Прокурорський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надзор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ведомственн</w:t>
      </w:r>
      <w:r w:rsidRPr="00B7185F">
        <w:t>ый</w:t>
      </w:r>
      <w:r w:rsidR="00B7185F" w:rsidRPr="00B7185F">
        <w:t xml:space="preserve"> </w:t>
      </w:r>
      <w:r w:rsidRPr="00B7185F">
        <w:rPr>
          <w:lang w:val="uk-UA"/>
        </w:rPr>
        <w:t>контроль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за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расследованием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преступлений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вопросы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теории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практики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/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Таджиев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Х</w:t>
      </w:r>
      <w:r w:rsidR="00B7185F">
        <w:rPr>
          <w:lang w:val="uk-UA"/>
        </w:rPr>
        <w:t xml:space="preserve">.С. - </w:t>
      </w:r>
      <w:r w:rsidRPr="00B7185F">
        <w:rPr>
          <w:lang w:val="uk-UA"/>
        </w:rPr>
        <w:t>Ташкент</w:t>
      </w:r>
      <w:r w:rsidR="00B7185F" w:rsidRPr="00B7185F">
        <w:rPr>
          <w:lang w:val="uk-UA"/>
        </w:rPr>
        <w:t xml:space="preserve">: </w:t>
      </w:r>
      <w:r w:rsidRPr="00B7185F">
        <w:rPr>
          <w:lang w:val="uk-UA"/>
        </w:rPr>
        <w:t>Фан,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1985</w:t>
      </w:r>
      <w:r w:rsidR="00B7185F">
        <w:rPr>
          <w:lang w:val="uk-UA"/>
        </w:rPr>
        <w:t xml:space="preserve">. - </w:t>
      </w:r>
      <w:r w:rsidRPr="00B7185F">
        <w:rPr>
          <w:lang w:val="uk-UA"/>
        </w:rPr>
        <w:t>183</w:t>
      </w:r>
      <w:r w:rsidR="00B7185F" w:rsidRPr="00B7185F">
        <w:rPr>
          <w:lang w:val="uk-UA"/>
        </w:rPr>
        <w:t xml:space="preserve"> </w:t>
      </w:r>
      <w:r w:rsidRPr="00B7185F">
        <w:rPr>
          <w:lang w:val="uk-UA"/>
        </w:rPr>
        <w:t>с</w:t>
      </w:r>
      <w:r w:rsidR="00B7185F" w:rsidRPr="00B7185F">
        <w:rPr>
          <w:lang w:val="uk-UA"/>
        </w:rPr>
        <w:t>.</w:t>
      </w:r>
    </w:p>
    <w:p w:rsidR="00481718" w:rsidRPr="00481718" w:rsidRDefault="00481718" w:rsidP="00481718">
      <w:pPr>
        <w:pStyle w:val="af7"/>
        <w:rPr>
          <w:lang w:val="uk-UA"/>
        </w:rPr>
      </w:pPr>
      <w:bookmarkStart w:id="0" w:name="_GoBack"/>
      <w:bookmarkEnd w:id="0"/>
    </w:p>
    <w:sectPr w:rsidR="00481718" w:rsidRPr="00481718" w:rsidSect="00B7185F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6A3" w:rsidRDefault="009856A3">
      <w:r>
        <w:separator/>
      </w:r>
    </w:p>
  </w:endnote>
  <w:endnote w:type="continuationSeparator" w:id="0">
    <w:p w:rsidR="009856A3" w:rsidRDefault="0098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6A3" w:rsidRDefault="009856A3">
      <w:r>
        <w:separator/>
      </w:r>
    </w:p>
  </w:footnote>
  <w:footnote w:type="continuationSeparator" w:id="0">
    <w:p w:rsidR="009856A3" w:rsidRDefault="00985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85F" w:rsidRDefault="00B7185F" w:rsidP="00B7185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54A7D"/>
    <w:multiLevelType w:val="hybridMultilevel"/>
    <w:tmpl w:val="0B30A6F0"/>
    <w:lvl w:ilvl="0" w:tplc="98B0134A">
      <w:numFmt w:val="bullet"/>
      <w:lvlText w:val="–"/>
      <w:lvlJc w:val="left"/>
      <w:pPr>
        <w:tabs>
          <w:tab w:val="num" w:pos="481"/>
        </w:tabs>
        <w:ind w:left="818" w:hanging="818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-1654"/>
        </w:tabs>
        <w:ind w:left="-16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934"/>
        </w:tabs>
        <w:ind w:left="-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214"/>
        </w:tabs>
        <w:ind w:left="-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6"/>
        </w:tabs>
        <w:ind w:left="5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26"/>
        </w:tabs>
        <w:ind w:left="12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946"/>
        </w:tabs>
        <w:ind w:left="19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666"/>
        </w:tabs>
        <w:ind w:left="26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386"/>
        </w:tabs>
        <w:ind w:left="3386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CB7A24"/>
    <w:multiLevelType w:val="hybridMultilevel"/>
    <w:tmpl w:val="9A2401CA"/>
    <w:lvl w:ilvl="0" w:tplc="E5CA0B08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BF"/>
    <w:rsid w:val="000715C2"/>
    <w:rsid w:val="000D42F6"/>
    <w:rsid w:val="000F305E"/>
    <w:rsid w:val="00171A54"/>
    <w:rsid w:val="001771A8"/>
    <w:rsid w:val="00190055"/>
    <w:rsid w:val="001D11A1"/>
    <w:rsid w:val="001D7F28"/>
    <w:rsid w:val="002053D7"/>
    <w:rsid w:val="00220588"/>
    <w:rsid w:val="00231FFE"/>
    <w:rsid w:val="002330CE"/>
    <w:rsid w:val="002656FC"/>
    <w:rsid w:val="00273954"/>
    <w:rsid w:val="002F4991"/>
    <w:rsid w:val="003357BF"/>
    <w:rsid w:val="00375688"/>
    <w:rsid w:val="0039586E"/>
    <w:rsid w:val="003B3A5F"/>
    <w:rsid w:val="003C7FE8"/>
    <w:rsid w:val="003D7788"/>
    <w:rsid w:val="004143A0"/>
    <w:rsid w:val="00416000"/>
    <w:rsid w:val="00481718"/>
    <w:rsid w:val="004B420A"/>
    <w:rsid w:val="004F76B3"/>
    <w:rsid w:val="005B35D9"/>
    <w:rsid w:val="005C5E63"/>
    <w:rsid w:val="005E2896"/>
    <w:rsid w:val="005E4395"/>
    <w:rsid w:val="006341F2"/>
    <w:rsid w:val="006E3084"/>
    <w:rsid w:val="006E59B5"/>
    <w:rsid w:val="00715D5A"/>
    <w:rsid w:val="0073492E"/>
    <w:rsid w:val="00740014"/>
    <w:rsid w:val="007D53C5"/>
    <w:rsid w:val="007D69FD"/>
    <w:rsid w:val="00807A29"/>
    <w:rsid w:val="0084039F"/>
    <w:rsid w:val="00842F15"/>
    <w:rsid w:val="008813F5"/>
    <w:rsid w:val="00896E8A"/>
    <w:rsid w:val="00903A0A"/>
    <w:rsid w:val="00937FD3"/>
    <w:rsid w:val="009856A3"/>
    <w:rsid w:val="009A43AD"/>
    <w:rsid w:val="009F2F31"/>
    <w:rsid w:val="00A05F2A"/>
    <w:rsid w:val="00A8069D"/>
    <w:rsid w:val="00A87217"/>
    <w:rsid w:val="00A923F4"/>
    <w:rsid w:val="00AF39BF"/>
    <w:rsid w:val="00B138FD"/>
    <w:rsid w:val="00B24FEF"/>
    <w:rsid w:val="00B471D4"/>
    <w:rsid w:val="00B7185F"/>
    <w:rsid w:val="00B926D5"/>
    <w:rsid w:val="00BC2B7D"/>
    <w:rsid w:val="00BE7D17"/>
    <w:rsid w:val="00C06DCB"/>
    <w:rsid w:val="00C167AB"/>
    <w:rsid w:val="00C25413"/>
    <w:rsid w:val="00C32289"/>
    <w:rsid w:val="00C4143F"/>
    <w:rsid w:val="00C519DC"/>
    <w:rsid w:val="00C74734"/>
    <w:rsid w:val="00CC73CF"/>
    <w:rsid w:val="00CE4B8A"/>
    <w:rsid w:val="00D25FE6"/>
    <w:rsid w:val="00D574C2"/>
    <w:rsid w:val="00D86A22"/>
    <w:rsid w:val="00DA5940"/>
    <w:rsid w:val="00DD0076"/>
    <w:rsid w:val="00E07DA9"/>
    <w:rsid w:val="00E1559D"/>
    <w:rsid w:val="00E74399"/>
    <w:rsid w:val="00E85909"/>
    <w:rsid w:val="00EB3CE0"/>
    <w:rsid w:val="00F00060"/>
    <w:rsid w:val="00F06AAB"/>
    <w:rsid w:val="00F370F7"/>
    <w:rsid w:val="00F41D11"/>
    <w:rsid w:val="00F508C7"/>
    <w:rsid w:val="00F678E6"/>
    <w:rsid w:val="00F71152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6B76FB-0BA7-4829-A0BD-0387C4E5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B7185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B7185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B7185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B7185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B7185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B7185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B7185F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B7185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B7185F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B7185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B7185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7185F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B7185F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paragraph" w:styleId="aa">
    <w:name w:val="footnote text"/>
    <w:basedOn w:val="a1"/>
    <w:link w:val="ab"/>
    <w:autoRedefine/>
    <w:uiPriority w:val="99"/>
    <w:semiHidden/>
    <w:rsid w:val="00B7185F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B7185F"/>
    <w:rPr>
      <w:rFonts w:cs="Times New Roman"/>
      <w:color w:val="000000"/>
      <w:lang w:val="ru-RU" w:eastAsia="ru-RU" w:bidi="ar-SA"/>
    </w:rPr>
  </w:style>
  <w:style w:type="character" w:customStyle="1" w:styleId="a7">
    <w:name w:val="Верхний колонтитул Знак"/>
    <w:link w:val="a5"/>
    <w:uiPriority w:val="99"/>
    <w:semiHidden/>
    <w:locked/>
    <w:rsid w:val="00B7185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B7185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7185F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1"/>
    <w:next w:val="a1"/>
    <w:autoRedefine/>
    <w:uiPriority w:val="99"/>
    <w:rsid w:val="00B7185F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B7185F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B7185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B7185F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B7185F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B7185F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B7185F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B7185F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B7185F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B7185F"/>
    <w:rPr>
      <w:color w:val="FFFFFF"/>
    </w:rPr>
  </w:style>
  <w:style w:type="paragraph" w:customStyle="1" w:styleId="af8">
    <w:name w:val="содержание"/>
    <w:uiPriority w:val="99"/>
    <w:rsid w:val="00B7185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7185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B7185F"/>
    <w:pPr>
      <w:jc w:val="center"/>
    </w:pPr>
  </w:style>
  <w:style w:type="paragraph" w:customStyle="1" w:styleId="afa">
    <w:name w:val="ТАБЛИЦА"/>
    <w:next w:val="a1"/>
    <w:autoRedefine/>
    <w:uiPriority w:val="99"/>
    <w:rsid w:val="00B7185F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B7185F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B7185F"/>
    <w:pPr>
      <w:spacing w:line="360" w:lineRule="auto"/>
      <w:jc w:val="center"/>
    </w:pPr>
    <w:rPr>
      <w:noProof/>
      <w:sz w:val="28"/>
      <w:szCs w:val="28"/>
    </w:rPr>
  </w:style>
  <w:style w:type="numbering" w:customStyle="1" w:styleId="a0">
    <w:name w:val="Стиль нумерованный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3803</Words>
  <Characters>21683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ПРОЦЕСУАЛЬНИХ ГАРАНТІЙ ПРАВ І СВОБОД УЧАСНИКІВ КРИМІНАЛЬНОГО СУДОЧИНСТВА ПІД ЧАС ПРОВЕДЕННЯ СЛІДЧИХ ДІЙ</vt:lpstr>
    </vt:vector>
  </TitlesOfParts>
  <Company>!!!</Company>
  <LinksUpToDate>false</LinksUpToDate>
  <CharactersWithSpaces>25436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ПРОЦЕСУАЛЬНИХ ГАРАНТІЙ ПРАВ І СВОБОД УЧАСНИКІВ КРИМІНАЛЬНОГО СУДОЧИНСТВА ПІД ЧАС ПРОВЕДЕННЯ СЛІДЧИХ ДІЙ</dc:title>
  <dc:subject/>
  <dc:creator>!!!</dc:creator>
  <cp:keywords/>
  <dc:description/>
  <cp:lastModifiedBy>admin</cp:lastModifiedBy>
  <cp:revision>2</cp:revision>
  <dcterms:created xsi:type="dcterms:W3CDTF">2014-03-27T05:18:00Z</dcterms:created>
  <dcterms:modified xsi:type="dcterms:W3CDTF">2014-03-27T05:18:00Z</dcterms:modified>
</cp:coreProperties>
</file>