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Провадження по забезпеченню безпеки осіб, які беруть участь у кримінальному судочинстві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</w:p>
    <w:p w:rsidR="00652E3E" w:rsidRPr="00431F44" w:rsidRDefault="00431F44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br w:type="page"/>
      </w:r>
      <w:r w:rsidR="00652E3E"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Головним елементом структури юридичного процесу є процесуальне провадження. Провадження – це системне утворення, комплекс взаємозалежних і взаємообумовлених процесуальних дій, які:</w:t>
      </w:r>
    </w:p>
    <w:p w:rsidR="00652E3E" w:rsidRPr="00431F44" w:rsidRDefault="00652E3E" w:rsidP="00431F44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sz w:val="28"/>
          <w:szCs w:val="28"/>
          <w:lang w:val="uk-UA"/>
        </w:rPr>
        <w:t>– по-перше, утворюють певну сукупність процесуальних відносин, що відрізняються предметною характеристикою та зв’язком з відповідними матеріальними правовідносинами;</w:t>
      </w:r>
    </w:p>
    <w:p w:rsidR="00652E3E" w:rsidRPr="00431F44" w:rsidRDefault="00652E3E" w:rsidP="00431F44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sz w:val="28"/>
          <w:szCs w:val="28"/>
          <w:lang w:val="uk-UA"/>
        </w:rPr>
        <w:t>– по-друге, викликають потреби встановлення, доведення, а також обґрунтування всіх обставин справи;</w:t>
      </w:r>
    </w:p>
    <w:p w:rsidR="00652E3E" w:rsidRPr="00431F44" w:rsidRDefault="00652E3E" w:rsidP="00431F44">
      <w:pPr>
        <w:pStyle w:val="a7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sz w:val="28"/>
          <w:szCs w:val="28"/>
          <w:lang w:val="uk-UA"/>
        </w:rPr>
        <w:t>– по-третє, обумовлюють необхідність закріплення, офіційного оформлення отриманих процесуальних результатів у відповідних актах і документах.</w:t>
      </w:r>
    </w:p>
    <w:p w:rsidR="00652E3E" w:rsidRPr="00431F44" w:rsidRDefault="00652E3E" w:rsidP="00431F44">
      <w:pPr>
        <w:pStyle w:val="a7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sz w:val="28"/>
          <w:szCs w:val="28"/>
          <w:lang w:val="uk-UA"/>
        </w:rPr>
        <w:t>Провадження по забезпеченню безпеки осіб, які беруть участь у кримінальному судочинстві, – складне комплексне явище. У ньому сполучаються і взаємодіють декілька проваджень, насамперед кримінально-процесуальне і адміністративно-процесуальне. [1].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Таку думку підтверджує ст. 3 Закону України “Про забезпечення безпеки осіб, які беруть участь у кримінальному судочинстві”, згідно з якою органи, які забезпечують безпеку, поділяються на органи, які: а) приймають рішення про застосування заходів безпеки; б) здійснюють заходи безпеки.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перших відносять о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рган дізнання, слідчого, прокурора або суд. Вони діють в межах КПК України, тому їх діяльність є </w:t>
      </w:r>
      <w:r w:rsidRPr="00431F44">
        <w:rPr>
          <w:rFonts w:ascii="Times New Roman" w:eastAsia="MS Mincho" w:hAnsi="Times New Roman" w:cs="Times New Roman"/>
          <w:color w:val="auto"/>
          <w:sz w:val="28"/>
          <w:szCs w:val="28"/>
          <w:lang w:val="uk-UA"/>
        </w:rPr>
        <w:t xml:space="preserve">кримінально-процесуальною за характером дій, формами рішень, що приймаються. До других належать, насамперед, підрозділи судової міліції. 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Їх діяльність за характером і формами є адміністративно-процесуальною.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Тому в цьому підрозділі автор поставив завдання: 1) дослідити правову природу провадження по забезпеченню безпеки осіб, які беруть участь в кримінальному судочинстві, з позицій науки адміністративного права; 2) проаналізувати деякі проблемні аспекти провадження по забезпеченню безпеки осіб адміністративно-процесуального характеру; 3) на основі проведеного аналізу внести свої пропозиції щодо удосконалення провадження по забезпеченню безпеки осіб, які беруть участь у кримінальному судочинстві.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Адміністративно-процесуальний характер діяльності підрозділів судової міліції при здійсненні заходів безпеки є одним з дискусійних питань юридичної науки, яке ще потребує детального наукового обгрунтування на теоретичному рівні.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Одні науковці вважають, що адміністративно-процесуальне право – це правовий інститут адміністративного права. Так, В. Авер’янов виділяє в структурі адміністративного права два правових інститути:</w:t>
      </w:r>
    </w:p>
    <w:p w:rsidR="00652E3E" w:rsidRPr="00431F44" w:rsidRDefault="00652E3E" w:rsidP="00431F44">
      <w:pPr>
        <w:pStyle w:val="3"/>
        <w:ind w:firstLine="709"/>
        <w:jc w:val="both"/>
        <w:rPr>
          <w:color w:val="auto"/>
        </w:rPr>
      </w:pPr>
      <w:r w:rsidRPr="00431F44">
        <w:rPr>
          <w:color w:val="auto"/>
        </w:rPr>
        <w:t>1) інститут “позитивного” адміністративного процесу, що містить у собі адміністративні правозабезпечувальні і правоохоронні провадження, які охоплюють процедури розгляду заяв і скарг приватних осіб, у тому числі надання їм різних адміністративних послуг;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2) інститут юрисдикційного адміністративного процесу, що містить у собі адміністративно-юрисдикційні провадження, які охоплюють процедури застосування заходів адміністративного примусу, включаючи відносини адміністративної відповідальності [8, с. 21].</w:t>
      </w:r>
    </w:p>
    <w:p w:rsidR="00652E3E" w:rsidRPr="00431F44" w:rsidRDefault="00652E3E" w:rsidP="00431F44">
      <w:pPr>
        <w:pStyle w:val="a5"/>
        <w:ind w:firstLine="709"/>
        <w:rPr>
          <w:sz w:val="28"/>
          <w:szCs w:val="28"/>
        </w:rPr>
      </w:pPr>
      <w:r w:rsidRPr="00431F44">
        <w:rPr>
          <w:sz w:val="28"/>
          <w:szCs w:val="28"/>
        </w:rPr>
        <w:t>Іноді висловлюються думки про те, що адміністративно-процесуальне право – це підгалузь адміністративного, що регулює специфічний вид відносин у межах сфери правового регулювання адміністративного права.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Найбільш поширеною останнім часом у юридичній літературі є думка, що характеризує адміністративно-процесуальне право як галузь права. Причому такі погляди відстоюють не тільки представники науки адміністративного права,  але й вчені, які вивчають проблеми теорії держави і</w:t>
      </w:r>
      <w:r w:rsidRPr="00431F44">
        <w:rPr>
          <w:iCs/>
          <w:sz w:val="28"/>
          <w:szCs w:val="28"/>
          <w:lang w:val="uk-UA"/>
        </w:rPr>
        <w:t xml:space="preserve"> </w:t>
      </w:r>
      <w:r w:rsidRPr="00431F44">
        <w:rPr>
          <w:sz w:val="28"/>
          <w:szCs w:val="28"/>
          <w:lang w:val="uk-UA"/>
        </w:rPr>
        <w:t>права. Таке різноманіття думок учених про місце адміністративно-процесуального права в системі права України вимагає спеціальних наукових розробок, де б послідовно і обґрунтовано вирішувалися питання: співвідношення та чіткого розмежування адміністративно-матеріальних і адміністративно-процесуальних норм і відносин; співвідношення понять “процедура” і “процес”; співвідношення понять “правозастосовна діяльність” і “процес”, а виходячи із цього, визначалися зміст і структура адміністративного процесу.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У сучасній юридичній літературі існують два основних підходи до визначення та розуміння адміністративного процесу: вузький і широкий.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Адміністративний процес у вузькому аспекті (адміністративно-юрисдикційний процес) – це регламентована законом діяльність із вирішення спорів, що виникають між сторонами адміністративних правовідносин, які не перебувають між собою у відносинах службового підпорядкування, а також щодо застосування заходів адміністративного примусу.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Адміністративний процес у широкому значенні – це врегульований правом порядок розгляду індивідуально конкретних справ у сфері виконавчої діяльності органами державного управління, а в передбачених законом випадках і іншими, уповноваженими на те органами. Широке трактування адміністративного процесу дозволяє включити до нього, крім адміністративно-юрисдикційних, також провадження управлінського характеру.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Розбіжності вчених у розумінні адміністративного процесу не могли не позначитися на теоретичних розробках питання про структуру адміністративного процесу. На даному етапі розвитку науки адміністративного права структуру адміністративного процесу можна подати у вигляді чотирьохрівневої системи, що містить у собі: 1) провадження; 2) стадії; 3) етапи; 4) дії.</w:t>
      </w:r>
    </w:p>
    <w:p w:rsidR="00652E3E" w:rsidRPr="00431F44" w:rsidRDefault="00652E3E" w:rsidP="00431F44">
      <w:pPr>
        <w:pStyle w:val="a5"/>
        <w:ind w:firstLine="709"/>
        <w:rPr>
          <w:sz w:val="28"/>
          <w:szCs w:val="28"/>
        </w:rPr>
      </w:pPr>
      <w:r w:rsidRPr="00431F44">
        <w:rPr>
          <w:sz w:val="28"/>
          <w:szCs w:val="28"/>
        </w:rPr>
        <w:t>Головна особливість структури адміністративного процесу порівняно зі структурою цивільного або кримінального процесу полягає в тому, що визначити точну кількість адміністративних проваджень практично неможливо. Тому кожний учений називає свою кількість проваджень, залежно від того чи іншого критерію класифікації.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Прихильники вузького розуміння адміністративного процесу представляли його структуру переліком проваджень із вирішення спорів і застосування заходів примусу в державному управлінні. Прихильники широкого трактування адміністративного процесу включають до його структури юрисдикційні і управлінські (позитивні) провадження. Тому в юридичній літературі зустрічаються різні думки щодо кількості адміністративних проваджень і критеріїв їх класифікації.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Так, залежно від суб’єкта, що веде адміністративне провадження, їх поділяють на: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1) провадження, які реалізуються в судовому порядку;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2) провадження, здійснювані органами державної виконавчої влади та іншими організаціями, передбаченими чинним законодавством України.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Оскільки міліція  є державним  озброєним органом виконавчої влади (ст. 1 Закону України “Про міліцію”), а судова міліція – складовою частиною міліції (ст. 7 Закону України “Про міліцію”) то провадження по забезпеченню безпеки осіб, які беруть участь у кримінальному судочинстві, відноситься до другого виду проваджень.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Проте окремі заходи безпеки можна застосовувати тільки в судовому порядку. Так, з</w:t>
      </w:r>
      <w:r w:rsidRPr="00431F44">
        <w:rPr>
          <w:noProof/>
          <w:sz w:val="28"/>
          <w:szCs w:val="28"/>
          <w:lang w:val="uk-UA"/>
        </w:rPr>
        <w:t>акрите судове засідання</w:t>
      </w:r>
      <w:r w:rsidRPr="00431F44">
        <w:rPr>
          <w:sz w:val="28"/>
          <w:szCs w:val="28"/>
          <w:lang w:val="uk-UA"/>
        </w:rPr>
        <w:t xml:space="preserve"> провадиться за мотивованою ухвалою суду (ст. 16 Закону України “Про забезпечення безпеки осіб, які беруть участь у кримінальному судочинстві”). </w:t>
      </w:r>
      <w:r w:rsidRPr="00431F44">
        <w:rPr>
          <w:noProof/>
          <w:sz w:val="28"/>
          <w:szCs w:val="28"/>
          <w:lang w:val="uk-UA"/>
        </w:rPr>
        <w:t xml:space="preserve">Заміна документів, зміна зовнішності та переселення в інше місце проживання особи, взятої під захист, також можуть бути проведені лише за ухвалою суду (або за санкцією прокурора) (ч. 3 ст. 13 </w:t>
      </w:r>
      <w:r w:rsidRPr="00431F44">
        <w:rPr>
          <w:sz w:val="28"/>
          <w:szCs w:val="28"/>
          <w:lang w:val="uk-UA"/>
        </w:rPr>
        <w:t>Закону України “Про забезпечення безпеки осіб, які беруть участь у кримінальному судочинстві”).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У свою чергу, провадження, здійснювані органами державної виконавчої влади, можна розділити на дві групи: 1) юрисдикційні провадження; 2) провадження управлінського характеру.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До адміністративно-юрисдикційних проваджень доцільно віднести: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1) провадження у справах про адміністративні правопорушення; 2) провадження по застосуванню заходів попередження і припинення; 3) провадження по скаргах в органах виконавчої влади; 4) дисциплінарне провадження; 5) адміністративне судочинство.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 xml:space="preserve">Провадження по забезпеченню безпеки, належить до проваджень по застосуванню заходів попередження і припинення. Це прямо випливає із поняття </w:t>
      </w:r>
      <w:r w:rsidRPr="00431F44">
        <w:rPr>
          <w:noProof/>
          <w:sz w:val="28"/>
          <w:szCs w:val="28"/>
          <w:lang w:val="uk-UA"/>
        </w:rPr>
        <w:t xml:space="preserve">забезпечення безпеки осіб, які беруть участь у кримінальному судочинстві (ст. 1 Закону України “Про забезпечення безпеки </w:t>
      </w:r>
      <w:r w:rsidRPr="00431F44">
        <w:rPr>
          <w:sz w:val="28"/>
          <w:szCs w:val="28"/>
          <w:lang w:val="uk-UA"/>
        </w:rPr>
        <w:t>осіб, які беруть участь у кримінальному судочинстві”</w:t>
      </w:r>
      <w:r w:rsidRPr="00431F44">
        <w:rPr>
          <w:noProof/>
          <w:sz w:val="28"/>
          <w:szCs w:val="28"/>
          <w:lang w:val="uk-UA"/>
        </w:rPr>
        <w:t>). Про “припинення” також йдеться в п. 2.1 “Основні завдання та функції” Положення про спеціальний підрозділ судової міліції “Грифон” [4].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Проте в процесі здійснення провадження по забезпеченню безпеки судовій міліції доводиться брати участь у провадженнях управлінського (позитивного) характеру. Провадження  управлінського (позитивного) характеру залежно від специфіки відносин державних органів із громадянами і юридичними особами, можна розділити на такі види:</w:t>
      </w:r>
    </w:p>
    <w:p w:rsidR="00652E3E" w:rsidRPr="00431F44" w:rsidRDefault="00652E3E" w:rsidP="00431F44">
      <w:pPr>
        <w:pStyle w:val="a5"/>
        <w:ind w:firstLine="709"/>
        <w:rPr>
          <w:sz w:val="28"/>
          <w:szCs w:val="28"/>
        </w:rPr>
      </w:pPr>
      <w:r w:rsidRPr="00431F44">
        <w:rPr>
          <w:sz w:val="28"/>
          <w:szCs w:val="28"/>
        </w:rPr>
        <w:t>1) провадження по наданню прав – регулюють діяльність адміністративних органів у сфері надання фізичним і юридичним особам суб’єктивних публічних прав або визнання за ними певного правового статусу (провадження про одержання громадянами статусу біженця, провадження по одержанню житла та ін).</w:t>
      </w:r>
    </w:p>
    <w:p w:rsidR="00652E3E" w:rsidRPr="00431F44" w:rsidRDefault="00652E3E" w:rsidP="00431F44">
      <w:pPr>
        <w:pStyle w:val="a3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431F44">
        <w:rPr>
          <w:b w:val="0"/>
          <w:bCs w:val="0"/>
          <w:sz w:val="28"/>
          <w:szCs w:val="28"/>
          <w:lang w:val="uk-UA"/>
        </w:rPr>
        <w:t>Наприклад, застосування такого заходу безпеки як переселення в інше місце проживання, надання жилої площі (ст. 13  Закону України “Про забезпечення безпеки осіб, які беруть участь у кримінальному судочинстві”) має ознаки провадження по наданню прав;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2) провадження по забезпеченню виконання громадянами своїх обов’язків –</w:t>
      </w:r>
      <w:r w:rsidRPr="00431F44">
        <w:rPr>
          <w:i w:val="0"/>
          <w:sz w:val="28"/>
          <w:szCs w:val="28"/>
        </w:rPr>
        <w:t xml:space="preserve"> </w:t>
      </w:r>
      <w:r w:rsidRPr="00431F44">
        <w:rPr>
          <w:i w:val="0"/>
          <w:iCs w:val="0"/>
          <w:sz w:val="28"/>
          <w:szCs w:val="28"/>
        </w:rPr>
        <w:t xml:space="preserve"> (провадження по виконанню громадянами військового обов’язку, провадження по виконанню  громадянами обов’язку мати паспорт тощо).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noProof/>
          <w:sz w:val="28"/>
          <w:szCs w:val="28"/>
        </w:rPr>
        <w:t xml:space="preserve">Заміну документів, що посвідчують особу, інших документів особи, взятої під захист (ст. 11 </w:t>
      </w:r>
      <w:r w:rsidRPr="00431F44">
        <w:rPr>
          <w:i w:val="0"/>
          <w:iCs w:val="0"/>
          <w:sz w:val="28"/>
          <w:szCs w:val="28"/>
        </w:rPr>
        <w:t>Закону України “Про забезпечення безпеки осіб, які беруть участь у кримінальному судочинстві”)</w:t>
      </w:r>
      <w:r w:rsidRPr="00431F44">
        <w:rPr>
          <w:i w:val="0"/>
          <w:iCs w:val="0"/>
          <w:noProof/>
          <w:sz w:val="28"/>
          <w:szCs w:val="28"/>
        </w:rPr>
        <w:t xml:space="preserve"> можна віднести до </w:t>
      </w:r>
      <w:r w:rsidRPr="00431F44">
        <w:rPr>
          <w:i w:val="0"/>
          <w:iCs w:val="0"/>
          <w:sz w:val="28"/>
          <w:szCs w:val="28"/>
        </w:rPr>
        <w:t>провадження по забезпеченню виконання громадянами своїх обов’язків;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3) ліцензійно-дозвільні провадження – провадження по видачі спеціальних дозволів, провадження по виконанню правил дозвільної системи тощо.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noProof/>
          <w:sz w:val="28"/>
          <w:szCs w:val="28"/>
        </w:rPr>
        <w:t xml:space="preserve">Так, видача спеціальних засобів індивідуального захисту і сповіщення про небезпеку (ст. 9 Закону України “Про забезпечення безпеки </w:t>
      </w:r>
      <w:r w:rsidRPr="00431F44">
        <w:rPr>
          <w:i w:val="0"/>
          <w:iCs w:val="0"/>
          <w:sz w:val="28"/>
          <w:szCs w:val="28"/>
        </w:rPr>
        <w:t>осіб, які беруть участь у кримінальному судочинстві</w:t>
      </w:r>
      <w:r w:rsidRPr="00431F44">
        <w:rPr>
          <w:i w:val="0"/>
          <w:iCs w:val="0"/>
          <w:noProof/>
          <w:sz w:val="28"/>
          <w:szCs w:val="28"/>
        </w:rPr>
        <w:t xml:space="preserve">”) має всі ознаки </w:t>
      </w:r>
      <w:r w:rsidRPr="00431F44">
        <w:rPr>
          <w:i w:val="0"/>
          <w:iCs w:val="0"/>
          <w:sz w:val="28"/>
          <w:szCs w:val="28"/>
        </w:rPr>
        <w:t>ліцензійно-дозвільного провадження. Особам, які беруть участь у кримінальному судочинстві, може видаватися газова зброя (пістолет, револьвер) і комплект патронів сльозоточивої та дратівливої дії. Перш ніж отримати ці спецзасоби, особа повинна отримати дозвіл на носіння, тобто пройти дозвільні процедури, передбачені наказом МВС № 523 від 24.07.1996 р.;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4) реєстраційні провадження – провадження по реєстрації актів органів державної виконавчої влади; провадження по реєстрації суб’єктів господарської діяльності; провадження по реєстрації громадських об’єднань і ін.;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5) контрольно-наглядові провадження – охоплюють діяльність державних органів з контролю за дотриманням фізичними і юридичними особами вимог законодавства.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Судова міліція згідно з ч. 2 ст. 6. Закону України “Про забезпечення безпеки </w:t>
      </w:r>
      <w:r w:rsidRPr="00431F44">
        <w:rPr>
          <w:sz w:val="28"/>
          <w:szCs w:val="28"/>
          <w:lang w:val="uk-UA"/>
        </w:rPr>
        <w:t>осіб, які беруть участь у кримінальному судочинстві</w:t>
      </w:r>
      <w:r w:rsidRPr="00431F44">
        <w:rPr>
          <w:noProof/>
          <w:sz w:val="28"/>
          <w:szCs w:val="28"/>
          <w:lang w:val="uk-UA"/>
        </w:rPr>
        <w:t>” вправі “вимагати від осіб, взятих під захист, додержання умов здійснення заходів безпеки, а також виконання законних розпоряджень, пов’язаних із застосуванням цих заходів”.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Рішення, прийняті судовою міліцією в межах її компетенції, є “обов’язковими для виконання відповідними органами, підприємствами, установами, організаціями та їх посадовими особами” (ст. 23 Закону України “Про забезпечення безпеки </w:t>
      </w:r>
      <w:r w:rsidRPr="00431F44">
        <w:rPr>
          <w:sz w:val="28"/>
          <w:szCs w:val="28"/>
          <w:lang w:val="uk-UA"/>
        </w:rPr>
        <w:t>осіб, які беруть участь у кримінальному судочинстві</w:t>
      </w:r>
      <w:r w:rsidRPr="00431F44">
        <w:rPr>
          <w:noProof/>
          <w:sz w:val="28"/>
          <w:szCs w:val="28"/>
          <w:lang w:val="uk-UA"/>
        </w:rPr>
        <w:t>”).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Крім того, контроль за забезпеченням безпеки осіб, які беруть участь у кримінальному судочинстві, членів їх сімей та близьких родичів здійснює Міністерство внутрішніх справ України, а нагляд за  дотриманням законності при забезпеченні безпеки учасників кримінального судочинства, членів їх сімей та близьких родичів здійснюється Генеральним прокурором України та підпорядкованими йому прокурорами (ст. 23 Закону “Про забезпечення безпеки </w:t>
      </w:r>
      <w:r w:rsidRPr="00431F44">
        <w:rPr>
          <w:sz w:val="28"/>
          <w:szCs w:val="28"/>
          <w:lang w:val="uk-UA"/>
        </w:rPr>
        <w:t>осіб, які беруть участь у кримінальному судочинстві</w:t>
      </w:r>
      <w:r w:rsidRPr="00431F44">
        <w:rPr>
          <w:noProof/>
          <w:sz w:val="28"/>
          <w:szCs w:val="28"/>
          <w:lang w:val="uk-UA"/>
        </w:rPr>
        <w:t>”).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>Таким чином, контрольно-наглядові провадження в діяльності судової міліції також мають місце.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6) державно-заохочувальні провадження – пов’язані з діяльністю державних органів щодо заохочення фізичних і юридичних осіб за заслуги перед державою і суспільством (провадження у справах про присвоєння почесних звань, про нагородження державними нагородами та ін.).</w:t>
      </w:r>
    </w:p>
    <w:p w:rsidR="00652E3E" w:rsidRPr="00431F44" w:rsidRDefault="00652E3E" w:rsidP="00431F44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Повною мірою адміністративно-правовий характер діяльності судової міліції проявляється при здійсненні нею спеціальних заходів безпеки згідно з Законом України “</w:t>
      </w:r>
      <w:r w:rsidRPr="00431F44">
        <w:rPr>
          <w:noProof/>
          <w:sz w:val="28"/>
          <w:szCs w:val="28"/>
          <w:lang w:val="uk-UA"/>
        </w:rPr>
        <w:t>Про державний захист працівників суду і правоохоронних органів”.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>Адже відповідно до ст. 2 цього Закону захисту підлягають особи (працівники суду і правоохоронних органів), які беруть безпосередню участь не тільки в кримінальному судочинстві, але і в: а) розгляді судових справ у всіх інстанціях; б) провадженні у справах про адміністративні правопорушення; г) охороні громадського порядку і громадської безпеки; д) виконанні вироків, рішень, ухвал і постанов судів, постанов органів дізнання і досудового слідства та прокурорів; е) контролі за переміщенням людей, транспортних засобів, товарів та інших предметів чи речовин через державний і митний кордон України; є) нагляді і контролі за виконанням законів.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noProof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Тут адміністративно-правовий характер здійснюваних заходів проявляється, насамперед, з моменту прийняття рішень про застосування  заходів безпеки, тому що в</w:t>
      </w:r>
      <w:r w:rsidRPr="00431F44">
        <w:rPr>
          <w:i w:val="0"/>
          <w:iCs w:val="0"/>
          <w:noProof/>
          <w:sz w:val="28"/>
          <w:szCs w:val="28"/>
        </w:rPr>
        <w:t xml:space="preserve">ідповідно до ст. 14 Закону </w:t>
      </w:r>
      <w:r w:rsidRPr="00431F44">
        <w:rPr>
          <w:i w:val="0"/>
          <w:iCs w:val="0"/>
          <w:sz w:val="28"/>
          <w:szCs w:val="28"/>
        </w:rPr>
        <w:t>“</w:t>
      </w:r>
      <w:r w:rsidRPr="00431F44">
        <w:rPr>
          <w:i w:val="0"/>
          <w:iCs w:val="0"/>
          <w:noProof/>
          <w:sz w:val="28"/>
          <w:szCs w:val="28"/>
        </w:rPr>
        <w:t>Про державний захист працівників суду і правоохоронних органів” рішення про вжиття спеціальних заходів забезпечення безпеки приймають: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а) керівники органів внутрішніх справ </w:t>
      </w:r>
      <w:r w:rsidRPr="00431F44">
        <w:rPr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щодо захисту працівників відповідного органу внутрішніх справ, державної лісової охорони, рибоохорони, митних органів, органів і установ виконання покарань та їх близьких родичів;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>б) керівники органів служби безпеки </w:t>
      </w:r>
      <w:r w:rsidRPr="00431F44">
        <w:rPr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щодо захисту працівників служби безпеки та органів системи Управління державної охорони, їх близьких родичів;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в) керівники прокуратури </w:t>
      </w:r>
      <w:r w:rsidRPr="00431F44">
        <w:rPr>
          <w:iCs/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щодо захисту працівників прокуратури та їх близьких родичів;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г) голова суду </w:t>
      </w:r>
      <w:r w:rsidRPr="00431F44">
        <w:rPr>
          <w:iCs/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щодо захисту працівників відповідного суду та інших органів, зазначених у статті 2 цього Закону, та їх близьких родичів;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д) керівники органів охорони державного кордону України </w:t>
      </w:r>
      <w:r w:rsidRPr="00431F44">
        <w:rPr>
          <w:iCs/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щодо захисту працівників цих органів та їх близьких родичів;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>е) керівники розвідувальних органів України — щодо захисту співробітників цих органів та їх близьких родичів;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 xml:space="preserve">є) керівники органів управління Військової служби правопорядку у Збройних Силах України </w:t>
      </w:r>
      <w:r w:rsidRPr="00431F44">
        <w:rPr>
          <w:iCs/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щодо захисту військовослужбовців і працівників цієї служби та їх близьких родичів.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noProof/>
          <w:sz w:val="28"/>
          <w:szCs w:val="28"/>
          <w:lang w:val="uk-UA"/>
        </w:rPr>
        <w:t>Причому заходи безпеки можуть застосовуватись і без порушення кримінальної справи. Це прямо випливає зі ст. 16 того ж Закону: “У разі, коли є достатньо даних, що вказують на ознаки злочину, в порядку, передбаченому кримінально-процесуальним законодавством, приймається рішення про порушення чи відмову у порушенні кримінальної справи або про передачу заяви (повідомлення) про злочин за підслідністю чи підсудністю”.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Самостійний (насамперед адміністративно-правовий) характер даного провадження вбачається і в строках його застосування та порядку скасування заходів безпеки.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Не випадково і в Законі “</w:t>
      </w:r>
      <w:r w:rsidRPr="00431F44">
        <w:rPr>
          <w:noProof/>
          <w:sz w:val="28"/>
          <w:szCs w:val="28"/>
          <w:lang w:val="uk-UA"/>
        </w:rPr>
        <w:t>Про забезпечення безпеки осіб, які беруть участь у кримінальному судочинстві” (ст. 21), і в Законі “Про державний захист працівників суду і правоохоронних органів” (ст. 20) строк</w:t>
      </w:r>
      <w:r w:rsidRPr="00431F44">
        <w:rPr>
          <w:sz w:val="28"/>
          <w:szCs w:val="28"/>
          <w:lang w:val="uk-UA"/>
        </w:rPr>
        <w:t xml:space="preserve"> провадження по забезпеченню безпеки не пов’язується зі строками кримінального судочинства. </w:t>
      </w:r>
      <w:r w:rsidRPr="00431F44">
        <w:rPr>
          <w:noProof/>
          <w:sz w:val="28"/>
          <w:szCs w:val="28"/>
          <w:lang w:val="uk-UA"/>
        </w:rPr>
        <w:t>Для судової міліції принципове значення мають: а) закінчення строку конкретного заходу безпеки; б) усунення загрози життю, здоров’ю, житлу і майну осіб, взятих під захист.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Навіть після винесення вироку по кримінальній справі забезпечення безпеки особи може тривати. Якщо особа набула статусу засудженого, обов’язок забезпечення її безпеки може переходити від судової міліції до органів виконання покарань.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 xml:space="preserve">Адміністративно-правовий характер даного провадження проявляється і в тому, що судова міліція може самостійно </w:t>
      </w:r>
      <w:r w:rsidRPr="00431F44">
        <w:rPr>
          <w:noProof/>
          <w:sz w:val="28"/>
          <w:szCs w:val="28"/>
          <w:lang w:val="uk-UA"/>
        </w:rPr>
        <w:t xml:space="preserve">визначати перелік заходів безпеки, засоби та методи їх застосування, в разі потреби </w:t>
      </w:r>
      <w:r w:rsidRPr="00431F44">
        <w:rPr>
          <w:sz w:val="28"/>
          <w:szCs w:val="28"/>
          <w:lang w:val="uk-UA"/>
        </w:rPr>
        <w:t xml:space="preserve">– </w:t>
      </w:r>
      <w:r w:rsidRPr="00431F44">
        <w:rPr>
          <w:noProof/>
          <w:sz w:val="28"/>
          <w:szCs w:val="28"/>
          <w:lang w:val="uk-UA"/>
        </w:rPr>
        <w:t>змінювати і доповнювати ці заходи (ст. 6 п. 2 Закону</w:t>
      </w:r>
      <w:r w:rsidRPr="00431F44">
        <w:rPr>
          <w:sz w:val="28"/>
          <w:szCs w:val="28"/>
          <w:lang w:val="uk-UA"/>
        </w:rPr>
        <w:t xml:space="preserve"> “</w:t>
      </w:r>
      <w:r w:rsidRPr="00431F44">
        <w:rPr>
          <w:noProof/>
          <w:sz w:val="28"/>
          <w:szCs w:val="28"/>
          <w:lang w:val="uk-UA"/>
        </w:rPr>
        <w:t>Про забезпечення безпеки осіб, які беруть участь у кримінальному судочинстві”; ст. 18 п. 2 Закону “Про державний захист працівників суду і правоохоронних органів”).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noProof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Потребує свого дослідження і постанова про забезпечення безпеки як адміністративно-правовий акт.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 xml:space="preserve">Якщо рішення про застосування заходів безпеки прийнято відповідно до Закону України </w:t>
      </w:r>
      <w:r w:rsidRPr="00431F44">
        <w:rPr>
          <w:noProof/>
          <w:sz w:val="28"/>
          <w:szCs w:val="28"/>
          <w:lang w:val="uk-UA"/>
        </w:rPr>
        <w:t>“Про державний захист працівників суду і правоохоронних органів”, то воно має форму постанови (ст. 16). Не викликає сумнівів адміністративно-правовий характер цього акта, відповідною (адміністративно-правовою) повинна бути і процедура його оскарження.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noProof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Якщо рішення про застосування заходів безпеки прийнято згідно з З</w:t>
      </w:r>
      <w:r w:rsidRPr="00431F44">
        <w:rPr>
          <w:i w:val="0"/>
          <w:iCs w:val="0"/>
          <w:noProof/>
          <w:sz w:val="28"/>
          <w:szCs w:val="28"/>
        </w:rPr>
        <w:t xml:space="preserve">аконом України </w:t>
      </w:r>
      <w:r w:rsidRPr="00431F44">
        <w:rPr>
          <w:i w:val="0"/>
          <w:iCs w:val="0"/>
          <w:sz w:val="28"/>
          <w:szCs w:val="28"/>
        </w:rPr>
        <w:t>“</w:t>
      </w:r>
      <w:r w:rsidRPr="00431F44">
        <w:rPr>
          <w:i w:val="0"/>
          <w:iCs w:val="0"/>
          <w:noProof/>
          <w:sz w:val="28"/>
          <w:szCs w:val="28"/>
        </w:rPr>
        <w:t xml:space="preserve">Про забезпечення безпеки осіб, які беруть участь у кримінальному судочинстві”, то воно має форму постанови чи ухвали (ст. 22 п. 2). Така постанова або ухвала має дуалістичний характер: крім адміністративно-правових, має і кримінально-процесуальні ознаки. Саме КПК України (ст.ст. 52-1 </w:t>
      </w:r>
      <w:r w:rsidRPr="00431F44">
        <w:rPr>
          <w:i w:val="0"/>
          <w:iCs w:val="0"/>
          <w:sz w:val="28"/>
          <w:szCs w:val="28"/>
        </w:rPr>
        <w:t xml:space="preserve">– </w:t>
      </w:r>
      <w:r w:rsidRPr="00431F44">
        <w:rPr>
          <w:i w:val="0"/>
          <w:iCs w:val="0"/>
          <w:noProof/>
          <w:sz w:val="28"/>
          <w:szCs w:val="28"/>
        </w:rPr>
        <w:t>52-5) регулюється порядок винесення цього акта, крім того, КПК (ст. 273) передбачена і процедура його оскарження.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Із зазначеного вище можна зробити висновок, що єдиного провадження по забезпеченню безпеки не існує. Є сукупність різних проваджень адміністративно-правового характеру,  об’єднаних єдиною метою – забезпечити безпеку особи, яка бере участь у кримінальному судочинстві. Кількість таких проваджень залежить від кількості заходів безпеки, обраних судовою міліцією для захисту конкретної особи.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Деякі з них мають тривалий характер, наприклад охорона житла, майна, деякі – разовий, наприклад, заміна документів. Після скасування заходів безпеки попередні документи не відновлюються. Якщо особа забажає їх відновити, вона повинна буде скористатися звичайними процедурами, хоча переселення в інше місце проживання може мати як постійний, так і тимчасовий характер.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Деякі провадження мають зворотний характер, а деякі – незворотний. Наприклад, відновити змінену зовнішність вже не так легко.</w:t>
      </w:r>
    </w:p>
    <w:p w:rsidR="00652E3E" w:rsidRPr="00431F44" w:rsidRDefault="00652E3E" w:rsidP="00431F44">
      <w:pPr>
        <w:pStyle w:val="a5"/>
        <w:ind w:firstLine="709"/>
        <w:rPr>
          <w:sz w:val="28"/>
          <w:szCs w:val="28"/>
        </w:rPr>
      </w:pPr>
      <w:r w:rsidRPr="00431F44">
        <w:rPr>
          <w:sz w:val="28"/>
          <w:szCs w:val="28"/>
        </w:rPr>
        <w:t>Другим елементом структури адміністративного процесу є стадія провадження. Стадії потрібно розглядати як сукупність дій, які відрізняються: безпосередніми цілями і завданнями; особливим колом учасників і специфікою їхнього правового статусу; комплексом процесуальних дій; колом юридичних фактів; правовими результатами і їхнім процесуальним оформленням.</w:t>
      </w:r>
    </w:p>
    <w:p w:rsidR="00652E3E" w:rsidRPr="00431F44" w:rsidRDefault="00652E3E" w:rsidP="00431F44">
      <w:pPr>
        <w:pStyle w:val="a5"/>
        <w:ind w:firstLine="709"/>
        <w:rPr>
          <w:sz w:val="28"/>
          <w:szCs w:val="28"/>
        </w:rPr>
      </w:pPr>
      <w:r w:rsidRPr="00431F44">
        <w:rPr>
          <w:sz w:val="28"/>
          <w:szCs w:val="28"/>
        </w:rPr>
        <w:t>Так, Д.Н. Бахрах називає загальними для адміністративного процесу, а відповідно, і для всіх  проваджень, які входять до нього, такі стадії:</w:t>
      </w:r>
    </w:p>
    <w:p w:rsidR="00652E3E" w:rsidRPr="00431F44" w:rsidRDefault="00652E3E" w:rsidP="00431F44">
      <w:pPr>
        <w:pStyle w:val="a5"/>
        <w:ind w:firstLine="709"/>
        <w:rPr>
          <w:sz w:val="28"/>
          <w:szCs w:val="28"/>
        </w:rPr>
      </w:pPr>
      <w:r w:rsidRPr="00431F44">
        <w:rPr>
          <w:sz w:val="28"/>
          <w:szCs w:val="28"/>
        </w:rPr>
        <w:t>1) аналіз ситуації (у різних провадженнях вона може називатися по-різному: адміністративне розслідування; перевірка скарги; обговорення правового акта і т.д.), у процесі якого збирається, вивчається інформація про фактичне положення справ, про реальні факти, про існуючі проблеми. Ця інформація фіксується на матеріальних носіях у вигляді протоколів, довідок, схем, звітів і кладеться  в основу управлінських рішень;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2) ухвалення рішення (наказу, постанови, інструкції), у якому фіксується воля суб’єкта влади. Рішення – свідомо-вольовий акт вибору однієї з існуючих можливостей. У ньому міститься імперативна, нова інформація, створена суб’єктом влади;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3) виконання рішення. Велике значення має матеріалізація приписів, перетворення їх у реальні дії, права, відносини, процеси, блага [5, с. 71–72].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Кожне адміністративне провадження специфічно залежно від цілей і завдань, які досягаються і вирішуються під час даного провадження, а також кола учасників провадження. Тому процес виділення в межах адміністративного провадження певних стадій повинен мати об’єктивний характер і не залежати від суб’єктивного розуміння його послідовності. Самостійність кожної стадії обумовлена певними критеріями, які можна розбити на дві групи: конститутивні та факультативні.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Як конститутивні критерії, виступають: конкретні завдання і функції, властиві тільки одній стадії; система юридичних фактів, що безпосередньо забезпечують перехід з однієї стадії в іншу; специфічність правового положення учасників провадження; специфічність чинимих операцій і характер юридичних наслідків; особливості закріплених у відповідному процесуальному акті (документі) кінцевих матеріально-правових результатів.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Поряд із цим у кожній окремій стадії провадження можуть бути виявлені факультативні ознаки, які підкреслюють автономність стадій і їхній специфічний прояв у межах адміністративного провадження. Цей перелік критеріїв не є вичерпним при визначенні самостійних стадій провадження, але з їх допомогою можна встановити межі кожної окремої стадії адміністративного провадження й більш правильне їхнє виокремлення. Тому кожне адміністративне провадження характеризується своєю певною кількістю стадій, серед яких можна виділити обов’язкові та факультативні стадії.</w:t>
      </w:r>
    </w:p>
    <w:p w:rsidR="00652E3E" w:rsidRPr="00431F44" w:rsidRDefault="00652E3E" w:rsidP="00431F44">
      <w:pPr>
        <w:pStyle w:val="2"/>
        <w:ind w:firstLine="709"/>
        <w:rPr>
          <w:i w:val="0"/>
          <w:iCs w:val="0"/>
          <w:sz w:val="28"/>
          <w:szCs w:val="28"/>
        </w:rPr>
      </w:pPr>
      <w:r w:rsidRPr="00431F44">
        <w:rPr>
          <w:i w:val="0"/>
          <w:iCs w:val="0"/>
          <w:sz w:val="28"/>
          <w:szCs w:val="28"/>
        </w:rPr>
        <w:t>Обов’язкова стадія провадження – це така стадія, проходження якої є обов’язковим для досягнення цілей і завдань, поставлених перед провадженням. Наприклад, у провадженні оскарження однією з обов’язкових стадій завжди виступає стадія розгляду і ухвалення рішення за скаргою.</w:t>
      </w:r>
    </w:p>
    <w:p w:rsidR="00652E3E" w:rsidRPr="00431F44" w:rsidRDefault="00652E3E" w:rsidP="00431F44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Факультативна стадія провадження – це така стадія,  проходження якої не завжди є обов’язковим для досягнення загальних цілей і завдань провадження. Так, у п. 4 ст. 22 Закону України “Про забезпечення безпеки осіб, які беруть участь у кримінальному судочинстві” передбачено, що “орган, який здійснює заходи безпеки, і особа, яка береться під захист, можуть укласти договір про умови застосування цих заходів та відповідальність сторін”. У контексті даного дослідження є всі підстави вважати дану стадію факультативною.</w:t>
      </w:r>
    </w:p>
    <w:p w:rsidR="00652E3E" w:rsidRPr="00431F44" w:rsidRDefault="00652E3E" w:rsidP="00431F4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Кожна стадія провадження складається з певної кількості етапів. Етапи адміністративного провадження – це сукупність дій, що переслідують якусь проміжну мету.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З’ясувавши теоретичні аспекти, можна переходити до безпосереднього практичного аналізу стадій провадження по забезпеченню безпеки осіб, які беруть участь у кримінальному судочинстві. Схематично основні стадії даного провадження можна визначити так.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Аналіз ситуації як перша стадія складається з декількох етапів: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1) ухвалення рішення про застосування заходів безпеки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уповноваженим органом;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2) прийняття рішення про застосування заходів безпеки до виконання о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рганом, який здійснює заходи безпеки;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3) вивчення рішення і розробка плану-розрахунку заходів безпеки;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Ухвалення рішення о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рганом, який здійснює заходи безпеки, 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– це 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друга 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стадія, що включає такі етапи: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4) узгодження і затвердження плану-розрахунку обраних заходів безпеки;</w:t>
      </w:r>
    </w:p>
    <w:p w:rsidR="00652E3E" w:rsidRPr="00431F44" w:rsidRDefault="00652E3E" w:rsidP="00431F44">
      <w:pPr>
        <w:pStyle w:val="Just"/>
        <w:spacing w:before="0" w:after="0" w:line="360" w:lineRule="auto"/>
        <w:ind w:firstLine="709"/>
        <w:rPr>
          <w:noProof/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5) інформування о</w:t>
      </w:r>
      <w:r w:rsidRPr="00431F44">
        <w:rPr>
          <w:noProof/>
          <w:sz w:val="28"/>
          <w:szCs w:val="28"/>
          <w:lang w:val="uk-UA"/>
        </w:rPr>
        <w:t>ргану, який прийняв рішення про застосування заходів безпеки;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6) інформування заявника.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Виконання рішення – це третя і найбільш тривала стадія, що складається з наступних етапів: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7) зміна обраних заходів безпеки;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8) продовження строків застосування заходів безпеки;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9) скасування заходів безпеки.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Виділивши основні стадії та етапи провадження по забезпеченню безпеки осіб, які беруть участь у кримінальному судочинстві, можна приступати до  характеристики безпосередніх дій підрозділів судової міліції.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1. Ухвалення рішення про застосування заходів безпеки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уповноваженим органом. Дана процедура м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ає безпосереднє практичне значення, оскільки дотримання процесуального порядку є однією з гарантій забезпечення ефективності названих заходів. Насамперед, застосування заходів забезпечення безпеки можливо лише за наявності приводів і підстав. Законодавство встановлює три види таких джерел: 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а) заява учасника кримінального судочинства, члена його сім’ї або близького родича; б) звернення керівника відповідного державного органу; в) отримання оперативної та іншої інформації про наявність загрози життю, здоров’ю, житлу і майну зазначених осіб 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(ч. 2 ст. 20 Закону 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“Про забезпечення безпеки 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осіб, які беруть участь у кримінальному судочинстві</w:t>
      </w:r>
      <w:r w:rsidRPr="00431F44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>”</w:t>
      </w: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). Усі ці аспекти детально врегульовані КПК України, відповідними законами, висвітлені в юридичній літературі [1].</w:t>
      </w:r>
    </w:p>
    <w:p w:rsidR="00652E3E" w:rsidRPr="00431F44" w:rsidRDefault="00652E3E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31F44">
        <w:rPr>
          <w:rFonts w:ascii="Times New Roman" w:hAnsi="Times New Roman" w:cs="Times New Roman"/>
          <w:color w:val="auto"/>
          <w:sz w:val="28"/>
          <w:szCs w:val="28"/>
          <w:lang w:val="uk-UA"/>
        </w:rPr>
        <w:t>Треба лише зауважити, що судова міліція на цьому етапі участі не бере, а отримує вже винесене рішення (постанову, ухвалу) для виконання.</w:t>
      </w:r>
    </w:p>
    <w:p w:rsidR="00CF6FD7" w:rsidRPr="002838F3" w:rsidRDefault="00CF6FD7" w:rsidP="00CF6FD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 w:rsidRPr="002838F3">
        <w:rPr>
          <w:rFonts w:ascii="Times New Roman" w:hAnsi="Times New Roman" w:cs="Times New Roman"/>
          <w:color w:val="FFFFFF"/>
          <w:sz w:val="28"/>
          <w:szCs w:val="28"/>
          <w:lang w:val="uk-UA"/>
        </w:rPr>
        <w:t>процесуальний провадження кримінальне судочинство</w:t>
      </w:r>
    </w:p>
    <w:p w:rsidR="00652E3E" w:rsidRPr="00431F44" w:rsidRDefault="00431F44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br w:type="page"/>
      </w:r>
      <w:r w:rsidR="00652E3E" w:rsidRPr="00431F4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Література</w:t>
      </w:r>
    </w:p>
    <w:p w:rsidR="00431F44" w:rsidRPr="00431F44" w:rsidRDefault="00431F44" w:rsidP="00431F4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 xml:space="preserve">Усенко О.В. Проблема захисту учасників кримінального процесу / О.В. Усенко // Боротьба з організованою злочинністю і корупцією (теорія і практика) – 2003. – № 7. – Режим доступу: </w:t>
      </w:r>
      <w:r w:rsidRPr="00EE68CD">
        <w:rPr>
          <w:sz w:val="28"/>
          <w:szCs w:val="28"/>
          <w:lang w:val="uk-UA"/>
        </w:rPr>
        <w:t>http://mndc.naiau.kiev.ua/Gurnal/7text/g7_20.htm</w:t>
      </w:r>
      <w:r w:rsidRPr="00431F44">
        <w:rPr>
          <w:sz w:val="28"/>
          <w:szCs w:val="28"/>
          <w:lang w:val="uk-UA"/>
        </w:rPr>
        <w:t xml:space="preserve"> – Назва з титул. екрану.</w:t>
      </w: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 xml:space="preserve">Никифорчук Д. Особливості боротьби ОВС з тероризмом та бандитизмом / Д. Никифорчук // </w:t>
      </w:r>
      <w:hyperlink r:id="rId7" w:anchor="144570" w:tgtFrame="_blank" w:tooltip="Опис збірника" w:history="1">
        <w:r w:rsidRPr="00431F44">
          <w:rPr>
            <w:rStyle w:val="a9"/>
            <w:color w:val="auto"/>
            <w:sz w:val="28"/>
            <w:szCs w:val="28"/>
            <w:u w:val="none"/>
            <w:lang w:val="uk-UA"/>
          </w:rPr>
          <w:t>Львівський ін-т внутрішніх справ. Вісник. – Львів, 2000. – №1 (12).</w:t>
        </w:r>
      </w:hyperlink>
      <w:r w:rsidRPr="00431F44">
        <w:rPr>
          <w:sz w:val="28"/>
          <w:szCs w:val="28"/>
          <w:lang w:val="uk-UA"/>
        </w:rPr>
        <w:t xml:space="preserve"> – C.225–230.</w:t>
      </w: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Пентєгов В. Міжнародний досвід у сфері забезпечення безпеки осіб, які беруть участь у виявленні, попередженні, припиненні або розкритті злочинів / В.Пентєгов, Л.Щербина. // Підприємництво, господарство і право. – 2006. – № 10. – С.131–134.</w:t>
      </w: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Солодовников С.А. Терроризм и организованная преступность: Монография/ С.А. Солодовников. – М., ЮНИТИ–ДАНА. – 2007. – 172 с.</w:t>
      </w: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Сизоненко А. Актуальні проблеми забезпечення безпеки свідків вбивств, скоєних на замовлення / А. Сизоненко // Економіка. Фінанси. Право. – 2001. – № 3. – С. 29–31.</w:t>
      </w: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Дьоменко С.В. Вимагання: кримінально-правовий та кримінологічний аналіз: дис... канд. юрид. наук / Запорізький національний ун-т. – Запоріжжя, 2005. – 237арк. 12.00.08.</w:t>
      </w:r>
    </w:p>
    <w:p w:rsidR="00652E3E" w:rsidRPr="00431F44" w:rsidRDefault="00652E3E" w:rsidP="00431F44">
      <w:pPr>
        <w:numPr>
          <w:ilvl w:val="0"/>
          <w:numId w:val="1"/>
        </w:numPr>
        <w:tabs>
          <w:tab w:val="clear" w:pos="2138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31F44">
        <w:rPr>
          <w:sz w:val="28"/>
          <w:szCs w:val="28"/>
          <w:lang w:val="uk-UA"/>
        </w:rPr>
        <w:t>Шехавцов Р.М. Форми та способи протидії розслідуванню злочинів і засоби їх подолання (за матеріалами кримінальних справ про вимагання, вчинені організованими групами, злочинними організаціями): Дис... канд. юрид. наук: 12.00.09 / Луганська академія внутрішніх справ ім. 10-річчя незалежності України. – Луганськ, 2003. – 246 арк.</w:t>
      </w:r>
    </w:p>
    <w:p w:rsidR="009F2F31" w:rsidRPr="00431F44" w:rsidRDefault="009F2F31" w:rsidP="00431F44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9F2F31" w:rsidRPr="00431F44" w:rsidSect="00431F44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8F3" w:rsidRDefault="002838F3" w:rsidP="00431F44">
      <w:r>
        <w:separator/>
      </w:r>
    </w:p>
  </w:endnote>
  <w:endnote w:type="continuationSeparator" w:id="0">
    <w:p w:rsidR="002838F3" w:rsidRDefault="002838F3" w:rsidP="00431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8F3" w:rsidRDefault="002838F3" w:rsidP="00431F44">
      <w:r>
        <w:separator/>
      </w:r>
    </w:p>
  </w:footnote>
  <w:footnote w:type="continuationSeparator" w:id="0">
    <w:p w:rsidR="002838F3" w:rsidRDefault="002838F3" w:rsidP="00431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F44" w:rsidRPr="00431F44" w:rsidRDefault="00431F44" w:rsidP="00431F44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2459D"/>
    <w:multiLevelType w:val="hybridMultilevel"/>
    <w:tmpl w:val="C3C02080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E3E"/>
    <w:rsid w:val="000715C2"/>
    <w:rsid w:val="000D42F6"/>
    <w:rsid w:val="000F305E"/>
    <w:rsid w:val="00171A54"/>
    <w:rsid w:val="001771A8"/>
    <w:rsid w:val="001D11A1"/>
    <w:rsid w:val="002053D7"/>
    <w:rsid w:val="00220588"/>
    <w:rsid w:val="00231FFE"/>
    <w:rsid w:val="002330CE"/>
    <w:rsid w:val="002656FC"/>
    <w:rsid w:val="00273954"/>
    <w:rsid w:val="002838F3"/>
    <w:rsid w:val="002E15AD"/>
    <w:rsid w:val="002F4991"/>
    <w:rsid w:val="00375688"/>
    <w:rsid w:val="0039586E"/>
    <w:rsid w:val="003B3A5F"/>
    <w:rsid w:val="003C7FE8"/>
    <w:rsid w:val="004143A0"/>
    <w:rsid w:val="00416000"/>
    <w:rsid w:val="00431F44"/>
    <w:rsid w:val="004B420A"/>
    <w:rsid w:val="004F76B3"/>
    <w:rsid w:val="005522BA"/>
    <w:rsid w:val="005B35D9"/>
    <w:rsid w:val="005C5E63"/>
    <w:rsid w:val="005E2896"/>
    <w:rsid w:val="005E4395"/>
    <w:rsid w:val="006341F2"/>
    <w:rsid w:val="00652E3E"/>
    <w:rsid w:val="006E3084"/>
    <w:rsid w:val="006E59B5"/>
    <w:rsid w:val="00715D5A"/>
    <w:rsid w:val="0073492E"/>
    <w:rsid w:val="00740014"/>
    <w:rsid w:val="007D53C5"/>
    <w:rsid w:val="007D69FD"/>
    <w:rsid w:val="00807A29"/>
    <w:rsid w:val="0084039F"/>
    <w:rsid w:val="00842F15"/>
    <w:rsid w:val="00857444"/>
    <w:rsid w:val="008813F5"/>
    <w:rsid w:val="00896E8A"/>
    <w:rsid w:val="00903A0A"/>
    <w:rsid w:val="00937FD3"/>
    <w:rsid w:val="009A43AD"/>
    <w:rsid w:val="009F2F31"/>
    <w:rsid w:val="00A05F2A"/>
    <w:rsid w:val="00A8069D"/>
    <w:rsid w:val="00A87217"/>
    <w:rsid w:val="00A923F4"/>
    <w:rsid w:val="00AF39BF"/>
    <w:rsid w:val="00B138FD"/>
    <w:rsid w:val="00B24FEF"/>
    <w:rsid w:val="00B471D4"/>
    <w:rsid w:val="00B926D5"/>
    <w:rsid w:val="00BC2B7D"/>
    <w:rsid w:val="00BE7D17"/>
    <w:rsid w:val="00C06DCB"/>
    <w:rsid w:val="00C167AB"/>
    <w:rsid w:val="00C25413"/>
    <w:rsid w:val="00C32289"/>
    <w:rsid w:val="00C4143F"/>
    <w:rsid w:val="00C519DC"/>
    <w:rsid w:val="00C74734"/>
    <w:rsid w:val="00CC73CF"/>
    <w:rsid w:val="00CE4B8A"/>
    <w:rsid w:val="00CF6FD7"/>
    <w:rsid w:val="00D25FE6"/>
    <w:rsid w:val="00D574C2"/>
    <w:rsid w:val="00D86A22"/>
    <w:rsid w:val="00DA5940"/>
    <w:rsid w:val="00DD0076"/>
    <w:rsid w:val="00E07DA9"/>
    <w:rsid w:val="00E1559D"/>
    <w:rsid w:val="00E74399"/>
    <w:rsid w:val="00E85909"/>
    <w:rsid w:val="00EB3CE0"/>
    <w:rsid w:val="00EE68CD"/>
    <w:rsid w:val="00F00060"/>
    <w:rsid w:val="00F06AAB"/>
    <w:rsid w:val="00F370F7"/>
    <w:rsid w:val="00F508C7"/>
    <w:rsid w:val="00F678E6"/>
    <w:rsid w:val="00F71152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ECE71D-D870-4C84-B5ED-A1DA3962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E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52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3">
    <w:name w:val="Title"/>
    <w:basedOn w:val="a"/>
    <w:link w:val="a4"/>
    <w:uiPriority w:val="10"/>
    <w:qFormat/>
    <w:rsid w:val="00652E3E"/>
    <w:pPr>
      <w:spacing w:before="40" w:after="40"/>
      <w:jc w:val="center"/>
    </w:pPr>
    <w:rPr>
      <w:b/>
      <w:bCs/>
      <w:noProof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652E3E"/>
    <w:pPr>
      <w:spacing w:line="360" w:lineRule="auto"/>
      <w:ind w:firstLine="567"/>
      <w:jc w:val="both"/>
    </w:pPr>
    <w:rPr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52E3E"/>
    <w:pPr>
      <w:shd w:val="clear" w:color="auto" w:fill="FFFFFF"/>
      <w:spacing w:line="360" w:lineRule="auto"/>
    </w:pPr>
    <w:rPr>
      <w:color w:val="000000"/>
      <w:sz w:val="28"/>
      <w:szCs w:val="28"/>
      <w:lang w:val="uk-UA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652E3E"/>
    <w:pPr>
      <w:spacing w:line="360" w:lineRule="auto"/>
      <w:ind w:firstLine="567"/>
      <w:jc w:val="both"/>
    </w:pPr>
    <w:rPr>
      <w:i/>
      <w:iCs/>
      <w:lang w:val="uk-UA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52E3E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Pr>
      <w:rFonts w:ascii="Courier New" w:hAnsi="Courier New" w:cs="Courier New"/>
    </w:rPr>
  </w:style>
  <w:style w:type="paragraph" w:customStyle="1" w:styleId="Just">
    <w:name w:val="Just"/>
    <w:rsid w:val="00652E3E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character" w:styleId="a9">
    <w:name w:val="Hyperlink"/>
    <w:uiPriority w:val="99"/>
    <w:rsid w:val="00652E3E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431F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431F44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431F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31F4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44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t.nplu.org/sttd.htm?doc=4786&amp;anl=1445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3742</Words>
  <Characters>21334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!!!</Company>
  <LinksUpToDate>false</LinksUpToDate>
  <CharactersWithSpaces>25026</CharactersWithSpaces>
  <SharedDoc>false</SharedDoc>
  <HLinks>
    <vt:vector size="6" baseType="variant">
      <vt:variant>
        <vt:i4>3539042</vt:i4>
      </vt:variant>
      <vt:variant>
        <vt:i4>0</vt:i4>
      </vt:variant>
      <vt:variant>
        <vt:i4>0</vt:i4>
      </vt:variant>
      <vt:variant>
        <vt:i4>5</vt:i4>
      </vt:variant>
      <vt:variant>
        <vt:lpwstr>http://stt.nplu.org/sttd.htm?doc=4786&amp;anl=144570</vt:lpwstr>
      </vt:variant>
      <vt:variant>
        <vt:lpwstr>144570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!!!</dc:creator>
  <cp:keywords/>
  <dc:description/>
  <cp:lastModifiedBy>admin</cp:lastModifiedBy>
  <cp:revision>2</cp:revision>
  <dcterms:created xsi:type="dcterms:W3CDTF">2014-03-27T04:19:00Z</dcterms:created>
  <dcterms:modified xsi:type="dcterms:W3CDTF">2014-03-27T04:19:00Z</dcterms:modified>
</cp:coreProperties>
</file>