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E40" w:rsidRPr="007719D8" w:rsidRDefault="00833E40" w:rsidP="007719D8">
      <w:pPr>
        <w:widowControl w:val="0"/>
        <w:spacing w:line="360" w:lineRule="auto"/>
        <w:ind w:firstLine="709"/>
        <w:jc w:val="center"/>
        <w:rPr>
          <w:rFonts w:ascii="Times New Roman" w:hAnsi="Times New Roman"/>
          <w:sz w:val="28"/>
          <w:szCs w:val="28"/>
          <w:lang w:val="uk-UA"/>
        </w:rPr>
      </w:pPr>
      <w:r w:rsidRPr="007719D8">
        <w:rPr>
          <w:rFonts w:ascii="Times New Roman" w:hAnsi="Times New Roman"/>
          <w:sz w:val="28"/>
          <w:szCs w:val="28"/>
          <w:lang w:val="uk-UA"/>
        </w:rPr>
        <w:t>Міністерство освіти і науки України</w:t>
      </w:r>
    </w:p>
    <w:p w:rsidR="00E47310" w:rsidRPr="007719D8" w:rsidRDefault="00833E40" w:rsidP="007719D8">
      <w:pPr>
        <w:widowControl w:val="0"/>
        <w:spacing w:line="360" w:lineRule="auto"/>
        <w:ind w:firstLine="709"/>
        <w:jc w:val="center"/>
        <w:rPr>
          <w:rFonts w:ascii="Times New Roman" w:hAnsi="Times New Roman"/>
          <w:sz w:val="28"/>
          <w:szCs w:val="28"/>
          <w:lang w:val="uk-UA"/>
        </w:rPr>
      </w:pPr>
      <w:r w:rsidRPr="007719D8">
        <w:rPr>
          <w:rFonts w:ascii="Times New Roman" w:hAnsi="Times New Roman"/>
          <w:sz w:val="28"/>
          <w:szCs w:val="28"/>
          <w:lang w:val="uk-UA"/>
        </w:rPr>
        <w:t>Національна металургійна академія України</w:t>
      </w:r>
    </w:p>
    <w:p w:rsidR="00E47310" w:rsidRPr="007719D8" w:rsidRDefault="00E81905" w:rsidP="007719D8">
      <w:pPr>
        <w:widowControl w:val="0"/>
        <w:spacing w:line="360" w:lineRule="auto"/>
        <w:ind w:firstLine="709"/>
        <w:jc w:val="center"/>
        <w:rPr>
          <w:rFonts w:ascii="Times New Roman" w:hAnsi="Times New Roman"/>
          <w:sz w:val="28"/>
          <w:szCs w:val="28"/>
          <w:lang w:val="uk-UA"/>
        </w:rPr>
      </w:pPr>
      <w:r w:rsidRPr="007719D8">
        <w:rPr>
          <w:rFonts w:ascii="Times New Roman" w:hAnsi="Times New Roman"/>
          <w:sz w:val="28"/>
          <w:szCs w:val="28"/>
          <w:lang w:val="uk-UA"/>
        </w:rPr>
        <w:t>Факультет економіки та менеджменту</w:t>
      </w:r>
    </w:p>
    <w:p w:rsidR="00833E40" w:rsidRPr="007719D8" w:rsidRDefault="00833E40" w:rsidP="007719D8">
      <w:pPr>
        <w:widowControl w:val="0"/>
        <w:spacing w:line="360" w:lineRule="auto"/>
        <w:ind w:firstLine="709"/>
        <w:jc w:val="center"/>
        <w:rPr>
          <w:rFonts w:ascii="Times New Roman" w:hAnsi="Times New Roman"/>
          <w:sz w:val="28"/>
          <w:szCs w:val="28"/>
          <w:lang w:val="uk-UA"/>
        </w:rPr>
      </w:pPr>
      <w:r w:rsidRPr="007719D8">
        <w:rPr>
          <w:rFonts w:ascii="Times New Roman" w:hAnsi="Times New Roman"/>
          <w:sz w:val="28"/>
          <w:szCs w:val="28"/>
          <w:lang w:val="uk-UA"/>
        </w:rPr>
        <w:t>Кафедра менеджменту</w:t>
      </w:r>
    </w:p>
    <w:p w:rsidR="00833E40" w:rsidRPr="007719D8" w:rsidRDefault="00833E40" w:rsidP="007719D8">
      <w:pPr>
        <w:widowControl w:val="0"/>
        <w:spacing w:line="360" w:lineRule="auto"/>
        <w:ind w:firstLine="709"/>
        <w:jc w:val="center"/>
        <w:rPr>
          <w:rFonts w:ascii="Times New Roman" w:hAnsi="Times New Roman"/>
          <w:sz w:val="28"/>
          <w:szCs w:val="28"/>
          <w:lang w:val="uk-UA"/>
        </w:rPr>
      </w:pPr>
    </w:p>
    <w:p w:rsidR="00833E40" w:rsidRPr="007719D8" w:rsidRDefault="00833E40" w:rsidP="007719D8">
      <w:pPr>
        <w:widowControl w:val="0"/>
        <w:spacing w:line="360" w:lineRule="auto"/>
        <w:ind w:firstLine="709"/>
        <w:jc w:val="center"/>
        <w:rPr>
          <w:rFonts w:ascii="Times New Roman" w:hAnsi="Times New Roman"/>
          <w:sz w:val="28"/>
          <w:szCs w:val="28"/>
          <w:lang w:val="uk-UA"/>
        </w:rPr>
      </w:pPr>
    </w:p>
    <w:p w:rsidR="00833E40" w:rsidRPr="007719D8" w:rsidRDefault="00833E40" w:rsidP="007719D8">
      <w:pPr>
        <w:widowControl w:val="0"/>
        <w:spacing w:line="360" w:lineRule="auto"/>
        <w:ind w:firstLine="709"/>
        <w:jc w:val="center"/>
        <w:rPr>
          <w:rFonts w:ascii="Times New Roman" w:hAnsi="Times New Roman"/>
          <w:sz w:val="28"/>
          <w:lang w:val="uk-UA"/>
        </w:rPr>
      </w:pPr>
    </w:p>
    <w:p w:rsidR="00833E40" w:rsidRPr="007719D8" w:rsidRDefault="00833E40" w:rsidP="007719D8">
      <w:pPr>
        <w:widowControl w:val="0"/>
        <w:spacing w:line="360" w:lineRule="auto"/>
        <w:ind w:firstLine="709"/>
        <w:jc w:val="center"/>
        <w:rPr>
          <w:rFonts w:ascii="Times New Roman" w:hAnsi="Times New Roman"/>
          <w:sz w:val="28"/>
          <w:lang w:val="uk-UA"/>
        </w:rPr>
      </w:pPr>
    </w:p>
    <w:p w:rsidR="00833E40" w:rsidRPr="007719D8" w:rsidRDefault="00833E40" w:rsidP="007719D8">
      <w:pPr>
        <w:widowControl w:val="0"/>
        <w:spacing w:line="360" w:lineRule="auto"/>
        <w:ind w:firstLine="709"/>
        <w:jc w:val="center"/>
        <w:rPr>
          <w:rFonts w:ascii="Times New Roman" w:hAnsi="Times New Roman"/>
          <w:sz w:val="28"/>
          <w:lang w:val="uk-UA"/>
        </w:rPr>
      </w:pPr>
    </w:p>
    <w:p w:rsidR="00833E40" w:rsidRPr="007719D8" w:rsidRDefault="00833E40" w:rsidP="007719D8">
      <w:pPr>
        <w:widowControl w:val="0"/>
        <w:spacing w:line="360" w:lineRule="auto"/>
        <w:ind w:firstLine="709"/>
        <w:jc w:val="center"/>
        <w:rPr>
          <w:rFonts w:ascii="Times New Roman" w:hAnsi="Times New Roman"/>
          <w:sz w:val="28"/>
          <w:lang w:val="uk-UA"/>
        </w:rPr>
      </w:pPr>
    </w:p>
    <w:p w:rsidR="007719D8" w:rsidRDefault="007719D8" w:rsidP="007719D8">
      <w:pPr>
        <w:widowControl w:val="0"/>
        <w:spacing w:line="360" w:lineRule="auto"/>
        <w:ind w:firstLine="709"/>
        <w:jc w:val="center"/>
        <w:rPr>
          <w:rFonts w:ascii="Times New Roman" w:hAnsi="Times New Roman"/>
          <w:sz w:val="28"/>
          <w:lang w:val="uk-UA"/>
        </w:rPr>
      </w:pPr>
    </w:p>
    <w:p w:rsidR="007719D8" w:rsidRDefault="007719D8" w:rsidP="007719D8">
      <w:pPr>
        <w:widowControl w:val="0"/>
        <w:spacing w:line="360" w:lineRule="auto"/>
        <w:ind w:firstLine="709"/>
        <w:jc w:val="center"/>
        <w:rPr>
          <w:rFonts w:ascii="Times New Roman" w:hAnsi="Times New Roman"/>
          <w:sz w:val="28"/>
          <w:lang w:val="uk-UA"/>
        </w:rPr>
      </w:pPr>
    </w:p>
    <w:p w:rsidR="00E47310" w:rsidRPr="007719D8" w:rsidRDefault="001A53BF" w:rsidP="007719D8">
      <w:pPr>
        <w:widowControl w:val="0"/>
        <w:spacing w:line="360" w:lineRule="auto"/>
        <w:ind w:firstLine="709"/>
        <w:jc w:val="center"/>
        <w:rPr>
          <w:rFonts w:ascii="Times New Roman" w:hAnsi="Times New Roman"/>
          <w:sz w:val="28"/>
          <w:lang w:val="uk-UA"/>
        </w:rPr>
      </w:pPr>
      <w:r w:rsidRPr="007719D8">
        <w:rPr>
          <w:rFonts w:ascii="Times New Roman" w:hAnsi="Times New Roman"/>
          <w:sz w:val="28"/>
          <w:lang w:val="uk-UA"/>
        </w:rPr>
        <w:t>Курсов</w:t>
      </w:r>
      <w:r w:rsidR="00E81905" w:rsidRPr="007719D8">
        <w:rPr>
          <w:rFonts w:ascii="Times New Roman" w:hAnsi="Times New Roman"/>
          <w:sz w:val="28"/>
          <w:lang w:val="uk-UA"/>
        </w:rPr>
        <w:t>а</w:t>
      </w:r>
      <w:r w:rsidRPr="007719D8">
        <w:rPr>
          <w:rFonts w:ascii="Times New Roman" w:hAnsi="Times New Roman"/>
          <w:sz w:val="28"/>
          <w:lang w:val="uk-UA"/>
        </w:rPr>
        <w:t xml:space="preserve"> </w:t>
      </w:r>
      <w:r w:rsidR="00E81905" w:rsidRPr="007719D8">
        <w:rPr>
          <w:rFonts w:ascii="Times New Roman" w:hAnsi="Times New Roman"/>
          <w:sz w:val="28"/>
          <w:lang w:val="uk-UA"/>
        </w:rPr>
        <w:t>робота</w:t>
      </w:r>
    </w:p>
    <w:p w:rsidR="00E47310" w:rsidRPr="007719D8" w:rsidRDefault="00E47310" w:rsidP="007719D8">
      <w:pPr>
        <w:widowControl w:val="0"/>
        <w:spacing w:line="360" w:lineRule="auto"/>
        <w:ind w:firstLine="709"/>
        <w:jc w:val="center"/>
        <w:rPr>
          <w:rFonts w:ascii="Times New Roman" w:hAnsi="Times New Roman"/>
          <w:sz w:val="28"/>
          <w:lang w:val="uk-UA"/>
        </w:rPr>
      </w:pPr>
    </w:p>
    <w:p w:rsidR="00833E40" w:rsidRPr="007719D8" w:rsidRDefault="007719D8" w:rsidP="007719D8">
      <w:pPr>
        <w:widowControl w:val="0"/>
        <w:spacing w:line="360" w:lineRule="auto"/>
        <w:ind w:firstLine="709"/>
        <w:jc w:val="center"/>
        <w:rPr>
          <w:rFonts w:ascii="Times New Roman" w:hAnsi="Times New Roman"/>
          <w:sz w:val="28"/>
          <w:szCs w:val="28"/>
          <w:lang w:val="uk-UA"/>
        </w:rPr>
      </w:pPr>
      <w:r>
        <w:rPr>
          <w:rFonts w:ascii="Times New Roman" w:hAnsi="Times New Roman"/>
          <w:sz w:val="28"/>
          <w:szCs w:val="28"/>
          <w:lang w:val="uk-UA"/>
        </w:rPr>
        <w:t>Н</w:t>
      </w:r>
      <w:r w:rsidR="00833E40" w:rsidRPr="007719D8">
        <w:rPr>
          <w:rFonts w:ascii="Times New Roman" w:hAnsi="Times New Roman"/>
          <w:sz w:val="28"/>
          <w:szCs w:val="28"/>
          <w:lang w:val="uk-UA"/>
        </w:rPr>
        <w:t>а тему: «Управління вартістю ПАО Райффайзен Банк Аваль»</w:t>
      </w:r>
    </w:p>
    <w:p w:rsidR="00E47310" w:rsidRPr="007719D8" w:rsidRDefault="00E47310" w:rsidP="007719D8">
      <w:pPr>
        <w:widowControl w:val="0"/>
        <w:spacing w:line="360" w:lineRule="auto"/>
        <w:ind w:firstLine="709"/>
        <w:jc w:val="center"/>
        <w:rPr>
          <w:rFonts w:ascii="Times New Roman" w:hAnsi="Times New Roman"/>
          <w:sz w:val="28"/>
          <w:szCs w:val="28"/>
          <w:lang w:val="uk-UA"/>
        </w:rPr>
      </w:pPr>
    </w:p>
    <w:p w:rsidR="00E47310" w:rsidRPr="007719D8" w:rsidRDefault="00E47310" w:rsidP="007719D8">
      <w:pPr>
        <w:widowControl w:val="0"/>
        <w:spacing w:line="360" w:lineRule="auto"/>
        <w:ind w:firstLine="709"/>
        <w:jc w:val="both"/>
        <w:rPr>
          <w:rFonts w:ascii="Times New Roman" w:hAnsi="Times New Roman"/>
          <w:sz w:val="28"/>
          <w:lang w:val="uk-UA"/>
        </w:rPr>
      </w:pPr>
    </w:p>
    <w:p w:rsidR="00CC773E" w:rsidRPr="007719D8" w:rsidRDefault="00CC773E" w:rsidP="007719D8">
      <w:pPr>
        <w:widowControl w:val="0"/>
        <w:spacing w:line="360" w:lineRule="auto"/>
        <w:ind w:firstLine="709"/>
        <w:jc w:val="both"/>
        <w:rPr>
          <w:rFonts w:ascii="Times New Roman" w:hAnsi="Times New Roman"/>
          <w:sz w:val="28"/>
          <w:szCs w:val="24"/>
          <w:lang w:val="uk-UA"/>
        </w:rPr>
      </w:pPr>
      <w:r w:rsidRPr="007719D8">
        <w:rPr>
          <w:rFonts w:ascii="Times New Roman" w:hAnsi="Times New Roman"/>
          <w:sz w:val="28"/>
          <w:szCs w:val="24"/>
          <w:lang w:val="uk-UA"/>
        </w:rPr>
        <w:br w:type="page"/>
      </w:r>
    </w:p>
    <w:p w:rsidR="00E81905" w:rsidRPr="007719D8" w:rsidRDefault="00E81905" w:rsidP="007719D8">
      <w:pPr>
        <w:widowControl w:val="0"/>
        <w:spacing w:line="360" w:lineRule="auto"/>
        <w:ind w:firstLine="709"/>
        <w:jc w:val="both"/>
        <w:rPr>
          <w:rFonts w:ascii="Times New Roman" w:hAnsi="Times New Roman"/>
          <w:sz w:val="28"/>
          <w:szCs w:val="32"/>
          <w:lang w:val="uk-UA"/>
        </w:rPr>
      </w:pPr>
      <w:r w:rsidRPr="007719D8">
        <w:rPr>
          <w:rFonts w:ascii="Times New Roman" w:hAnsi="Times New Roman"/>
          <w:sz w:val="28"/>
          <w:szCs w:val="32"/>
          <w:lang w:val="uk-UA"/>
        </w:rPr>
        <w:t>РЕФЕРАТ</w:t>
      </w:r>
    </w:p>
    <w:p w:rsidR="00E81905" w:rsidRPr="007719D8" w:rsidRDefault="00E81905" w:rsidP="007719D8">
      <w:pPr>
        <w:widowControl w:val="0"/>
        <w:spacing w:line="360" w:lineRule="auto"/>
        <w:ind w:firstLine="709"/>
        <w:jc w:val="both"/>
        <w:rPr>
          <w:rFonts w:ascii="Times New Roman" w:hAnsi="Times New Roman"/>
          <w:sz w:val="28"/>
          <w:szCs w:val="28"/>
          <w:lang w:val="uk-UA"/>
        </w:rPr>
      </w:pPr>
    </w:p>
    <w:p w:rsidR="00E81905" w:rsidRPr="007719D8" w:rsidRDefault="00E8190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Курсова роботу містить 5 рисунків, 7 </w:t>
      </w:r>
      <w:r w:rsidR="00BA1DDD" w:rsidRPr="007719D8">
        <w:rPr>
          <w:rFonts w:ascii="Times New Roman" w:hAnsi="Times New Roman"/>
          <w:sz w:val="28"/>
          <w:szCs w:val="28"/>
          <w:lang w:val="uk-UA"/>
        </w:rPr>
        <w:t>таблиць</w:t>
      </w:r>
      <w:r w:rsidR="00FA1C5B" w:rsidRPr="007719D8">
        <w:rPr>
          <w:rFonts w:ascii="Times New Roman" w:hAnsi="Times New Roman"/>
          <w:sz w:val="28"/>
          <w:szCs w:val="28"/>
          <w:lang w:val="uk-UA"/>
        </w:rPr>
        <w:t xml:space="preserve">, </w:t>
      </w:r>
      <w:r w:rsidR="00FA1C5B" w:rsidRPr="007719D8">
        <w:rPr>
          <w:rFonts w:ascii="Times New Roman" w:hAnsi="Times New Roman"/>
          <w:sz w:val="28"/>
          <w:szCs w:val="28"/>
        </w:rPr>
        <w:t>8</w:t>
      </w:r>
      <w:r w:rsidRPr="007719D8">
        <w:rPr>
          <w:rFonts w:ascii="Times New Roman" w:hAnsi="Times New Roman"/>
          <w:sz w:val="28"/>
          <w:szCs w:val="28"/>
          <w:lang w:val="uk-UA"/>
        </w:rPr>
        <w:t xml:space="preserve"> формул</w:t>
      </w:r>
      <w:r w:rsidR="00823245" w:rsidRPr="007719D8">
        <w:rPr>
          <w:rFonts w:ascii="Times New Roman" w:hAnsi="Times New Roman"/>
          <w:sz w:val="28"/>
          <w:szCs w:val="28"/>
          <w:lang w:val="uk-UA"/>
        </w:rPr>
        <w:t>, 4 додатки.</w:t>
      </w:r>
    </w:p>
    <w:p w:rsidR="00823245" w:rsidRPr="007719D8" w:rsidRDefault="0082324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Об’єктом дослідження курсової роботи є Публічне Акціонерне Товариство «Райффайзен Банк Аваль».</w:t>
      </w:r>
    </w:p>
    <w:p w:rsidR="00823245" w:rsidRPr="007719D8" w:rsidRDefault="0082324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Предметом дослідження курсової роботи є оцінка вартості комерційного банку, аналіз системи, що керує створенням вартості банку та надання рекомендацій по вдосконаленню цієї системи.</w:t>
      </w:r>
    </w:p>
    <w:p w:rsidR="00823245" w:rsidRPr="007719D8" w:rsidRDefault="00267FD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Метою курсової роботи є</w:t>
      </w:r>
      <w:r w:rsidR="007719D8">
        <w:rPr>
          <w:rFonts w:ascii="Times New Roman" w:hAnsi="Times New Roman"/>
          <w:sz w:val="28"/>
          <w:szCs w:val="28"/>
          <w:lang w:val="uk-UA"/>
        </w:rPr>
        <w:t xml:space="preserve"> </w:t>
      </w:r>
      <w:r w:rsidRPr="007719D8">
        <w:rPr>
          <w:rFonts w:ascii="Times New Roman" w:hAnsi="Times New Roman"/>
          <w:sz w:val="28"/>
          <w:szCs w:val="28"/>
          <w:lang w:val="uk-UA"/>
        </w:rPr>
        <w:t>розкриття особливостей вартісного управління та спроба вдосконалення системи управління комерційного банку із урахуванням особливостей згаданої теорії управління</w:t>
      </w:r>
      <w:r w:rsidR="00823245" w:rsidRPr="007719D8">
        <w:rPr>
          <w:rFonts w:ascii="Times New Roman" w:hAnsi="Times New Roman"/>
          <w:sz w:val="28"/>
          <w:szCs w:val="28"/>
          <w:lang w:val="uk-UA"/>
        </w:rPr>
        <w:t>.</w:t>
      </w:r>
    </w:p>
    <w:p w:rsidR="00823245" w:rsidRPr="007719D8" w:rsidRDefault="0082324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курсовій роботі використовуються наступні методи: метод фінансових коефіцієнтів, метод дисконтування грошових потоків; методи класичної логіки, аналіз та синтез, статистичні методі аналізу.</w:t>
      </w:r>
    </w:p>
    <w:p w:rsidR="00823245" w:rsidRPr="007719D8" w:rsidRDefault="0082324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У курсовій роботи проведено оцінку стану ринку банківських послуг України, проаналізовано фінансове становище ПАТ «Райффайзен Банк Аваль»; </w:t>
      </w:r>
      <w:r w:rsidR="00BA1DDD" w:rsidRPr="007719D8">
        <w:rPr>
          <w:rFonts w:ascii="Times New Roman" w:hAnsi="Times New Roman"/>
          <w:sz w:val="28"/>
          <w:szCs w:val="28"/>
          <w:lang w:val="uk-UA"/>
        </w:rPr>
        <w:t>також у</w:t>
      </w:r>
      <w:r w:rsidR="007719D8">
        <w:rPr>
          <w:rFonts w:ascii="Times New Roman" w:hAnsi="Times New Roman"/>
          <w:sz w:val="28"/>
          <w:szCs w:val="28"/>
          <w:lang w:val="uk-UA"/>
        </w:rPr>
        <w:t xml:space="preserve"> </w:t>
      </w:r>
      <w:r w:rsidRPr="007719D8">
        <w:rPr>
          <w:rFonts w:ascii="Times New Roman" w:hAnsi="Times New Roman"/>
          <w:sz w:val="28"/>
          <w:szCs w:val="28"/>
          <w:lang w:val="uk-UA"/>
        </w:rPr>
        <w:t>курсовій роботі проведено оцінку внутрішньої вартості комерційного банку ПАТ «Райффайзен Банк Аваль»</w:t>
      </w:r>
      <w:r w:rsidR="00536408" w:rsidRPr="007719D8">
        <w:rPr>
          <w:rFonts w:ascii="Times New Roman" w:hAnsi="Times New Roman"/>
          <w:sz w:val="28"/>
          <w:szCs w:val="28"/>
          <w:lang w:val="uk-UA"/>
        </w:rPr>
        <w:t>, визначені принципи проведення оцінювання компаній як активів та вироблені рекомендації щодо покращення системи мотивації персоналу у ПАТ «Райффайзен Банк Аваль»</w:t>
      </w:r>
      <w:r w:rsidR="00BA1DDD" w:rsidRPr="007719D8">
        <w:rPr>
          <w:rFonts w:ascii="Times New Roman" w:hAnsi="Times New Roman"/>
          <w:sz w:val="28"/>
          <w:szCs w:val="28"/>
          <w:lang w:val="uk-UA"/>
        </w:rPr>
        <w:t xml:space="preserve"> у відповідності до системи управління вартістю банку.</w:t>
      </w:r>
    </w:p>
    <w:p w:rsidR="00536408" w:rsidRDefault="0053640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ВАРТІСТЬ, КОМЕРЦІЙНИЙ БАНК, ВАРТІСНЕ УПРАВЛІННЯ, ГРОШОВІ ПОТОКИ</w:t>
      </w:r>
      <w:r w:rsidR="007719D8">
        <w:rPr>
          <w:rFonts w:ascii="Times New Roman" w:hAnsi="Times New Roman"/>
          <w:sz w:val="28"/>
          <w:szCs w:val="28"/>
          <w:lang w:val="uk-UA"/>
        </w:rPr>
        <w:t>.</w:t>
      </w:r>
    </w:p>
    <w:p w:rsidR="007719D8" w:rsidRPr="007719D8" w:rsidRDefault="007719D8" w:rsidP="007719D8">
      <w:pPr>
        <w:widowControl w:val="0"/>
        <w:spacing w:line="360" w:lineRule="auto"/>
        <w:ind w:firstLine="709"/>
        <w:jc w:val="both"/>
        <w:rPr>
          <w:rFonts w:ascii="Times New Roman" w:hAnsi="Times New Roman"/>
          <w:sz w:val="28"/>
          <w:szCs w:val="28"/>
          <w:lang w:val="uk-UA"/>
        </w:rPr>
      </w:pPr>
    </w:p>
    <w:p w:rsidR="00E81905" w:rsidRPr="007719D8" w:rsidRDefault="00E8190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br w:type="page"/>
      </w:r>
    </w:p>
    <w:p w:rsidR="0089009A" w:rsidRPr="007719D8" w:rsidRDefault="00536408"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ВСТУП</w:t>
      </w:r>
    </w:p>
    <w:p w:rsidR="005B7066" w:rsidRPr="007719D8" w:rsidRDefault="005B7066" w:rsidP="007719D8">
      <w:pPr>
        <w:widowControl w:val="0"/>
        <w:spacing w:line="360" w:lineRule="auto"/>
        <w:ind w:firstLine="709"/>
        <w:jc w:val="both"/>
        <w:rPr>
          <w:rFonts w:ascii="Times New Roman" w:hAnsi="Times New Roman"/>
          <w:sz w:val="28"/>
          <w:szCs w:val="28"/>
          <w:lang w:val="uk-UA"/>
        </w:rPr>
      </w:pPr>
    </w:p>
    <w:p w:rsidR="005B7066" w:rsidRPr="007719D8" w:rsidRDefault="0053640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Ця курсова</w:t>
      </w:r>
      <w:r w:rsidR="005B7066" w:rsidRPr="007719D8">
        <w:rPr>
          <w:rFonts w:ascii="Times New Roman" w:hAnsi="Times New Roman"/>
          <w:sz w:val="28"/>
          <w:szCs w:val="28"/>
          <w:lang w:val="uk-UA"/>
        </w:rPr>
        <w:t xml:space="preserve"> </w:t>
      </w:r>
      <w:r w:rsidRPr="007719D8">
        <w:rPr>
          <w:rFonts w:ascii="Times New Roman" w:hAnsi="Times New Roman"/>
          <w:sz w:val="28"/>
          <w:szCs w:val="28"/>
          <w:lang w:val="uk-UA"/>
        </w:rPr>
        <w:t>робота</w:t>
      </w:r>
      <w:r w:rsidR="005B7066" w:rsidRPr="007719D8">
        <w:rPr>
          <w:rFonts w:ascii="Times New Roman" w:hAnsi="Times New Roman"/>
          <w:sz w:val="28"/>
          <w:szCs w:val="28"/>
          <w:lang w:val="uk-UA"/>
        </w:rPr>
        <w:t xml:space="preserve"> описує основні принципи та методи теорії вартісного управління компанією, що діє в умовах ринкової економіки, на прикладі комерційного банку </w:t>
      </w:r>
      <w:r w:rsidR="00036022" w:rsidRPr="007719D8">
        <w:rPr>
          <w:rFonts w:ascii="Times New Roman" w:hAnsi="Times New Roman"/>
          <w:sz w:val="28"/>
          <w:szCs w:val="28"/>
          <w:lang w:val="uk-UA"/>
        </w:rPr>
        <w:t>ПАТ «Райффайзен Банк Аваль»</w:t>
      </w:r>
      <w:r w:rsidR="005B7066" w:rsidRPr="007719D8">
        <w:rPr>
          <w:rFonts w:ascii="Times New Roman" w:hAnsi="Times New Roman"/>
          <w:sz w:val="28"/>
          <w:szCs w:val="28"/>
          <w:lang w:val="uk-UA"/>
        </w:rPr>
        <w:t xml:space="preserve">. </w:t>
      </w:r>
    </w:p>
    <w:p w:rsidR="00B4416F" w:rsidRPr="007719D8" w:rsidRDefault="005B706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Актуальність обраної теми полягає у необхідності поступового розвитку корпоративної культури менеджменту українських компаній із </w:t>
      </w:r>
      <w:r w:rsidR="00B4416F" w:rsidRPr="007719D8">
        <w:rPr>
          <w:rFonts w:ascii="Times New Roman" w:hAnsi="Times New Roman"/>
          <w:sz w:val="28"/>
          <w:szCs w:val="28"/>
          <w:lang w:val="uk-UA"/>
        </w:rPr>
        <w:t>залученням нових теоретичних розробок та практичного досвіду західних та вітчизняних компаній. Згадана теорія вартісного управління є гармонійним поєднанням фінансово</w:t>
      </w:r>
      <w:r w:rsidR="002A7A36" w:rsidRPr="007719D8">
        <w:rPr>
          <w:rFonts w:ascii="Times New Roman" w:hAnsi="Times New Roman"/>
          <w:sz w:val="28"/>
          <w:szCs w:val="28"/>
          <w:lang w:val="uk-UA"/>
        </w:rPr>
        <w:t>го</w:t>
      </w:r>
      <w:r w:rsidR="00B4416F" w:rsidRPr="007719D8">
        <w:rPr>
          <w:rFonts w:ascii="Times New Roman" w:hAnsi="Times New Roman"/>
          <w:sz w:val="28"/>
          <w:szCs w:val="28"/>
          <w:lang w:val="uk-UA"/>
        </w:rPr>
        <w:t xml:space="preserve"> менеджменту, стратегічного управління компанією, теорій мотивації та багатьох інших галузей мене</w:t>
      </w:r>
      <w:r w:rsidR="00536408" w:rsidRPr="007719D8">
        <w:rPr>
          <w:rFonts w:ascii="Times New Roman" w:hAnsi="Times New Roman"/>
          <w:sz w:val="28"/>
          <w:szCs w:val="28"/>
          <w:lang w:val="uk-UA"/>
        </w:rPr>
        <w:t>джменту. Емпірично підтверджені</w:t>
      </w:r>
      <w:r w:rsidR="00B4416F" w:rsidRPr="007719D8">
        <w:rPr>
          <w:rFonts w:ascii="Times New Roman" w:hAnsi="Times New Roman"/>
          <w:sz w:val="28"/>
          <w:szCs w:val="28"/>
          <w:lang w:val="uk-UA"/>
        </w:rPr>
        <w:t xml:space="preserve"> результати впровадження вартісного способу мислення у систему управління компанії підтверджують доцільність теорії та її високе практичне значення.</w:t>
      </w:r>
      <w:r w:rsidR="00CA59B3" w:rsidRPr="007719D8">
        <w:rPr>
          <w:rFonts w:ascii="Times New Roman" w:hAnsi="Times New Roman"/>
          <w:sz w:val="28"/>
          <w:szCs w:val="28"/>
        </w:rPr>
        <w:t xml:space="preserve"> </w:t>
      </w:r>
      <w:r w:rsidR="00BA1DDD" w:rsidRPr="007719D8">
        <w:rPr>
          <w:rFonts w:ascii="Times New Roman" w:hAnsi="Times New Roman"/>
          <w:sz w:val="28"/>
          <w:szCs w:val="28"/>
          <w:lang w:val="uk-UA"/>
        </w:rPr>
        <w:t xml:space="preserve">Метою курсової роботи </w:t>
      </w:r>
      <w:r w:rsidR="002A7A36" w:rsidRPr="007719D8">
        <w:rPr>
          <w:rFonts w:ascii="Times New Roman" w:hAnsi="Times New Roman"/>
          <w:sz w:val="28"/>
          <w:szCs w:val="28"/>
          <w:lang w:val="uk-UA"/>
        </w:rPr>
        <w:t>є</w:t>
      </w:r>
      <w:r w:rsidR="007719D8">
        <w:rPr>
          <w:rFonts w:ascii="Times New Roman" w:hAnsi="Times New Roman"/>
          <w:sz w:val="28"/>
          <w:szCs w:val="28"/>
          <w:lang w:val="uk-UA"/>
        </w:rPr>
        <w:t xml:space="preserve"> </w:t>
      </w:r>
      <w:r w:rsidR="00B4416F" w:rsidRPr="007719D8">
        <w:rPr>
          <w:rFonts w:ascii="Times New Roman" w:hAnsi="Times New Roman"/>
          <w:sz w:val="28"/>
          <w:szCs w:val="28"/>
          <w:lang w:val="uk-UA"/>
        </w:rPr>
        <w:t>розкриття особливостей вартісного управління та спроба вдосконалення системи управління комерційного банку із урахуванням особливостей згаданої теорії управління.</w:t>
      </w:r>
    </w:p>
    <w:p w:rsidR="00B4416F" w:rsidRPr="007719D8" w:rsidRDefault="00B4416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Об’єктом дослідження є Публічне Акціонерне Товариство Райффайзен Банк Аваль. Предметом дослідження </w:t>
      </w:r>
      <w:r w:rsidR="00BA1DDD" w:rsidRPr="007719D8">
        <w:rPr>
          <w:rFonts w:ascii="Times New Roman" w:hAnsi="Times New Roman"/>
          <w:sz w:val="28"/>
          <w:szCs w:val="28"/>
          <w:lang w:val="uk-UA"/>
        </w:rPr>
        <w:t>роботи</w:t>
      </w:r>
      <w:r w:rsidRPr="007719D8">
        <w:rPr>
          <w:rFonts w:ascii="Times New Roman" w:hAnsi="Times New Roman"/>
          <w:sz w:val="28"/>
          <w:szCs w:val="28"/>
          <w:lang w:val="uk-UA"/>
        </w:rPr>
        <w:t xml:space="preserve"> є оцінка вартості комерційного банку, системи управління цією вартістю та надання рекомендацій по вдосконаленню</w:t>
      </w:r>
      <w:r w:rsidR="002A7A36" w:rsidRPr="007719D8">
        <w:rPr>
          <w:rFonts w:ascii="Times New Roman" w:hAnsi="Times New Roman"/>
          <w:sz w:val="28"/>
          <w:szCs w:val="28"/>
          <w:lang w:val="uk-UA"/>
        </w:rPr>
        <w:t xml:space="preserve"> системи</w:t>
      </w:r>
      <w:r w:rsidRPr="007719D8">
        <w:rPr>
          <w:rFonts w:ascii="Times New Roman" w:hAnsi="Times New Roman"/>
          <w:sz w:val="28"/>
          <w:szCs w:val="28"/>
          <w:lang w:val="uk-UA"/>
        </w:rPr>
        <w:t>.</w:t>
      </w:r>
    </w:p>
    <w:p w:rsidR="00B4416F" w:rsidRPr="007719D8" w:rsidRDefault="00B4416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Основними задачами, які стоять перед </w:t>
      </w:r>
      <w:r w:rsidR="00267FDE" w:rsidRPr="007719D8">
        <w:rPr>
          <w:rFonts w:ascii="Times New Roman" w:hAnsi="Times New Roman"/>
          <w:sz w:val="28"/>
          <w:szCs w:val="28"/>
          <w:lang w:val="uk-UA"/>
        </w:rPr>
        <w:t>роботою</w:t>
      </w:r>
      <w:r w:rsidRPr="007719D8">
        <w:rPr>
          <w:rFonts w:ascii="Times New Roman" w:hAnsi="Times New Roman"/>
          <w:sz w:val="28"/>
          <w:szCs w:val="28"/>
          <w:lang w:val="uk-UA"/>
        </w:rPr>
        <w:t>, є:</w:t>
      </w:r>
    </w:p>
    <w:p w:rsidR="00B4416F"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вивчення характеристики </w:t>
      </w:r>
      <w:r w:rsidR="00036022" w:rsidRPr="007719D8">
        <w:rPr>
          <w:rFonts w:ascii="Times New Roman" w:hAnsi="Times New Roman"/>
          <w:sz w:val="28"/>
          <w:szCs w:val="28"/>
          <w:lang w:val="uk-UA"/>
        </w:rPr>
        <w:t xml:space="preserve">ПАТ «Райффайзен Банк Аваль» </w:t>
      </w:r>
      <w:r w:rsidRPr="007719D8">
        <w:rPr>
          <w:rFonts w:ascii="Times New Roman" w:hAnsi="Times New Roman"/>
          <w:sz w:val="28"/>
          <w:szCs w:val="28"/>
          <w:lang w:val="uk-UA"/>
        </w:rPr>
        <w:t>та банківського ринку України;</w:t>
      </w:r>
    </w:p>
    <w:p w:rsidR="002A7362"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проведення фінансового аналізу </w:t>
      </w:r>
      <w:r w:rsidR="00036022" w:rsidRPr="007719D8">
        <w:rPr>
          <w:rFonts w:ascii="Times New Roman" w:hAnsi="Times New Roman"/>
          <w:sz w:val="28"/>
          <w:szCs w:val="28"/>
          <w:lang w:val="uk-UA"/>
        </w:rPr>
        <w:t>ПАТ «Райффайзен Банк Аваль»</w:t>
      </w:r>
      <w:r w:rsidRPr="007719D8">
        <w:rPr>
          <w:rFonts w:ascii="Times New Roman" w:hAnsi="Times New Roman"/>
          <w:sz w:val="28"/>
          <w:szCs w:val="28"/>
          <w:lang w:val="uk-UA"/>
        </w:rPr>
        <w:t>;</w:t>
      </w:r>
    </w:p>
    <w:p w:rsidR="002A7362"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висвітлення основ теорії оцінки компаній та управління вартістю комерційних організацій;</w:t>
      </w:r>
    </w:p>
    <w:p w:rsidR="002A7362"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аналіз системи управління вартістю </w:t>
      </w:r>
      <w:r w:rsidR="00036022" w:rsidRPr="007719D8">
        <w:rPr>
          <w:rFonts w:ascii="Times New Roman" w:hAnsi="Times New Roman"/>
          <w:sz w:val="28"/>
          <w:szCs w:val="28"/>
          <w:lang w:val="uk-UA"/>
        </w:rPr>
        <w:t>банку</w:t>
      </w:r>
      <w:r w:rsidRPr="007719D8">
        <w:rPr>
          <w:rFonts w:ascii="Times New Roman" w:hAnsi="Times New Roman"/>
          <w:sz w:val="28"/>
          <w:szCs w:val="28"/>
          <w:lang w:val="uk-UA"/>
        </w:rPr>
        <w:t>;</w:t>
      </w:r>
    </w:p>
    <w:p w:rsidR="002A7362"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проведення оцінки поточної внутрішньої вартості </w:t>
      </w:r>
      <w:r w:rsidR="00036022" w:rsidRPr="007719D8">
        <w:rPr>
          <w:rFonts w:ascii="Times New Roman" w:hAnsi="Times New Roman"/>
          <w:sz w:val="28"/>
          <w:szCs w:val="28"/>
          <w:lang w:val="uk-UA"/>
        </w:rPr>
        <w:t>ПАТ «Райффайзен Банк Аваль»</w:t>
      </w:r>
      <w:r w:rsidRPr="007719D8">
        <w:rPr>
          <w:rFonts w:ascii="Times New Roman" w:hAnsi="Times New Roman"/>
          <w:sz w:val="28"/>
          <w:szCs w:val="28"/>
          <w:lang w:val="uk-UA"/>
        </w:rPr>
        <w:t>;</w:t>
      </w:r>
    </w:p>
    <w:p w:rsidR="002A7362" w:rsidRPr="007719D8" w:rsidRDefault="002A7362" w:rsidP="007719D8">
      <w:pPr>
        <w:pStyle w:val="aa"/>
        <w:widowControl w:val="0"/>
        <w:numPr>
          <w:ilvl w:val="0"/>
          <w:numId w:val="2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надання рекомен</w:t>
      </w:r>
      <w:r w:rsidR="00B05BB4" w:rsidRPr="007719D8">
        <w:rPr>
          <w:rFonts w:ascii="Times New Roman" w:hAnsi="Times New Roman"/>
          <w:sz w:val="28"/>
          <w:szCs w:val="28"/>
          <w:lang w:val="uk-UA"/>
        </w:rPr>
        <w:t xml:space="preserve">дацій по вдосконаленню </w:t>
      </w:r>
      <w:r w:rsidRPr="007719D8">
        <w:rPr>
          <w:rFonts w:ascii="Times New Roman" w:hAnsi="Times New Roman"/>
          <w:sz w:val="28"/>
          <w:szCs w:val="28"/>
          <w:lang w:val="uk-UA"/>
        </w:rPr>
        <w:t xml:space="preserve">управління банком з урахуванням результатів </w:t>
      </w:r>
      <w:r w:rsidR="00B05BB4" w:rsidRPr="007719D8">
        <w:rPr>
          <w:rFonts w:ascii="Times New Roman" w:hAnsi="Times New Roman"/>
          <w:sz w:val="28"/>
          <w:szCs w:val="28"/>
          <w:lang w:val="uk-UA"/>
        </w:rPr>
        <w:t>вирішення попередніх задач</w:t>
      </w:r>
      <w:r w:rsidRPr="007719D8">
        <w:rPr>
          <w:rFonts w:ascii="Times New Roman" w:hAnsi="Times New Roman"/>
          <w:sz w:val="28"/>
          <w:szCs w:val="28"/>
          <w:lang w:val="uk-UA"/>
        </w:rPr>
        <w:t>.</w:t>
      </w:r>
    </w:p>
    <w:p w:rsidR="002A7362" w:rsidRPr="007719D8" w:rsidRDefault="002A736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Основними методами, що будуть використані у процесі реалізації ц</w:t>
      </w:r>
      <w:r w:rsidR="00267FDE" w:rsidRPr="007719D8">
        <w:rPr>
          <w:rFonts w:ascii="Times New Roman" w:hAnsi="Times New Roman"/>
          <w:sz w:val="28"/>
          <w:szCs w:val="28"/>
          <w:lang w:val="uk-UA"/>
        </w:rPr>
        <w:t>ієї курсової</w:t>
      </w:r>
      <w:r w:rsidRPr="007719D8">
        <w:rPr>
          <w:rFonts w:ascii="Times New Roman" w:hAnsi="Times New Roman"/>
          <w:sz w:val="28"/>
          <w:szCs w:val="28"/>
          <w:lang w:val="uk-UA"/>
        </w:rPr>
        <w:t xml:space="preserve"> </w:t>
      </w:r>
      <w:r w:rsidR="00267FDE" w:rsidRPr="007719D8">
        <w:rPr>
          <w:rFonts w:ascii="Times New Roman" w:hAnsi="Times New Roman"/>
          <w:sz w:val="28"/>
          <w:szCs w:val="28"/>
          <w:lang w:val="uk-UA"/>
        </w:rPr>
        <w:t>роботи</w:t>
      </w:r>
      <w:r w:rsidRPr="007719D8">
        <w:rPr>
          <w:rFonts w:ascii="Times New Roman" w:hAnsi="Times New Roman"/>
          <w:sz w:val="28"/>
          <w:szCs w:val="28"/>
          <w:lang w:val="uk-UA"/>
        </w:rPr>
        <w:t>, є:</w:t>
      </w:r>
    </w:p>
    <w:p w:rsidR="002A7362" w:rsidRPr="007719D8" w:rsidRDefault="002A7362" w:rsidP="007719D8">
      <w:pPr>
        <w:pStyle w:val="aa"/>
        <w:widowControl w:val="0"/>
        <w:numPr>
          <w:ilvl w:val="0"/>
          <w:numId w:val="2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метод фінансових коефіцієнтів;</w:t>
      </w:r>
    </w:p>
    <w:p w:rsidR="002A7362" w:rsidRPr="007719D8" w:rsidRDefault="002A7362" w:rsidP="007719D8">
      <w:pPr>
        <w:pStyle w:val="aa"/>
        <w:widowControl w:val="0"/>
        <w:numPr>
          <w:ilvl w:val="0"/>
          <w:numId w:val="2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метод дисконтування грошових потоків;</w:t>
      </w:r>
    </w:p>
    <w:p w:rsidR="002A7362" w:rsidRPr="007719D8" w:rsidRDefault="002A7362" w:rsidP="007719D8">
      <w:pPr>
        <w:pStyle w:val="aa"/>
        <w:widowControl w:val="0"/>
        <w:numPr>
          <w:ilvl w:val="0"/>
          <w:numId w:val="2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методи класичної </w:t>
      </w:r>
      <w:r w:rsidR="00B40290" w:rsidRPr="007719D8">
        <w:rPr>
          <w:rFonts w:ascii="Times New Roman" w:hAnsi="Times New Roman"/>
          <w:sz w:val="28"/>
          <w:szCs w:val="28"/>
          <w:lang w:val="uk-UA"/>
        </w:rPr>
        <w:t>логіки, аналіз та синтез;</w:t>
      </w:r>
    </w:p>
    <w:p w:rsidR="00B40290" w:rsidRPr="007719D8" w:rsidRDefault="00B40290" w:rsidP="007719D8">
      <w:pPr>
        <w:pStyle w:val="aa"/>
        <w:widowControl w:val="0"/>
        <w:numPr>
          <w:ilvl w:val="0"/>
          <w:numId w:val="2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статистичні методі аналізу.</w:t>
      </w:r>
    </w:p>
    <w:p w:rsidR="007719D8" w:rsidRDefault="007719D8" w:rsidP="007719D8">
      <w:pPr>
        <w:widowControl w:val="0"/>
        <w:spacing w:line="360" w:lineRule="auto"/>
        <w:ind w:firstLine="709"/>
        <w:jc w:val="both"/>
        <w:rPr>
          <w:rFonts w:ascii="Times New Roman" w:hAnsi="Times New Roman"/>
          <w:sz w:val="28"/>
          <w:szCs w:val="30"/>
          <w:lang w:val="uk-UA"/>
        </w:rPr>
      </w:pPr>
    </w:p>
    <w:p w:rsidR="007719D8" w:rsidRDefault="007719D8">
      <w:pPr>
        <w:spacing w:line="240" w:lineRule="auto"/>
        <w:rPr>
          <w:rFonts w:ascii="Times New Roman" w:hAnsi="Times New Roman"/>
          <w:sz w:val="28"/>
          <w:szCs w:val="30"/>
          <w:lang w:val="uk-UA"/>
        </w:rPr>
      </w:pPr>
      <w:r>
        <w:rPr>
          <w:rFonts w:ascii="Times New Roman" w:hAnsi="Times New Roman"/>
          <w:sz w:val="28"/>
          <w:szCs w:val="30"/>
          <w:lang w:val="uk-UA"/>
        </w:rPr>
        <w:br w:type="page"/>
      </w:r>
    </w:p>
    <w:p w:rsidR="00B05BB4" w:rsidRPr="007719D8" w:rsidRDefault="00985EAF"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1 </w:t>
      </w:r>
      <w:r w:rsidR="00B05BB4" w:rsidRPr="007719D8">
        <w:rPr>
          <w:rFonts w:ascii="Times New Roman" w:hAnsi="Times New Roman"/>
          <w:sz w:val="28"/>
          <w:szCs w:val="30"/>
          <w:lang w:val="uk-UA"/>
        </w:rPr>
        <w:t>АНАЛІТИЧНА ЧАСТИНА</w:t>
      </w:r>
    </w:p>
    <w:p w:rsidR="00B05BB4" w:rsidRPr="007719D8" w:rsidRDefault="00B05BB4" w:rsidP="007719D8">
      <w:pPr>
        <w:widowControl w:val="0"/>
        <w:spacing w:line="360" w:lineRule="auto"/>
        <w:ind w:firstLine="709"/>
        <w:jc w:val="both"/>
        <w:rPr>
          <w:rFonts w:ascii="Times New Roman" w:hAnsi="Times New Roman"/>
          <w:sz w:val="28"/>
          <w:szCs w:val="28"/>
          <w:lang w:val="uk-UA"/>
        </w:rPr>
      </w:pPr>
    </w:p>
    <w:p w:rsidR="00E47310" w:rsidRPr="007719D8" w:rsidRDefault="000D3FE6"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1.1</w:t>
      </w:r>
      <w:r w:rsidR="00EC3A9E" w:rsidRPr="007719D8">
        <w:rPr>
          <w:rFonts w:ascii="Times New Roman" w:hAnsi="Times New Roman"/>
          <w:sz w:val="28"/>
          <w:szCs w:val="30"/>
          <w:lang w:val="uk-UA"/>
        </w:rPr>
        <w:t xml:space="preserve"> Характеристика </w:t>
      </w:r>
      <w:r w:rsidR="00036022" w:rsidRPr="007719D8">
        <w:rPr>
          <w:rFonts w:ascii="Times New Roman" w:hAnsi="Times New Roman"/>
          <w:sz w:val="28"/>
          <w:szCs w:val="30"/>
          <w:lang w:val="uk-UA"/>
        </w:rPr>
        <w:t>ПАТ «Райффайзен Банк Аваль»</w:t>
      </w:r>
    </w:p>
    <w:p w:rsidR="004374F0" w:rsidRPr="007719D8" w:rsidRDefault="004374F0" w:rsidP="007719D8">
      <w:pPr>
        <w:widowControl w:val="0"/>
        <w:spacing w:line="360" w:lineRule="auto"/>
        <w:ind w:firstLine="709"/>
        <w:jc w:val="both"/>
        <w:rPr>
          <w:rFonts w:ascii="Times New Roman" w:hAnsi="Times New Roman"/>
          <w:sz w:val="28"/>
          <w:szCs w:val="28"/>
          <w:lang w:val="uk-UA"/>
        </w:rPr>
      </w:pPr>
    </w:p>
    <w:p w:rsidR="00EC3A9E" w:rsidRPr="007719D8" w:rsidRDefault="00EC3A9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Пуб</w:t>
      </w:r>
      <w:r w:rsidR="003C075F" w:rsidRPr="007719D8">
        <w:rPr>
          <w:rFonts w:ascii="Times New Roman" w:hAnsi="Times New Roman"/>
          <w:sz w:val="28"/>
          <w:szCs w:val="28"/>
          <w:lang w:val="uk-UA"/>
        </w:rPr>
        <w:t>лічне акціонерне товариство «Райффайзен Банк Аваль» було зареєстровано у Національному банку України 2 березня 1992 року. Тоді компанія мала назву Акціонерний поштово-пенсійний банк «Аваль». Центральний офіс компанії зареєстровано за адресою: Україна, м. К</w:t>
      </w:r>
      <w:r w:rsidR="007719D8">
        <w:rPr>
          <w:rFonts w:ascii="Times New Roman" w:hAnsi="Times New Roman"/>
          <w:sz w:val="28"/>
          <w:szCs w:val="28"/>
          <w:lang w:val="uk-UA"/>
        </w:rPr>
        <w:t>иїв, вул. Лєскова, 9.</w:t>
      </w:r>
    </w:p>
    <w:p w:rsidR="003C075F" w:rsidRPr="007719D8" w:rsidRDefault="0089009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w:t>
      </w:r>
      <w:r w:rsidR="00B376C4" w:rsidRPr="007719D8">
        <w:rPr>
          <w:rFonts w:ascii="Times New Roman" w:hAnsi="Times New Roman"/>
          <w:sz w:val="28"/>
          <w:szCs w:val="28"/>
          <w:lang w:val="uk-UA"/>
        </w:rPr>
        <w:t>ижче наводяться основні показники діяльності банку с</w:t>
      </w:r>
      <w:r w:rsidR="003C075F" w:rsidRPr="007719D8">
        <w:rPr>
          <w:rFonts w:ascii="Times New Roman" w:hAnsi="Times New Roman"/>
          <w:sz w:val="28"/>
          <w:szCs w:val="28"/>
          <w:lang w:val="uk-UA"/>
        </w:rPr>
        <w:t xml:space="preserve">таном на </w:t>
      </w:r>
      <w:r w:rsidR="00640B10" w:rsidRPr="007719D8">
        <w:rPr>
          <w:rFonts w:ascii="Times New Roman" w:hAnsi="Times New Roman"/>
          <w:sz w:val="28"/>
          <w:szCs w:val="28"/>
          <w:lang w:val="uk-UA"/>
        </w:rPr>
        <w:t>31</w:t>
      </w:r>
      <w:r w:rsidR="003C075F" w:rsidRPr="007719D8">
        <w:rPr>
          <w:rFonts w:ascii="Times New Roman" w:hAnsi="Times New Roman"/>
          <w:sz w:val="28"/>
          <w:szCs w:val="28"/>
          <w:lang w:val="uk-UA"/>
        </w:rPr>
        <w:t xml:space="preserve"> </w:t>
      </w:r>
      <w:r w:rsidR="00640B10" w:rsidRPr="007719D8">
        <w:rPr>
          <w:rFonts w:ascii="Times New Roman" w:hAnsi="Times New Roman"/>
          <w:sz w:val="28"/>
          <w:szCs w:val="28"/>
          <w:lang w:val="uk-UA"/>
        </w:rPr>
        <w:t>грудня</w:t>
      </w:r>
      <w:r w:rsidR="003C075F" w:rsidRPr="007719D8">
        <w:rPr>
          <w:rFonts w:ascii="Times New Roman" w:hAnsi="Times New Roman"/>
          <w:sz w:val="28"/>
          <w:szCs w:val="28"/>
          <w:lang w:val="uk-UA"/>
        </w:rPr>
        <w:t xml:space="preserve"> 2009 року</w:t>
      </w:r>
      <w:r w:rsidR="00B376C4" w:rsidRPr="007719D8">
        <w:rPr>
          <w:rFonts w:ascii="Times New Roman" w:hAnsi="Times New Roman"/>
          <w:sz w:val="28"/>
          <w:szCs w:val="28"/>
          <w:lang w:val="uk-UA"/>
        </w:rPr>
        <w:t xml:space="preserve"> (згідно даних бухгалтерського обліку).</w:t>
      </w:r>
      <w:r w:rsidR="003C075F" w:rsidRPr="007719D8">
        <w:rPr>
          <w:rFonts w:ascii="Times New Roman" w:hAnsi="Times New Roman"/>
          <w:sz w:val="28"/>
          <w:szCs w:val="28"/>
          <w:lang w:val="uk-UA"/>
        </w:rPr>
        <w:t xml:space="preserve"> </w:t>
      </w:r>
      <w:r w:rsidR="00B376C4" w:rsidRPr="007719D8">
        <w:rPr>
          <w:rFonts w:ascii="Times New Roman" w:hAnsi="Times New Roman"/>
          <w:sz w:val="28"/>
          <w:szCs w:val="28"/>
          <w:lang w:val="uk-UA"/>
        </w:rPr>
        <w:t>С</w:t>
      </w:r>
      <w:r w:rsidR="003C075F" w:rsidRPr="007719D8">
        <w:rPr>
          <w:rFonts w:ascii="Times New Roman" w:hAnsi="Times New Roman"/>
          <w:sz w:val="28"/>
          <w:szCs w:val="28"/>
          <w:lang w:val="uk-UA"/>
        </w:rPr>
        <w:t>татутний капітал б</w:t>
      </w:r>
      <w:r w:rsidR="002C3F89" w:rsidRPr="007719D8">
        <w:rPr>
          <w:rFonts w:ascii="Times New Roman" w:hAnsi="Times New Roman"/>
          <w:sz w:val="28"/>
          <w:szCs w:val="28"/>
          <w:lang w:val="uk-UA"/>
        </w:rPr>
        <w:t>анку становив 2 419 935 тис</w:t>
      </w:r>
      <w:r w:rsidR="00164D26" w:rsidRPr="007719D8">
        <w:rPr>
          <w:rFonts w:ascii="Times New Roman" w:hAnsi="Times New Roman"/>
          <w:sz w:val="28"/>
          <w:szCs w:val="28"/>
          <w:lang w:val="uk-UA"/>
        </w:rPr>
        <w:t>.</w:t>
      </w:r>
      <w:r w:rsidR="002C3F89"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2C3F89" w:rsidRPr="007719D8">
        <w:rPr>
          <w:rFonts w:ascii="Times New Roman" w:hAnsi="Times New Roman"/>
          <w:sz w:val="28"/>
          <w:szCs w:val="28"/>
          <w:lang w:val="uk-UA"/>
        </w:rPr>
        <w:t xml:space="preserve"> (24 419,935 млн. звичайних акцій та 50 млн. привілейованих акцій)</w:t>
      </w:r>
      <w:r w:rsidR="00B376C4" w:rsidRPr="007719D8">
        <w:rPr>
          <w:rFonts w:ascii="Times New Roman" w:hAnsi="Times New Roman"/>
          <w:sz w:val="28"/>
          <w:szCs w:val="28"/>
          <w:lang w:val="uk-UA"/>
        </w:rPr>
        <w:t>;</w:t>
      </w:r>
      <w:r w:rsidR="003C075F" w:rsidRPr="007719D8">
        <w:rPr>
          <w:rFonts w:ascii="Times New Roman" w:hAnsi="Times New Roman"/>
          <w:sz w:val="28"/>
          <w:szCs w:val="28"/>
          <w:lang w:val="uk-UA"/>
        </w:rPr>
        <w:t xml:space="preserve"> разом із сформованими резервами, емісійними різницями, </w:t>
      </w:r>
      <w:r w:rsidR="00B376C4" w:rsidRPr="007719D8">
        <w:rPr>
          <w:rFonts w:ascii="Times New Roman" w:hAnsi="Times New Roman"/>
          <w:sz w:val="28"/>
          <w:szCs w:val="28"/>
          <w:lang w:val="uk-UA"/>
        </w:rPr>
        <w:t>прибутками минулих та поточних періодів загальний обсяг власного капіталу банку становив 5 </w:t>
      </w:r>
      <w:r w:rsidR="00640B10" w:rsidRPr="007719D8">
        <w:rPr>
          <w:rFonts w:ascii="Times New Roman" w:hAnsi="Times New Roman"/>
          <w:sz w:val="28"/>
          <w:szCs w:val="28"/>
          <w:lang w:val="uk-UA"/>
        </w:rPr>
        <w:t>312</w:t>
      </w:r>
      <w:r w:rsidR="00B376C4" w:rsidRPr="007719D8">
        <w:rPr>
          <w:rFonts w:ascii="Times New Roman" w:hAnsi="Times New Roman"/>
          <w:sz w:val="28"/>
          <w:szCs w:val="28"/>
          <w:lang w:val="uk-UA"/>
        </w:rPr>
        <w:t> </w:t>
      </w:r>
      <w:r w:rsidR="00640B10" w:rsidRPr="007719D8">
        <w:rPr>
          <w:rFonts w:ascii="Times New Roman" w:hAnsi="Times New Roman"/>
          <w:sz w:val="28"/>
          <w:szCs w:val="28"/>
          <w:lang w:val="uk-UA"/>
        </w:rPr>
        <w:t>935</w:t>
      </w:r>
      <w:r w:rsidR="00B376C4"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00B376C4" w:rsidRPr="007719D8">
        <w:rPr>
          <w:rFonts w:ascii="Times New Roman" w:hAnsi="Times New Roman"/>
          <w:sz w:val="28"/>
          <w:szCs w:val="28"/>
          <w:lang w:val="uk-UA"/>
        </w:rPr>
        <w:t xml:space="preserve"> грн. Загальний обсяг </w:t>
      </w:r>
      <w:r w:rsidRPr="007719D8">
        <w:rPr>
          <w:rFonts w:ascii="Times New Roman" w:hAnsi="Times New Roman"/>
          <w:sz w:val="28"/>
          <w:szCs w:val="28"/>
          <w:lang w:val="uk-UA"/>
        </w:rPr>
        <w:t xml:space="preserve">балансових </w:t>
      </w:r>
      <w:r w:rsidR="00B376C4" w:rsidRPr="007719D8">
        <w:rPr>
          <w:rFonts w:ascii="Times New Roman" w:hAnsi="Times New Roman"/>
          <w:sz w:val="28"/>
          <w:szCs w:val="28"/>
          <w:lang w:val="uk-UA"/>
        </w:rPr>
        <w:t xml:space="preserve">активів склав </w:t>
      </w:r>
      <w:r w:rsidR="00640B10" w:rsidRPr="007719D8">
        <w:rPr>
          <w:rFonts w:ascii="Times New Roman" w:hAnsi="Times New Roman"/>
          <w:sz w:val="28"/>
          <w:szCs w:val="28"/>
          <w:lang w:val="uk-UA"/>
        </w:rPr>
        <w:t>54 048 003</w:t>
      </w:r>
      <w:r w:rsidR="00B376C4"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00B376C4"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B376C4" w:rsidRPr="007719D8">
        <w:rPr>
          <w:rFonts w:ascii="Times New Roman" w:hAnsi="Times New Roman"/>
          <w:sz w:val="28"/>
          <w:szCs w:val="28"/>
          <w:lang w:val="uk-UA"/>
        </w:rPr>
        <w:t xml:space="preserve">, у т.ч.: кредитно-інвестиційний портфель – </w:t>
      </w:r>
      <w:r w:rsidR="00640B10" w:rsidRPr="007719D8">
        <w:rPr>
          <w:rFonts w:ascii="Times New Roman" w:hAnsi="Times New Roman"/>
          <w:sz w:val="28"/>
          <w:szCs w:val="28"/>
          <w:lang w:val="uk-UA"/>
        </w:rPr>
        <w:t>48 724 527</w:t>
      </w:r>
      <w:r w:rsidR="00B376C4"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00B376C4"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B376C4" w:rsidRPr="007719D8">
        <w:rPr>
          <w:rFonts w:ascii="Times New Roman" w:hAnsi="Times New Roman"/>
          <w:sz w:val="28"/>
          <w:szCs w:val="28"/>
          <w:lang w:val="uk-UA"/>
        </w:rPr>
        <w:t xml:space="preserve">, ліквідні активи </w:t>
      </w:r>
      <w:r w:rsidR="00B9526D" w:rsidRPr="007719D8">
        <w:rPr>
          <w:rFonts w:ascii="Times New Roman" w:hAnsi="Times New Roman"/>
          <w:sz w:val="28"/>
          <w:szCs w:val="28"/>
          <w:lang w:val="uk-UA"/>
        </w:rPr>
        <w:t xml:space="preserve">– </w:t>
      </w:r>
      <w:r w:rsidR="00640B10" w:rsidRPr="007719D8">
        <w:rPr>
          <w:rFonts w:ascii="Times New Roman" w:hAnsi="Times New Roman"/>
          <w:sz w:val="28"/>
          <w:szCs w:val="28"/>
          <w:lang w:val="uk-UA"/>
        </w:rPr>
        <w:t>7 530 532</w:t>
      </w:r>
      <w:r w:rsidR="00B9526D"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00B9526D"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A05941" w:rsidRPr="007719D8">
        <w:rPr>
          <w:rFonts w:ascii="Times New Roman" w:hAnsi="Times New Roman"/>
          <w:sz w:val="28"/>
          <w:szCs w:val="28"/>
          <w:lang w:val="uk-UA"/>
        </w:rPr>
        <w:t xml:space="preserve">, основні засоби та нематеріальні активи – </w:t>
      </w:r>
      <w:r w:rsidR="00640B10" w:rsidRPr="007719D8">
        <w:rPr>
          <w:rFonts w:ascii="Times New Roman" w:hAnsi="Times New Roman"/>
          <w:sz w:val="28"/>
          <w:szCs w:val="28"/>
          <w:lang w:val="uk-UA"/>
        </w:rPr>
        <w:t>2 973 000</w:t>
      </w:r>
      <w:r w:rsidR="00A05941" w:rsidRPr="007719D8">
        <w:rPr>
          <w:rFonts w:ascii="Times New Roman" w:hAnsi="Times New Roman"/>
          <w:sz w:val="28"/>
          <w:szCs w:val="28"/>
          <w:lang w:val="uk-UA"/>
        </w:rPr>
        <w:t xml:space="preserve"> </w:t>
      </w:r>
      <w:r w:rsidR="002A7A36" w:rsidRPr="007719D8">
        <w:rPr>
          <w:rFonts w:ascii="Times New Roman" w:hAnsi="Times New Roman"/>
          <w:sz w:val="28"/>
          <w:szCs w:val="28"/>
          <w:lang w:val="uk-UA"/>
        </w:rPr>
        <w:t>тис</w:t>
      </w:r>
      <w:r w:rsidR="00164D26" w:rsidRPr="007719D8">
        <w:rPr>
          <w:rFonts w:ascii="Times New Roman" w:hAnsi="Times New Roman"/>
          <w:sz w:val="28"/>
          <w:szCs w:val="28"/>
          <w:lang w:val="uk-UA"/>
        </w:rPr>
        <w:t>.</w:t>
      </w:r>
      <w:r w:rsidR="002A7A36"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2A7A36" w:rsidRPr="007719D8">
        <w:rPr>
          <w:rFonts w:ascii="Times New Roman" w:hAnsi="Times New Roman"/>
          <w:sz w:val="28"/>
          <w:szCs w:val="28"/>
          <w:lang w:val="uk-UA"/>
        </w:rPr>
        <w:t xml:space="preserve"> </w:t>
      </w:r>
      <w:r w:rsidR="00A05941" w:rsidRPr="007719D8">
        <w:rPr>
          <w:rFonts w:ascii="Times New Roman" w:hAnsi="Times New Roman"/>
          <w:sz w:val="28"/>
          <w:szCs w:val="28"/>
          <w:lang w:val="uk-UA"/>
        </w:rPr>
        <w:t xml:space="preserve">(сума перелічених активів перевищує валюту балансу через формування резервів під знецінення кредитів на суму </w:t>
      </w:r>
      <w:r w:rsidR="00640B10" w:rsidRPr="007719D8">
        <w:rPr>
          <w:rFonts w:ascii="Times New Roman" w:hAnsi="Times New Roman"/>
          <w:sz w:val="28"/>
          <w:szCs w:val="28"/>
          <w:lang w:val="uk-UA"/>
        </w:rPr>
        <w:t>9 597 294</w:t>
      </w:r>
      <w:r w:rsidR="00A05941"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00A05941"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00640B10" w:rsidRPr="007719D8">
        <w:rPr>
          <w:rFonts w:ascii="Times New Roman" w:hAnsi="Times New Roman"/>
          <w:sz w:val="28"/>
          <w:szCs w:val="28"/>
          <w:lang w:val="uk-UA"/>
        </w:rPr>
        <w:t xml:space="preserve"> за контрактивними рахунками</w:t>
      </w:r>
      <w:r w:rsidR="00A05941" w:rsidRPr="007719D8">
        <w:rPr>
          <w:rFonts w:ascii="Times New Roman" w:hAnsi="Times New Roman"/>
          <w:sz w:val="28"/>
          <w:szCs w:val="28"/>
          <w:lang w:val="uk-UA"/>
        </w:rPr>
        <w:t xml:space="preserve">). </w:t>
      </w:r>
    </w:p>
    <w:p w:rsidR="00640B10" w:rsidRPr="007719D8" w:rsidRDefault="00640B1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Загальний обсяг отриманих чистих процентних доходів банку за </w:t>
      </w:r>
      <w:r w:rsidR="0089009A" w:rsidRPr="007719D8">
        <w:rPr>
          <w:rFonts w:ascii="Times New Roman" w:hAnsi="Times New Roman"/>
          <w:sz w:val="28"/>
          <w:szCs w:val="28"/>
          <w:lang w:val="uk-UA"/>
        </w:rPr>
        <w:t>4</w:t>
      </w:r>
      <w:r w:rsidR="002A7A36" w:rsidRPr="007719D8">
        <w:rPr>
          <w:rFonts w:ascii="Times New Roman" w:hAnsi="Times New Roman"/>
          <w:sz w:val="28"/>
          <w:szCs w:val="28"/>
          <w:lang w:val="uk-UA"/>
        </w:rPr>
        <w:t xml:space="preserve"> квартали 2009 року склав</w:t>
      </w:r>
      <w:r w:rsidRPr="007719D8">
        <w:rPr>
          <w:rFonts w:ascii="Times New Roman" w:hAnsi="Times New Roman"/>
          <w:sz w:val="28"/>
          <w:szCs w:val="28"/>
          <w:lang w:val="uk-UA"/>
        </w:rPr>
        <w:t xml:space="preserve"> </w:t>
      </w:r>
      <w:r w:rsidR="002C3F89" w:rsidRPr="007719D8">
        <w:rPr>
          <w:rFonts w:ascii="Times New Roman" w:hAnsi="Times New Roman"/>
          <w:sz w:val="28"/>
          <w:szCs w:val="28"/>
          <w:lang w:val="uk-UA"/>
        </w:rPr>
        <w:t>4 287 797</w:t>
      </w:r>
      <w:r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чистий комісійних дохід – </w:t>
      </w:r>
      <w:r w:rsidR="002C3F89" w:rsidRPr="007719D8">
        <w:rPr>
          <w:rFonts w:ascii="Times New Roman" w:hAnsi="Times New Roman"/>
          <w:sz w:val="28"/>
          <w:szCs w:val="28"/>
          <w:lang w:val="uk-UA"/>
        </w:rPr>
        <w:t>1 163 878</w:t>
      </w:r>
      <w:r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грн. Фінансовий результат банку за </w:t>
      </w:r>
      <w:r w:rsidR="002A7A36" w:rsidRPr="007719D8">
        <w:rPr>
          <w:rFonts w:ascii="Times New Roman" w:hAnsi="Times New Roman"/>
          <w:sz w:val="28"/>
          <w:szCs w:val="28"/>
          <w:lang w:val="uk-UA"/>
        </w:rPr>
        <w:t>чотири</w:t>
      </w:r>
      <w:r w:rsidRPr="007719D8">
        <w:rPr>
          <w:rFonts w:ascii="Times New Roman" w:hAnsi="Times New Roman"/>
          <w:sz w:val="28"/>
          <w:szCs w:val="28"/>
          <w:lang w:val="uk-UA"/>
        </w:rPr>
        <w:t xml:space="preserve"> квартали склав (</w:t>
      </w:r>
      <w:r w:rsidR="002C3F89" w:rsidRPr="007719D8">
        <w:rPr>
          <w:rFonts w:ascii="Times New Roman" w:hAnsi="Times New Roman"/>
          <w:sz w:val="28"/>
          <w:szCs w:val="28"/>
          <w:lang w:val="uk-UA"/>
        </w:rPr>
        <w:t>2 019 070</w:t>
      </w:r>
      <w:r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грн</w:t>
      </w:r>
      <w:r w:rsidR="00164D26" w:rsidRPr="007719D8">
        <w:rPr>
          <w:rFonts w:ascii="Times New Roman" w:hAnsi="Times New Roman"/>
          <w:sz w:val="28"/>
          <w:szCs w:val="28"/>
          <w:lang w:val="uk-UA"/>
        </w:rPr>
        <w:t>.</w:t>
      </w:r>
      <w:r w:rsidRPr="007719D8">
        <w:rPr>
          <w:rFonts w:ascii="Times New Roman" w:hAnsi="Times New Roman"/>
          <w:sz w:val="28"/>
          <w:szCs w:val="28"/>
          <w:lang w:val="uk-UA"/>
        </w:rPr>
        <w:t>): такий негативний показник обумовлений тим, що банк відповідно до вимог НБУ</w:t>
      </w:r>
      <w:r w:rsidR="007719D8">
        <w:rPr>
          <w:rFonts w:ascii="Times New Roman" w:hAnsi="Times New Roman"/>
          <w:sz w:val="28"/>
          <w:szCs w:val="28"/>
          <w:lang w:val="uk-UA"/>
        </w:rPr>
        <w:t xml:space="preserve"> </w:t>
      </w:r>
      <w:r w:rsidR="00185FD8" w:rsidRPr="007719D8">
        <w:rPr>
          <w:rFonts w:ascii="Times New Roman" w:hAnsi="Times New Roman"/>
          <w:sz w:val="28"/>
          <w:szCs w:val="28"/>
          <w:lang w:val="uk-UA"/>
        </w:rPr>
        <w:t>за 2009 рік сформував резервів</w:t>
      </w:r>
      <w:r w:rsidRPr="007719D8">
        <w:rPr>
          <w:rFonts w:ascii="Times New Roman" w:hAnsi="Times New Roman"/>
          <w:sz w:val="28"/>
          <w:szCs w:val="28"/>
          <w:lang w:val="uk-UA"/>
        </w:rPr>
        <w:t xml:space="preserve"> під знецінення кредитів на загальну суму </w:t>
      </w:r>
      <w:r w:rsidR="002C3F89" w:rsidRPr="007719D8">
        <w:rPr>
          <w:rFonts w:ascii="Times New Roman" w:hAnsi="Times New Roman"/>
          <w:sz w:val="28"/>
          <w:szCs w:val="28"/>
          <w:lang w:val="uk-UA"/>
        </w:rPr>
        <w:t>5 497 025</w:t>
      </w:r>
      <w:r w:rsidRPr="007719D8">
        <w:rPr>
          <w:rFonts w:ascii="Times New Roman" w:hAnsi="Times New Roman"/>
          <w:sz w:val="28"/>
          <w:szCs w:val="28"/>
          <w:lang w:val="uk-UA"/>
        </w:rPr>
        <w:t xml:space="preserve"> тис</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грн. </w:t>
      </w:r>
    </w:p>
    <w:p w:rsidR="002C3F89" w:rsidRPr="007719D8" w:rsidRDefault="002C3F8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Станом на 31 грудня 2009 року </w:t>
      </w:r>
      <w:r w:rsidR="0089009A" w:rsidRPr="007719D8">
        <w:rPr>
          <w:rFonts w:ascii="Times New Roman" w:hAnsi="Times New Roman"/>
          <w:sz w:val="28"/>
          <w:szCs w:val="28"/>
          <w:lang w:val="uk-UA"/>
        </w:rPr>
        <w:t>штат працівників банку складався з</w:t>
      </w:r>
      <w:r w:rsidRPr="007719D8">
        <w:rPr>
          <w:rFonts w:ascii="Times New Roman" w:hAnsi="Times New Roman"/>
          <w:sz w:val="28"/>
          <w:szCs w:val="28"/>
          <w:lang w:val="uk-UA"/>
        </w:rPr>
        <w:t xml:space="preserve"> </w:t>
      </w:r>
      <w:r w:rsidR="00743978" w:rsidRPr="007719D8">
        <w:rPr>
          <w:rFonts w:ascii="Times New Roman" w:hAnsi="Times New Roman"/>
          <w:sz w:val="28"/>
          <w:szCs w:val="28"/>
          <w:lang w:val="uk-UA"/>
        </w:rPr>
        <w:t>17491</w:t>
      </w:r>
      <w:r w:rsidRPr="007719D8">
        <w:rPr>
          <w:rFonts w:ascii="Times New Roman" w:hAnsi="Times New Roman"/>
          <w:sz w:val="28"/>
          <w:szCs w:val="28"/>
          <w:lang w:val="uk-UA"/>
        </w:rPr>
        <w:t xml:space="preserve"> </w:t>
      </w:r>
      <w:r w:rsidR="0089009A" w:rsidRPr="007719D8">
        <w:rPr>
          <w:rFonts w:ascii="Times New Roman" w:hAnsi="Times New Roman"/>
          <w:sz w:val="28"/>
          <w:szCs w:val="28"/>
          <w:lang w:val="uk-UA"/>
        </w:rPr>
        <w:t>співробітника</w:t>
      </w:r>
      <w:r w:rsidRPr="007719D8">
        <w:rPr>
          <w:rFonts w:ascii="Times New Roman" w:hAnsi="Times New Roman"/>
          <w:sz w:val="28"/>
          <w:szCs w:val="28"/>
          <w:lang w:val="uk-UA"/>
        </w:rPr>
        <w:t>.</w:t>
      </w:r>
    </w:p>
    <w:p w:rsidR="00511C96" w:rsidRPr="007719D8" w:rsidRDefault="00511C9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ПА</w:t>
      </w:r>
      <w:r w:rsidR="00036022" w:rsidRPr="007719D8">
        <w:rPr>
          <w:rFonts w:ascii="Times New Roman" w:hAnsi="Times New Roman"/>
          <w:sz w:val="28"/>
          <w:szCs w:val="28"/>
          <w:lang w:val="uk-UA"/>
        </w:rPr>
        <w:t>Т</w:t>
      </w:r>
      <w:r w:rsidRPr="007719D8">
        <w:rPr>
          <w:rFonts w:ascii="Times New Roman" w:hAnsi="Times New Roman"/>
          <w:sz w:val="28"/>
          <w:szCs w:val="28"/>
          <w:lang w:val="uk-UA"/>
        </w:rPr>
        <w:t xml:space="preserve"> «Райффайзен Банк Аваль» є компанією, що належить до міжнародного банківського холдингу Райффайзен Інтернаціональ Банк-Холдинг АГ (РБГ). Станом на 31 грудня 2006 року консолідований баланс бізнес-групи склав 205 млрд. євро. У свою чергу, ця група є членом іншої банківської групи, асоціації кооперативних банків Європи Unico Banking Group. Ассоціація має більше 170 млрд. евро власного капіталу та сукупний баланс у 3 334 млрд. </w:t>
      </w:r>
      <w:r w:rsidR="00076C89" w:rsidRPr="007719D8">
        <w:rPr>
          <w:rFonts w:ascii="Times New Roman" w:hAnsi="Times New Roman"/>
          <w:sz w:val="28"/>
          <w:szCs w:val="28"/>
          <w:lang w:val="uk-UA"/>
        </w:rPr>
        <w:t>євро.</w:t>
      </w:r>
      <w:r w:rsidRPr="007719D8">
        <w:rPr>
          <w:rFonts w:ascii="Times New Roman" w:hAnsi="Times New Roman"/>
          <w:sz w:val="28"/>
          <w:szCs w:val="28"/>
          <w:lang w:val="uk-UA"/>
        </w:rPr>
        <w:t xml:space="preserve"> </w:t>
      </w:r>
      <w:r w:rsidR="000156C8" w:rsidRPr="007719D8">
        <w:rPr>
          <w:rFonts w:ascii="Times New Roman" w:hAnsi="Times New Roman"/>
          <w:sz w:val="28"/>
          <w:szCs w:val="28"/>
          <w:lang w:val="uk-UA"/>
        </w:rPr>
        <w:t xml:space="preserve">Станом на 31 грудня 2009 року 95,93% акцій </w:t>
      </w:r>
      <w:r w:rsidRPr="007719D8">
        <w:rPr>
          <w:rFonts w:ascii="Times New Roman" w:hAnsi="Times New Roman"/>
          <w:sz w:val="28"/>
          <w:szCs w:val="28"/>
          <w:lang w:val="uk-UA"/>
        </w:rPr>
        <w:t>Райффайзен Банк Аваль належали</w:t>
      </w:r>
      <w:r w:rsidR="000156C8" w:rsidRPr="007719D8">
        <w:rPr>
          <w:rFonts w:ascii="Times New Roman" w:hAnsi="Times New Roman"/>
          <w:sz w:val="28"/>
          <w:szCs w:val="28"/>
          <w:lang w:val="uk-UA"/>
        </w:rPr>
        <w:t xml:space="preserve"> </w:t>
      </w:r>
      <w:r w:rsidRPr="007719D8">
        <w:rPr>
          <w:rFonts w:ascii="Times New Roman" w:hAnsi="Times New Roman"/>
          <w:sz w:val="28"/>
          <w:szCs w:val="28"/>
          <w:lang w:val="uk-UA"/>
        </w:rPr>
        <w:t>РБГ</w:t>
      </w:r>
      <w:r w:rsidR="000156C8" w:rsidRPr="007719D8">
        <w:rPr>
          <w:rFonts w:ascii="Times New Roman" w:hAnsi="Times New Roman"/>
          <w:sz w:val="28"/>
          <w:szCs w:val="28"/>
          <w:lang w:val="uk-UA"/>
        </w:rPr>
        <w:t>.</w:t>
      </w:r>
    </w:p>
    <w:p w:rsidR="000156C8" w:rsidRPr="007719D8" w:rsidRDefault="005D311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Згідно критеріїв резидентної приналежності банківського капіталу</w:t>
      </w:r>
      <w:r w:rsidR="00511C96" w:rsidRPr="007719D8">
        <w:rPr>
          <w:rFonts w:ascii="Times New Roman" w:hAnsi="Times New Roman"/>
          <w:sz w:val="28"/>
          <w:szCs w:val="28"/>
          <w:lang w:val="uk-UA"/>
        </w:rPr>
        <w:t xml:space="preserve"> НБУ</w:t>
      </w:r>
      <w:r w:rsidRPr="007719D8">
        <w:rPr>
          <w:rFonts w:ascii="Times New Roman" w:hAnsi="Times New Roman"/>
          <w:sz w:val="28"/>
          <w:szCs w:val="28"/>
          <w:lang w:val="uk-UA"/>
        </w:rPr>
        <w:t xml:space="preserve">, </w:t>
      </w:r>
      <w:r w:rsidR="00036022" w:rsidRPr="007719D8">
        <w:rPr>
          <w:rFonts w:ascii="Times New Roman" w:hAnsi="Times New Roman"/>
          <w:sz w:val="28"/>
          <w:szCs w:val="28"/>
          <w:lang w:val="uk-UA"/>
        </w:rPr>
        <w:t>ПАТ</w:t>
      </w:r>
      <w:r w:rsidR="00A05EFD" w:rsidRPr="007719D8">
        <w:rPr>
          <w:rFonts w:ascii="Times New Roman" w:hAnsi="Times New Roman"/>
          <w:sz w:val="28"/>
          <w:szCs w:val="28"/>
          <w:lang w:val="uk-UA"/>
        </w:rPr>
        <w:t xml:space="preserve"> «Райффайзен Банк Аваль»</w:t>
      </w:r>
      <w:r w:rsidRPr="007719D8">
        <w:rPr>
          <w:rFonts w:ascii="Times New Roman" w:hAnsi="Times New Roman"/>
          <w:sz w:val="28"/>
          <w:szCs w:val="28"/>
          <w:lang w:val="uk-UA"/>
        </w:rPr>
        <w:t xml:space="preserve"> є комерційним банком з іноземними інвестиціями. До 25 вересня 2006 року банк мав назву Акціонерний поштово-пенсійний банк «Аваль».</w:t>
      </w:r>
    </w:p>
    <w:p w:rsidR="005D3119" w:rsidRPr="007719D8" w:rsidRDefault="00076C8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Банк має один з найширших переліків послуг, що надаються клієнтам та контрагентам. Далі наводиться перелік груп послуг для клієнтів різних сегментів:</w:t>
      </w:r>
    </w:p>
    <w:p w:rsidR="00076C89" w:rsidRPr="007719D8" w:rsidRDefault="00076C89" w:rsidP="007719D8">
      <w:pPr>
        <w:pStyle w:val="aa"/>
        <w:widowControl w:val="0"/>
        <w:numPr>
          <w:ilvl w:val="0"/>
          <w:numId w:val="22"/>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для корпоративних клієнтів</w:t>
      </w:r>
      <w:r w:rsidR="00F26931" w:rsidRPr="007719D8">
        <w:rPr>
          <w:rFonts w:ascii="Times New Roman" w:hAnsi="Times New Roman"/>
          <w:sz w:val="28"/>
          <w:szCs w:val="28"/>
          <w:lang w:val="uk-UA"/>
        </w:rPr>
        <w:t xml:space="preserve"> (підприємства з річним обігом у більш ніж 5 млн</w:t>
      </w:r>
      <w:r w:rsidR="00A60911" w:rsidRPr="007719D8">
        <w:rPr>
          <w:rFonts w:ascii="Times New Roman" w:hAnsi="Times New Roman"/>
          <w:sz w:val="28"/>
          <w:szCs w:val="28"/>
          <w:lang w:val="uk-UA"/>
        </w:rPr>
        <w:t>.</w:t>
      </w:r>
      <w:r w:rsidR="00F26931" w:rsidRPr="007719D8">
        <w:rPr>
          <w:rFonts w:ascii="Times New Roman" w:hAnsi="Times New Roman"/>
          <w:sz w:val="28"/>
          <w:szCs w:val="28"/>
          <w:lang w:val="uk-UA"/>
        </w:rPr>
        <w:t xml:space="preserve"> євро)</w:t>
      </w:r>
      <w:r w:rsidRPr="007719D8">
        <w:rPr>
          <w:rFonts w:ascii="Times New Roman" w:hAnsi="Times New Roman"/>
          <w:sz w:val="28"/>
          <w:szCs w:val="28"/>
          <w:lang w:val="uk-UA"/>
        </w:rPr>
        <w:t>:</w:t>
      </w:r>
    </w:p>
    <w:p w:rsidR="00A05EFD" w:rsidRPr="007719D8" w:rsidRDefault="00076C89" w:rsidP="007719D8">
      <w:pPr>
        <w:pStyle w:val="aa"/>
        <w:widowControl w:val="0"/>
        <w:numPr>
          <w:ilvl w:val="0"/>
          <w:numId w:val="23"/>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комплекс послуг з управління грошовими потоками (cash-management)</w:t>
      </w:r>
      <w:r w:rsidR="00FA01AD" w:rsidRPr="007719D8">
        <w:rPr>
          <w:rFonts w:ascii="Times New Roman" w:hAnsi="Times New Roman"/>
          <w:sz w:val="28"/>
          <w:szCs w:val="28"/>
          <w:lang w:val="uk-UA"/>
        </w:rPr>
        <w:t>: включає окрім традиційного розрахунково-касового обслуговування також різні типи еквайрінгу, контроль платежів регіональних та структурних підрозділів клієнта, автоматичний розподіл ресурсів компанії між підрозділами;</w:t>
      </w:r>
    </w:p>
    <w:p w:rsidR="00A05EFD" w:rsidRPr="007719D8" w:rsidRDefault="00FA01AD" w:rsidP="007719D8">
      <w:pPr>
        <w:pStyle w:val="aa"/>
        <w:widowControl w:val="0"/>
        <w:numPr>
          <w:ilvl w:val="0"/>
          <w:numId w:val="23"/>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фінансування бізнесу: лізинг, фінансування основних та оборотних засобів, надання гарантій, проектне фінансування, надання послуг овердрафту</w:t>
      </w:r>
      <w:r w:rsidR="007719D8">
        <w:rPr>
          <w:rFonts w:ascii="Times New Roman" w:hAnsi="Times New Roman"/>
          <w:sz w:val="28"/>
          <w:szCs w:val="28"/>
          <w:lang w:val="uk-UA"/>
        </w:rPr>
        <w:t xml:space="preserve"> </w:t>
      </w:r>
      <w:r w:rsidRPr="007719D8">
        <w:rPr>
          <w:rFonts w:ascii="Times New Roman" w:hAnsi="Times New Roman"/>
          <w:sz w:val="28"/>
          <w:szCs w:val="28"/>
          <w:lang w:val="uk-UA"/>
        </w:rPr>
        <w:t>на поточному рахунку клієнта;</w:t>
      </w:r>
    </w:p>
    <w:p w:rsidR="00A05EFD" w:rsidRPr="007719D8" w:rsidRDefault="004826C5" w:rsidP="007719D8">
      <w:pPr>
        <w:pStyle w:val="aa"/>
        <w:widowControl w:val="0"/>
        <w:numPr>
          <w:ilvl w:val="0"/>
          <w:numId w:val="23"/>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депозитні продукти;</w:t>
      </w:r>
    </w:p>
    <w:p w:rsidR="00A05EFD" w:rsidRPr="007719D8" w:rsidRDefault="004826C5" w:rsidP="007719D8">
      <w:pPr>
        <w:pStyle w:val="aa"/>
        <w:widowControl w:val="0"/>
        <w:numPr>
          <w:ilvl w:val="0"/>
          <w:numId w:val="23"/>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операції з цінними паперами: кастодіальні послуги, андерайтинг, купівля-продаж цінних паперів за дорученням клієнта, документарні операції (врахування та авалювання векселів, акредитиви);</w:t>
      </w:r>
    </w:p>
    <w:p w:rsidR="004826C5" w:rsidRPr="007719D8" w:rsidRDefault="004826C5" w:rsidP="007719D8">
      <w:pPr>
        <w:pStyle w:val="aa"/>
        <w:widowControl w:val="0"/>
        <w:numPr>
          <w:ilvl w:val="0"/>
          <w:numId w:val="23"/>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юридичні консультації, пошук іноземних партнерів для купівлі-продажу бізнесу.</w:t>
      </w:r>
    </w:p>
    <w:p w:rsidR="00A05EFD" w:rsidRPr="007719D8" w:rsidRDefault="004826C5" w:rsidP="007719D8">
      <w:pPr>
        <w:pStyle w:val="aa"/>
        <w:widowControl w:val="0"/>
        <w:numPr>
          <w:ilvl w:val="0"/>
          <w:numId w:val="24"/>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для клієнтів малого та середнього бізнесу:</w:t>
      </w:r>
    </w:p>
    <w:p w:rsidR="00A05EFD" w:rsidRPr="007719D8" w:rsidRDefault="004826C5" w:rsidP="007719D8">
      <w:pPr>
        <w:pStyle w:val="aa"/>
        <w:widowControl w:val="0"/>
        <w:numPr>
          <w:ilvl w:val="0"/>
          <w:numId w:val="25"/>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розрахунково-касове обслуговування;</w:t>
      </w:r>
    </w:p>
    <w:p w:rsidR="00A05EFD" w:rsidRPr="007719D8" w:rsidRDefault="004826C5" w:rsidP="007719D8">
      <w:pPr>
        <w:pStyle w:val="aa"/>
        <w:widowControl w:val="0"/>
        <w:numPr>
          <w:ilvl w:val="0"/>
          <w:numId w:val="25"/>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фінансування</w:t>
      </w:r>
      <w:r w:rsidR="00A05EFD" w:rsidRPr="007719D8">
        <w:rPr>
          <w:rFonts w:ascii="Times New Roman" w:hAnsi="Times New Roman"/>
          <w:sz w:val="28"/>
          <w:szCs w:val="28"/>
          <w:lang w:val="uk-UA"/>
        </w:rPr>
        <w:t xml:space="preserve"> бізнесу: експрес-кредитування;</w:t>
      </w:r>
    </w:p>
    <w:p w:rsidR="00A05EFD" w:rsidRPr="007719D8" w:rsidRDefault="004826C5" w:rsidP="007719D8">
      <w:pPr>
        <w:pStyle w:val="aa"/>
        <w:widowControl w:val="0"/>
        <w:numPr>
          <w:ilvl w:val="0"/>
          <w:numId w:val="25"/>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інвестиційне кредитування, фінансування поповнення оборотних коштів у вигляді кредитної лінії;</w:t>
      </w:r>
    </w:p>
    <w:p w:rsidR="004826C5" w:rsidRPr="007719D8" w:rsidRDefault="004826C5" w:rsidP="007719D8">
      <w:pPr>
        <w:pStyle w:val="aa"/>
        <w:widowControl w:val="0"/>
        <w:numPr>
          <w:ilvl w:val="0"/>
          <w:numId w:val="25"/>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депозитні послуги.</w:t>
      </w:r>
    </w:p>
    <w:p w:rsidR="004826C5" w:rsidRPr="007719D8" w:rsidRDefault="004826C5" w:rsidP="007719D8">
      <w:pPr>
        <w:pStyle w:val="aa"/>
        <w:widowControl w:val="0"/>
        <w:numPr>
          <w:ilvl w:val="0"/>
          <w:numId w:val="26"/>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для приватних клієнтів:</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депозитні послуги;</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поточні рахунки;</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кредитні картки;</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послуги </w:t>
      </w:r>
      <w:r w:rsidR="00A05EFD" w:rsidRPr="007719D8">
        <w:rPr>
          <w:rFonts w:ascii="Times New Roman" w:hAnsi="Times New Roman"/>
          <w:sz w:val="28"/>
          <w:szCs w:val="28"/>
          <w:lang w:val="uk-UA"/>
        </w:rPr>
        <w:t>для держателів платіжних карток;</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грошові перекази, продаж та інкасування чеків, обмін валют;</w:t>
      </w:r>
    </w:p>
    <w:p w:rsidR="00A05EF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споживче кредитування;</w:t>
      </w:r>
    </w:p>
    <w:p w:rsidR="006B4D8D" w:rsidRPr="007719D8" w:rsidRDefault="006B4D8D" w:rsidP="007719D8">
      <w:pPr>
        <w:pStyle w:val="aa"/>
        <w:widowControl w:val="0"/>
        <w:numPr>
          <w:ilvl w:val="0"/>
          <w:numId w:val="27"/>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надання депозитних сейфів.</w:t>
      </w:r>
    </w:p>
    <w:p w:rsidR="006B4D8D" w:rsidRPr="007719D8" w:rsidRDefault="006B4D8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Банк має широку мережу відділень: станом на 2009 рік їх кількість склала 1139 </w:t>
      </w:r>
      <w:r w:rsidR="0089009A" w:rsidRPr="007719D8">
        <w:rPr>
          <w:rFonts w:ascii="Times New Roman" w:hAnsi="Times New Roman"/>
          <w:sz w:val="28"/>
          <w:szCs w:val="28"/>
          <w:lang w:val="uk-UA"/>
        </w:rPr>
        <w:t>одиниць</w:t>
      </w:r>
      <w:r w:rsidRPr="007719D8">
        <w:rPr>
          <w:rFonts w:ascii="Times New Roman" w:hAnsi="Times New Roman"/>
          <w:sz w:val="28"/>
          <w:szCs w:val="28"/>
          <w:lang w:val="uk-UA"/>
        </w:rPr>
        <w:t xml:space="preserve">. Для клієнтів всіх сегментів на території України працює 2615 банкоматів. </w:t>
      </w:r>
      <w:r w:rsidR="00F26931" w:rsidRPr="007719D8">
        <w:rPr>
          <w:rFonts w:ascii="Times New Roman" w:hAnsi="Times New Roman"/>
          <w:sz w:val="28"/>
          <w:szCs w:val="28"/>
          <w:lang w:val="uk-UA"/>
        </w:rPr>
        <w:t>Клієнтська база юридичних осіб станом на 1 вересня 2009 року складала 233 тис. клієнтів, база фізичних осіб – 4711 тис. клієнтів.</w:t>
      </w:r>
    </w:p>
    <w:p w:rsidR="006B4D8D" w:rsidRPr="007719D8" w:rsidRDefault="006B4D8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Банк підтримує кореспондентські відносини з 201 банко</w:t>
      </w:r>
      <w:r w:rsidR="00185FD8" w:rsidRPr="007719D8">
        <w:rPr>
          <w:rFonts w:ascii="Times New Roman" w:hAnsi="Times New Roman"/>
          <w:sz w:val="28"/>
          <w:szCs w:val="28"/>
          <w:lang w:val="uk-UA"/>
        </w:rPr>
        <w:t>м світу</w:t>
      </w:r>
      <w:r w:rsidRPr="007719D8">
        <w:rPr>
          <w:rFonts w:ascii="Times New Roman" w:hAnsi="Times New Roman"/>
          <w:sz w:val="28"/>
          <w:szCs w:val="28"/>
          <w:lang w:val="uk-UA"/>
        </w:rPr>
        <w:t>, активно бере учать у клірингових операціях</w:t>
      </w:r>
      <w:r w:rsidR="0089009A" w:rsidRPr="007719D8">
        <w:rPr>
          <w:rFonts w:ascii="Times New Roman" w:hAnsi="Times New Roman"/>
          <w:sz w:val="28"/>
          <w:szCs w:val="28"/>
          <w:lang w:val="uk-UA"/>
        </w:rPr>
        <w:t xml:space="preserve"> між фінансовими установами України та світу</w:t>
      </w:r>
      <w:r w:rsidRPr="007719D8">
        <w:rPr>
          <w:rFonts w:ascii="Times New Roman" w:hAnsi="Times New Roman"/>
          <w:sz w:val="28"/>
          <w:szCs w:val="28"/>
          <w:lang w:val="uk-UA"/>
        </w:rPr>
        <w:t>.</w:t>
      </w:r>
    </w:p>
    <w:p w:rsidR="006B1890" w:rsidRPr="007719D8" w:rsidRDefault="006B189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Також банк має дві дочірні компанії: КУА «Райффайзен Аваль» та Лізингову компанію «Райффайзен Лізинг Аваль» (</w:t>
      </w:r>
      <w:r w:rsidR="00CF7DE8" w:rsidRPr="007719D8">
        <w:rPr>
          <w:rFonts w:ascii="Times New Roman" w:hAnsi="Times New Roman"/>
          <w:sz w:val="28"/>
          <w:szCs w:val="28"/>
          <w:lang w:val="uk-UA"/>
        </w:rPr>
        <w:t xml:space="preserve">щодо останньої: </w:t>
      </w:r>
      <w:r w:rsidRPr="007719D8">
        <w:rPr>
          <w:rFonts w:ascii="Times New Roman" w:hAnsi="Times New Roman"/>
          <w:sz w:val="28"/>
          <w:szCs w:val="28"/>
          <w:lang w:val="uk-UA"/>
        </w:rPr>
        <w:t xml:space="preserve">частка на ринку лізингу України – 9%). </w:t>
      </w:r>
    </w:p>
    <w:p w:rsidR="006B4D8D" w:rsidRPr="007719D8" w:rsidRDefault="0003602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ПАТ «Райффайзен Банк Аваль» </w:t>
      </w:r>
      <w:r w:rsidR="006257F1" w:rsidRPr="007719D8">
        <w:rPr>
          <w:rFonts w:ascii="Times New Roman" w:hAnsi="Times New Roman"/>
          <w:sz w:val="28"/>
          <w:szCs w:val="28"/>
          <w:lang w:val="uk-UA"/>
        </w:rPr>
        <w:t xml:space="preserve">посідає вагоме місце у банківський </w:t>
      </w:r>
      <w:r w:rsidR="006A44D4" w:rsidRPr="007719D8">
        <w:rPr>
          <w:rFonts w:ascii="Times New Roman" w:hAnsi="Times New Roman"/>
          <w:sz w:val="28"/>
          <w:szCs w:val="28"/>
          <w:lang w:val="uk-UA"/>
        </w:rPr>
        <w:t xml:space="preserve">системі України. Нижче наводяться показники часток банківського ринку України для </w:t>
      </w:r>
      <w:r w:rsidR="006B1890" w:rsidRPr="007719D8">
        <w:rPr>
          <w:rFonts w:ascii="Times New Roman" w:hAnsi="Times New Roman"/>
          <w:sz w:val="28"/>
          <w:szCs w:val="28"/>
          <w:lang w:val="uk-UA"/>
        </w:rPr>
        <w:t xml:space="preserve">досліджуваного </w:t>
      </w:r>
      <w:r w:rsidR="006A44D4" w:rsidRPr="007719D8">
        <w:rPr>
          <w:rFonts w:ascii="Times New Roman" w:hAnsi="Times New Roman"/>
          <w:sz w:val="28"/>
          <w:szCs w:val="28"/>
          <w:lang w:val="uk-UA"/>
        </w:rPr>
        <w:t>банку:</w:t>
      </w:r>
    </w:p>
    <w:p w:rsidR="004826C5" w:rsidRPr="007719D8" w:rsidRDefault="006A44D4" w:rsidP="007719D8">
      <w:pPr>
        <w:pStyle w:val="aa"/>
        <w:widowControl w:val="0"/>
        <w:numPr>
          <w:ilvl w:val="0"/>
          <w:numId w:val="12"/>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5,82% від активів системи</w:t>
      </w:r>
      <w:r w:rsidR="00D052A5" w:rsidRPr="007719D8">
        <w:rPr>
          <w:rFonts w:ascii="Times New Roman" w:hAnsi="Times New Roman"/>
          <w:sz w:val="28"/>
          <w:szCs w:val="28"/>
          <w:lang w:val="uk-UA"/>
        </w:rPr>
        <w:t>;</w:t>
      </w:r>
    </w:p>
    <w:p w:rsidR="00D052A5" w:rsidRPr="007719D8" w:rsidRDefault="00D052A5" w:rsidP="007719D8">
      <w:pPr>
        <w:pStyle w:val="aa"/>
        <w:widowControl w:val="0"/>
        <w:numPr>
          <w:ilvl w:val="0"/>
          <w:numId w:val="12"/>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7,73% від депозитів системи;</w:t>
      </w:r>
    </w:p>
    <w:p w:rsidR="00D052A5" w:rsidRPr="007719D8" w:rsidRDefault="00D052A5" w:rsidP="007719D8">
      <w:pPr>
        <w:pStyle w:val="aa"/>
        <w:widowControl w:val="0"/>
        <w:numPr>
          <w:ilvl w:val="0"/>
          <w:numId w:val="12"/>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6,61% від балансового капіталу системи.</w:t>
      </w:r>
    </w:p>
    <w:p w:rsidR="006B1890" w:rsidRPr="007719D8" w:rsidRDefault="005D33C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Организаційна структура банку має гібридний характер.</w:t>
      </w:r>
      <w:r w:rsidR="007719D8">
        <w:rPr>
          <w:rFonts w:ascii="Times New Roman" w:hAnsi="Times New Roman"/>
          <w:sz w:val="28"/>
          <w:szCs w:val="28"/>
          <w:lang w:val="uk-UA"/>
        </w:rPr>
        <w:t xml:space="preserve"> </w:t>
      </w:r>
      <w:r w:rsidR="006B1890" w:rsidRPr="007719D8">
        <w:rPr>
          <w:rFonts w:ascii="Times New Roman" w:hAnsi="Times New Roman"/>
          <w:sz w:val="28"/>
          <w:szCs w:val="28"/>
          <w:lang w:val="uk-UA"/>
        </w:rPr>
        <w:t xml:space="preserve">Вище керівництво банку </w:t>
      </w:r>
      <w:r w:rsidR="008759DE" w:rsidRPr="007719D8">
        <w:rPr>
          <w:rFonts w:ascii="Times New Roman" w:hAnsi="Times New Roman"/>
          <w:sz w:val="28"/>
          <w:szCs w:val="28"/>
          <w:lang w:val="uk-UA"/>
        </w:rPr>
        <w:t>складається</w:t>
      </w:r>
      <w:r w:rsidR="007719D8">
        <w:rPr>
          <w:rFonts w:ascii="Times New Roman" w:hAnsi="Times New Roman"/>
          <w:sz w:val="28"/>
          <w:szCs w:val="28"/>
          <w:lang w:val="uk-UA"/>
        </w:rPr>
        <w:t xml:space="preserve"> </w:t>
      </w:r>
      <w:r w:rsidR="008759DE" w:rsidRPr="007719D8">
        <w:rPr>
          <w:rFonts w:ascii="Times New Roman" w:hAnsi="Times New Roman"/>
          <w:sz w:val="28"/>
          <w:szCs w:val="28"/>
          <w:lang w:val="uk-UA"/>
        </w:rPr>
        <w:t>з трьох рівнів</w:t>
      </w:r>
      <w:r w:rsidR="006B1890" w:rsidRPr="007719D8">
        <w:rPr>
          <w:rFonts w:ascii="Times New Roman" w:hAnsi="Times New Roman"/>
          <w:sz w:val="28"/>
          <w:szCs w:val="28"/>
          <w:lang w:val="uk-UA"/>
        </w:rPr>
        <w:t>: Загальні збори акціонерів, Спостережн</w:t>
      </w:r>
      <w:r w:rsidR="008759DE" w:rsidRPr="007719D8">
        <w:rPr>
          <w:rFonts w:ascii="Times New Roman" w:hAnsi="Times New Roman"/>
          <w:sz w:val="28"/>
          <w:szCs w:val="28"/>
          <w:lang w:val="uk-UA"/>
        </w:rPr>
        <w:t>а</w:t>
      </w:r>
      <w:r w:rsidR="006B1890" w:rsidRPr="007719D8">
        <w:rPr>
          <w:rFonts w:ascii="Times New Roman" w:hAnsi="Times New Roman"/>
          <w:sz w:val="28"/>
          <w:szCs w:val="28"/>
          <w:lang w:val="uk-UA"/>
        </w:rPr>
        <w:t xml:space="preserve"> Рад</w:t>
      </w:r>
      <w:r w:rsidR="008759DE" w:rsidRPr="007719D8">
        <w:rPr>
          <w:rFonts w:ascii="Times New Roman" w:hAnsi="Times New Roman"/>
          <w:sz w:val="28"/>
          <w:szCs w:val="28"/>
          <w:lang w:val="uk-UA"/>
        </w:rPr>
        <w:t>а</w:t>
      </w:r>
      <w:r w:rsidR="006B1890" w:rsidRPr="007719D8">
        <w:rPr>
          <w:rFonts w:ascii="Times New Roman" w:hAnsi="Times New Roman"/>
          <w:sz w:val="28"/>
          <w:szCs w:val="28"/>
          <w:lang w:val="uk-UA"/>
        </w:rPr>
        <w:t xml:space="preserve"> та Правління банку</w:t>
      </w:r>
      <w:r w:rsidRPr="007719D8">
        <w:rPr>
          <w:rFonts w:ascii="Times New Roman" w:hAnsi="Times New Roman"/>
          <w:sz w:val="28"/>
          <w:szCs w:val="28"/>
          <w:lang w:val="uk-UA"/>
        </w:rPr>
        <w:t xml:space="preserve">. Спостережна Рада складається з шести членів, представників материнської групи банку. Правління банку </w:t>
      </w:r>
      <w:r w:rsidR="008759DE" w:rsidRPr="007719D8">
        <w:rPr>
          <w:rFonts w:ascii="Times New Roman" w:hAnsi="Times New Roman"/>
          <w:sz w:val="28"/>
          <w:szCs w:val="28"/>
          <w:lang w:val="uk-UA"/>
        </w:rPr>
        <w:t>у свою чергу складається з Г</w:t>
      </w:r>
      <w:r w:rsidRPr="007719D8">
        <w:rPr>
          <w:rFonts w:ascii="Times New Roman" w:hAnsi="Times New Roman"/>
          <w:sz w:val="28"/>
          <w:szCs w:val="28"/>
          <w:lang w:val="uk-UA"/>
        </w:rPr>
        <w:t xml:space="preserve">олови правління банку та восьми його заступників. Заступники голови відповідають за управління </w:t>
      </w:r>
      <w:r w:rsidR="008759DE" w:rsidRPr="007719D8">
        <w:rPr>
          <w:rFonts w:ascii="Times New Roman" w:hAnsi="Times New Roman"/>
          <w:sz w:val="28"/>
          <w:szCs w:val="28"/>
          <w:lang w:val="uk-UA"/>
        </w:rPr>
        <w:t>діяльністю банку по окремих напрямах</w:t>
      </w:r>
      <w:r w:rsidRPr="007719D8">
        <w:rPr>
          <w:rFonts w:ascii="Times New Roman" w:hAnsi="Times New Roman"/>
          <w:sz w:val="28"/>
          <w:szCs w:val="28"/>
          <w:lang w:val="uk-UA"/>
        </w:rPr>
        <w:t>,</w:t>
      </w:r>
      <w:r w:rsidR="008759DE" w:rsidRPr="007719D8">
        <w:rPr>
          <w:rFonts w:ascii="Times New Roman" w:hAnsi="Times New Roman"/>
          <w:sz w:val="28"/>
          <w:szCs w:val="28"/>
          <w:lang w:val="uk-UA"/>
        </w:rPr>
        <w:t xml:space="preserve"> перелік</w:t>
      </w:r>
      <w:r w:rsidRPr="007719D8">
        <w:rPr>
          <w:rFonts w:ascii="Times New Roman" w:hAnsi="Times New Roman"/>
          <w:sz w:val="28"/>
          <w:szCs w:val="28"/>
          <w:lang w:val="uk-UA"/>
        </w:rPr>
        <w:t xml:space="preserve"> приводяться нижче:</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корпоративний бізнес;</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транснаціональні корпорації;</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казначейський бізнес, фінанси та бухгалтерія;</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операційна підтримка;</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банківська безпека;</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роздрібний бізнес;</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управління ризиками;</w:t>
      </w:r>
    </w:p>
    <w:p w:rsidR="008759DE" w:rsidRPr="007719D8" w:rsidRDefault="008759DE" w:rsidP="007719D8">
      <w:pPr>
        <w:pStyle w:val="aa"/>
        <w:widowControl w:val="0"/>
        <w:numPr>
          <w:ilvl w:val="0"/>
          <w:numId w:val="28"/>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інформаційні технології.</w:t>
      </w:r>
    </w:p>
    <w:p w:rsidR="008F3371" w:rsidRPr="007719D8" w:rsidRDefault="00F5082B"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Нижче </w:t>
      </w:r>
      <w:r w:rsidR="00CF7DE8" w:rsidRPr="007719D8">
        <w:rPr>
          <w:rFonts w:ascii="Times New Roman" w:hAnsi="Times New Roman"/>
          <w:sz w:val="28"/>
          <w:szCs w:val="28"/>
          <w:lang w:val="uk-UA"/>
        </w:rPr>
        <w:t xml:space="preserve">на </w:t>
      </w:r>
      <w:r w:rsidR="00A05EFD" w:rsidRPr="007719D8">
        <w:rPr>
          <w:rFonts w:ascii="Times New Roman" w:hAnsi="Times New Roman"/>
          <w:sz w:val="28"/>
          <w:szCs w:val="28"/>
          <w:lang w:val="uk-UA"/>
        </w:rPr>
        <w:t>рис.</w:t>
      </w:r>
      <w:r w:rsidR="00FE22AA" w:rsidRPr="007719D8">
        <w:rPr>
          <w:rFonts w:ascii="Times New Roman" w:hAnsi="Times New Roman"/>
          <w:sz w:val="28"/>
          <w:szCs w:val="28"/>
          <w:lang w:val="uk-UA"/>
        </w:rPr>
        <w:t xml:space="preserve"> 1.1</w:t>
      </w:r>
      <w:r w:rsidR="008F3371" w:rsidRPr="007719D8">
        <w:rPr>
          <w:rFonts w:ascii="Times New Roman" w:hAnsi="Times New Roman"/>
          <w:sz w:val="28"/>
          <w:szCs w:val="28"/>
          <w:lang w:val="uk-UA"/>
        </w:rPr>
        <w:t xml:space="preserve"> </w:t>
      </w:r>
      <w:r w:rsidRPr="007719D8">
        <w:rPr>
          <w:rFonts w:ascii="Times New Roman" w:hAnsi="Times New Roman"/>
          <w:sz w:val="28"/>
          <w:szCs w:val="28"/>
          <w:lang w:val="uk-UA"/>
        </w:rPr>
        <w:t>наводиться схема</w:t>
      </w:r>
      <w:r w:rsidR="008F3371" w:rsidRPr="007719D8">
        <w:rPr>
          <w:rFonts w:ascii="Times New Roman" w:hAnsi="Times New Roman"/>
          <w:sz w:val="28"/>
          <w:szCs w:val="28"/>
          <w:lang w:val="uk-UA"/>
        </w:rPr>
        <w:t xml:space="preserve"> організаційної структури банку.</w:t>
      </w:r>
    </w:p>
    <w:p w:rsidR="008F3371" w:rsidRPr="007719D8" w:rsidRDefault="008F337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Для більш повноцінного сприйняття стану </w:t>
      </w:r>
      <w:r w:rsidR="00036022" w:rsidRPr="007719D8">
        <w:rPr>
          <w:rFonts w:ascii="Times New Roman" w:hAnsi="Times New Roman"/>
          <w:sz w:val="28"/>
          <w:szCs w:val="28"/>
          <w:lang w:val="uk-UA"/>
        </w:rPr>
        <w:t>ПАТ «Райффайзен Банк Аваль»</w:t>
      </w:r>
      <w:r w:rsidR="002D7428" w:rsidRPr="007719D8">
        <w:rPr>
          <w:rFonts w:ascii="Times New Roman" w:hAnsi="Times New Roman"/>
          <w:sz w:val="28"/>
          <w:szCs w:val="28"/>
          <w:lang w:val="uk-UA"/>
        </w:rPr>
        <w:t xml:space="preserve"> </w:t>
      </w:r>
      <w:r w:rsidRPr="007719D8">
        <w:rPr>
          <w:rFonts w:ascii="Times New Roman" w:hAnsi="Times New Roman"/>
          <w:sz w:val="28"/>
          <w:szCs w:val="28"/>
          <w:lang w:val="uk-UA"/>
        </w:rPr>
        <w:t>необхідним є наведення невеликого опису ринку банківських послуг України.</w:t>
      </w:r>
    </w:p>
    <w:p w:rsidR="008F3371" w:rsidRPr="007719D8" w:rsidRDefault="008F337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Досить довгий час банківський сектор характеризувався інтенсивним зростанням, схильністю до зовнішніх запозичень, сильною конкуренцією</w:t>
      </w:r>
      <w:r w:rsidR="0089009A" w:rsidRPr="007719D8">
        <w:rPr>
          <w:rFonts w:ascii="Times New Roman" w:hAnsi="Times New Roman"/>
          <w:sz w:val="28"/>
          <w:szCs w:val="28"/>
          <w:lang w:val="uk-UA"/>
        </w:rPr>
        <w:t>, спричинену зокрема</w:t>
      </w:r>
      <w:r w:rsidRPr="007719D8">
        <w:rPr>
          <w:rFonts w:ascii="Times New Roman" w:hAnsi="Times New Roman"/>
          <w:sz w:val="28"/>
          <w:szCs w:val="28"/>
          <w:lang w:val="uk-UA"/>
        </w:rPr>
        <w:t xml:space="preserve"> </w:t>
      </w:r>
      <w:r w:rsidR="0089009A" w:rsidRPr="007719D8">
        <w:rPr>
          <w:rFonts w:ascii="Times New Roman" w:hAnsi="Times New Roman"/>
          <w:sz w:val="28"/>
          <w:szCs w:val="28"/>
          <w:lang w:val="uk-UA"/>
        </w:rPr>
        <w:t>поширеною присутністю</w:t>
      </w:r>
      <w:r w:rsidRPr="007719D8">
        <w:rPr>
          <w:rFonts w:ascii="Times New Roman" w:hAnsi="Times New Roman"/>
          <w:sz w:val="28"/>
          <w:szCs w:val="28"/>
          <w:lang w:val="uk-UA"/>
        </w:rPr>
        <w:t xml:space="preserve"> іноземних банківських установ</w:t>
      </w:r>
      <w:r w:rsidR="0007035F" w:rsidRPr="007719D8">
        <w:rPr>
          <w:rFonts w:ascii="Times New Roman" w:hAnsi="Times New Roman"/>
          <w:sz w:val="28"/>
          <w:szCs w:val="28"/>
          <w:lang w:val="uk-UA"/>
        </w:rPr>
        <w:t>,</w:t>
      </w:r>
      <w:r w:rsidRPr="007719D8">
        <w:rPr>
          <w:rFonts w:ascii="Times New Roman" w:hAnsi="Times New Roman"/>
          <w:sz w:val="28"/>
          <w:szCs w:val="28"/>
          <w:lang w:val="uk-UA"/>
        </w:rPr>
        <w:t xml:space="preserve"> та всебічним розповсюдженням та полегшенням доступу до банківських послуг загалом.</w:t>
      </w:r>
      <w:r w:rsidR="0089009A" w:rsidRPr="007719D8">
        <w:rPr>
          <w:rFonts w:ascii="Times New Roman" w:hAnsi="Times New Roman"/>
          <w:sz w:val="28"/>
          <w:szCs w:val="28"/>
          <w:lang w:val="uk-UA"/>
        </w:rPr>
        <w:t xml:space="preserve"> Ситуація змінилася у четвертому кварталі 2008 року, коли банківський сектор потрапив у свою турбулентну фазу із приходом економічної кризи. За період з жовтня 2008 року по липень 2009 з банківської системи спостерігався відтік депозитів у розмірі 20%</w:t>
      </w:r>
      <w:r w:rsidR="007719D8">
        <w:rPr>
          <w:rFonts w:ascii="Times New Roman" w:hAnsi="Times New Roman"/>
          <w:sz w:val="28"/>
          <w:szCs w:val="28"/>
          <w:lang w:val="uk-UA"/>
        </w:rPr>
        <w:t xml:space="preserve"> </w:t>
      </w:r>
      <w:r w:rsidR="0089009A" w:rsidRPr="007719D8">
        <w:rPr>
          <w:rFonts w:ascii="Times New Roman" w:hAnsi="Times New Roman"/>
          <w:sz w:val="28"/>
          <w:szCs w:val="28"/>
          <w:lang w:val="uk-UA"/>
        </w:rPr>
        <w:t>пасивів по системи в цілому. До того ж, ліквідність банків було підірвано блокуванням зовнішніх запозичень через надто стрімку девальвацію гривні та високий рівень ризиків, що a priori був притаманний системі та що досяг піку у кризовий момент.</w:t>
      </w:r>
    </w:p>
    <w:p w:rsidR="0089009A" w:rsidRPr="007719D8" w:rsidRDefault="00A05EF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На даний момент банківська система знаходиться у своїй перехідній фазі, коли одночасно і економічна система переглядає свої відносини із банками, і самі банки намагаються проводити комплексну реорганізації своїх внутрішніх структур та системи роботи з клієнтами.</w:t>
      </w:r>
    </w:p>
    <w:p w:rsidR="008F3371" w:rsidRPr="007719D8" w:rsidRDefault="008F3371" w:rsidP="007719D8">
      <w:pPr>
        <w:widowControl w:val="0"/>
        <w:spacing w:line="360" w:lineRule="auto"/>
        <w:ind w:firstLine="709"/>
        <w:jc w:val="both"/>
        <w:rPr>
          <w:rFonts w:ascii="Times New Roman" w:hAnsi="Times New Roman"/>
          <w:sz w:val="28"/>
          <w:szCs w:val="28"/>
          <w:lang w:val="uk-UA"/>
        </w:rPr>
      </w:pPr>
    </w:p>
    <w:p w:rsidR="00154ECC" w:rsidRPr="007719D8" w:rsidRDefault="006C447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br w:type="page"/>
      </w:r>
    </w:p>
    <w:p w:rsidR="00DB2530" w:rsidRPr="007719D8" w:rsidRDefault="007719D8" w:rsidP="007719D8">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object w:dxaOrig="10686" w:dyaOrig="14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651pt" o:ole="">
            <v:imagedata r:id="rId8" o:title=""/>
          </v:shape>
          <o:OLEObject Type="Embed" ProgID="Visio.Drawing.11" ShapeID="_x0000_i1025" DrawAspect="Content" ObjectID="_1476268270" r:id="rId9"/>
        </w:object>
      </w:r>
    </w:p>
    <w:p w:rsidR="007719D8" w:rsidRDefault="007719D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Рис. 1.1 — Організаційна структура управління ПАТ «Райффайзен Банк Аваль»</w:t>
      </w:r>
    </w:p>
    <w:p w:rsidR="007719D8" w:rsidRDefault="007719D8">
      <w:pPr>
        <w:spacing w:line="240" w:lineRule="auto"/>
        <w:rPr>
          <w:rFonts w:ascii="Times New Roman" w:hAnsi="Times New Roman"/>
          <w:sz w:val="28"/>
          <w:szCs w:val="28"/>
          <w:lang w:val="uk-UA"/>
        </w:rPr>
      </w:pPr>
      <w:r>
        <w:rPr>
          <w:rFonts w:ascii="Times New Roman" w:hAnsi="Times New Roman"/>
          <w:sz w:val="28"/>
          <w:szCs w:val="28"/>
          <w:lang w:val="uk-UA"/>
        </w:rPr>
        <w:br w:type="page"/>
      </w:r>
    </w:p>
    <w:p w:rsidR="006C4475" w:rsidRPr="007719D8" w:rsidRDefault="00DB253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Станом на </w:t>
      </w:r>
      <w:r w:rsidR="00DF76F0" w:rsidRPr="007719D8">
        <w:rPr>
          <w:rFonts w:ascii="Times New Roman" w:hAnsi="Times New Roman"/>
          <w:sz w:val="28"/>
          <w:szCs w:val="28"/>
          <w:lang w:val="uk-UA"/>
        </w:rPr>
        <w:t>1 січня</w:t>
      </w:r>
      <w:r w:rsidR="0007035F" w:rsidRPr="007719D8">
        <w:rPr>
          <w:rFonts w:ascii="Times New Roman" w:hAnsi="Times New Roman"/>
          <w:sz w:val="28"/>
          <w:szCs w:val="28"/>
          <w:lang w:val="uk-UA"/>
        </w:rPr>
        <w:t xml:space="preserve"> 2010 року</w:t>
      </w:r>
      <w:r w:rsidR="00DF76F0" w:rsidRPr="007719D8">
        <w:rPr>
          <w:rFonts w:ascii="Times New Roman" w:hAnsi="Times New Roman"/>
          <w:sz w:val="28"/>
          <w:szCs w:val="28"/>
          <w:lang w:val="uk-UA"/>
        </w:rPr>
        <w:t xml:space="preserve"> в Україні налічувалось 15 банків, у які НБУ було введено тимчасову адміністрацію. </w:t>
      </w:r>
      <w:r w:rsidR="00A12CBA" w:rsidRPr="007719D8">
        <w:rPr>
          <w:rFonts w:ascii="Times New Roman" w:hAnsi="Times New Roman"/>
          <w:sz w:val="28"/>
          <w:szCs w:val="28"/>
          <w:lang w:val="uk-UA"/>
        </w:rPr>
        <w:t>Задля пом’якшення дії системної банківської кризи НБУ почав впроваджувати деякі види превентивних заходів, такі як мораторій на виконання вимог кредиторів у деяких банках, зниження резервних вимог до вкладів у гривні та проведення політики рефінансування великих системних банків</w:t>
      </w:r>
      <w:r w:rsidR="00502423" w:rsidRPr="007719D8">
        <w:rPr>
          <w:rFonts w:ascii="Times New Roman" w:hAnsi="Times New Roman"/>
          <w:sz w:val="28"/>
          <w:szCs w:val="28"/>
          <w:lang w:val="uk-UA"/>
        </w:rPr>
        <w:t xml:space="preserve">. </w:t>
      </w:r>
    </w:p>
    <w:p w:rsidR="00502423" w:rsidRPr="007719D8" w:rsidRDefault="00502423"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Внаслідок зниження рівня ліквідності на даний момент в Україні банки мають обмежені можливості кредитування, із метою захисту населення та банків від валютних ризиків повністю заборонено споживче кредитування у іноземній валюті. Загалом, баланс банківської системи України скоротився на 10%, від жовтня 2008 року до жовтня 2009 року. </w:t>
      </w:r>
    </w:p>
    <w:p w:rsidR="00A561ED" w:rsidRPr="007719D8" w:rsidRDefault="00A561E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Нижче наводиться діаграма, що зображує розподіл сил на банківському ринку України </w:t>
      </w:r>
      <w:r w:rsidR="008F3371" w:rsidRPr="007719D8">
        <w:rPr>
          <w:rFonts w:ascii="Times New Roman" w:hAnsi="Times New Roman"/>
          <w:sz w:val="28"/>
          <w:szCs w:val="28"/>
          <w:lang w:val="uk-UA"/>
        </w:rPr>
        <w:t xml:space="preserve">за вартістю активів </w:t>
      </w:r>
      <w:r w:rsidR="0007035F" w:rsidRPr="007719D8">
        <w:rPr>
          <w:rFonts w:ascii="Times New Roman" w:hAnsi="Times New Roman"/>
          <w:sz w:val="28"/>
          <w:szCs w:val="28"/>
          <w:lang w:val="uk-UA"/>
        </w:rPr>
        <w:t>станом на 01.10</w:t>
      </w:r>
      <w:r w:rsidRPr="007719D8">
        <w:rPr>
          <w:rFonts w:ascii="Times New Roman" w:hAnsi="Times New Roman"/>
          <w:sz w:val="28"/>
          <w:szCs w:val="28"/>
          <w:lang w:val="uk-UA"/>
        </w:rPr>
        <w:t>.2009 року:</w:t>
      </w:r>
    </w:p>
    <w:p w:rsidR="00D7585F" w:rsidRPr="007719D8" w:rsidRDefault="00D7585F" w:rsidP="007719D8">
      <w:pPr>
        <w:widowControl w:val="0"/>
        <w:spacing w:line="360" w:lineRule="auto"/>
        <w:ind w:firstLine="709"/>
        <w:jc w:val="both"/>
        <w:rPr>
          <w:rFonts w:ascii="Times New Roman" w:hAnsi="Times New Roman"/>
          <w:sz w:val="28"/>
          <w:szCs w:val="28"/>
          <w:lang w:val="uk-UA"/>
        </w:rPr>
      </w:pPr>
    </w:p>
    <w:p w:rsidR="00A561ED" w:rsidRPr="007719D8" w:rsidRDefault="00C8796C" w:rsidP="007719D8">
      <w:pPr>
        <w:widowControl w:val="0"/>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pict>
          <v:shape id="_x0000_i1026" type="#_x0000_t75" style="width:354pt;height:311.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">
            <v:imagedata r:id="rId10" o:title="" cropbottom="-42f" cropright="-47f"/>
            <o:lock v:ext="edit" aspectratio="f"/>
          </v:shape>
        </w:pict>
      </w:r>
    </w:p>
    <w:p w:rsidR="007202B2" w:rsidRPr="007719D8" w:rsidRDefault="007202B2" w:rsidP="007719D8">
      <w:pPr>
        <w:widowControl w:val="0"/>
        <w:spacing w:line="360" w:lineRule="auto"/>
        <w:ind w:firstLine="709"/>
        <w:jc w:val="both"/>
        <w:rPr>
          <w:rFonts w:ascii="Times New Roman" w:hAnsi="Times New Roman"/>
          <w:sz w:val="28"/>
          <w:szCs w:val="28"/>
          <w:lang w:val="uk-UA"/>
        </w:rPr>
      </w:pPr>
    </w:p>
    <w:p w:rsidR="0065718E" w:rsidRPr="007719D8" w:rsidRDefault="0065718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Також інформативно нижче </w:t>
      </w:r>
      <w:r w:rsidR="00D7585F" w:rsidRPr="007719D8">
        <w:rPr>
          <w:rFonts w:ascii="Times New Roman" w:hAnsi="Times New Roman"/>
          <w:sz w:val="28"/>
          <w:szCs w:val="28"/>
          <w:lang w:val="uk-UA"/>
        </w:rPr>
        <w:t>у таблиці 1.1 наведено основні да</w:t>
      </w:r>
      <w:r w:rsidRPr="007719D8">
        <w:rPr>
          <w:rFonts w:ascii="Times New Roman" w:hAnsi="Times New Roman"/>
          <w:sz w:val="28"/>
          <w:szCs w:val="28"/>
          <w:lang w:val="uk-UA"/>
        </w:rPr>
        <w:t xml:space="preserve">ні по діяльності банківського ринку </w:t>
      </w:r>
      <w:r w:rsidR="00B05BB4" w:rsidRPr="007719D8">
        <w:rPr>
          <w:rFonts w:ascii="Times New Roman" w:hAnsi="Times New Roman"/>
          <w:sz w:val="28"/>
          <w:szCs w:val="28"/>
          <w:lang w:val="uk-UA"/>
        </w:rPr>
        <w:t>України за період 2004-2009 років</w:t>
      </w:r>
      <w:r w:rsidRPr="007719D8">
        <w:rPr>
          <w:rFonts w:ascii="Times New Roman" w:hAnsi="Times New Roman"/>
          <w:sz w:val="28"/>
          <w:szCs w:val="28"/>
          <w:lang w:val="uk-UA"/>
        </w:rPr>
        <w:t>:</w:t>
      </w:r>
    </w:p>
    <w:p w:rsidR="0065718E" w:rsidRPr="007719D8" w:rsidRDefault="0065718E" w:rsidP="007719D8">
      <w:pPr>
        <w:pStyle w:val="af4"/>
        <w:widowControl w:val="0"/>
        <w:spacing w:after="0" w:line="360" w:lineRule="auto"/>
        <w:ind w:firstLine="709"/>
        <w:jc w:val="both"/>
        <w:rPr>
          <w:rFonts w:ascii="Times New Roman" w:hAnsi="Times New Roman"/>
          <w:b w:val="0"/>
          <w:bCs w:val="0"/>
          <w:color w:val="auto"/>
          <w:sz w:val="28"/>
          <w:szCs w:val="28"/>
          <w:lang w:val="uk-UA"/>
        </w:rPr>
      </w:pPr>
      <w:r w:rsidRPr="007719D8">
        <w:rPr>
          <w:rFonts w:ascii="Times New Roman" w:hAnsi="Times New Roman"/>
          <w:b w:val="0"/>
          <w:bCs w:val="0"/>
          <w:color w:val="auto"/>
          <w:sz w:val="28"/>
          <w:szCs w:val="28"/>
          <w:lang w:val="uk-UA"/>
        </w:rPr>
        <w:t>Таблиця 1.</w:t>
      </w:r>
      <w:r w:rsidRPr="007719D8">
        <w:rPr>
          <w:rFonts w:ascii="Times New Roman" w:hAnsi="Times New Roman"/>
          <w:b w:val="0"/>
          <w:bCs w:val="0"/>
          <w:color w:val="auto"/>
          <w:sz w:val="28"/>
          <w:szCs w:val="28"/>
          <w:lang w:val="uk-UA"/>
        </w:rPr>
        <w:fldChar w:fldCharType="begin"/>
      </w:r>
      <w:r w:rsidRPr="007719D8">
        <w:rPr>
          <w:rFonts w:ascii="Times New Roman" w:hAnsi="Times New Roman"/>
          <w:b w:val="0"/>
          <w:bCs w:val="0"/>
          <w:color w:val="auto"/>
          <w:sz w:val="28"/>
          <w:szCs w:val="28"/>
          <w:lang w:val="uk-UA"/>
        </w:rPr>
        <w:instrText xml:space="preserve"> SEQ Таблиця_1. \* ARABIC </w:instrText>
      </w:r>
      <w:r w:rsidRPr="007719D8">
        <w:rPr>
          <w:rFonts w:ascii="Times New Roman" w:hAnsi="Times New Roman"/>
          <w:b w:val="0"/>
          <w:bCs w:val="0"/>
          <w:color w:val="auto"/>
          <w:sz w:val="28"/>
          <w:szCs w:val="28"/>
          <w:lang w:val="uk-UA"/>
        </w:rPr>
        <w:fldChar w:fldCharType="separate"/>
      </w:r>
      <w:r w:rsidR="00FC6041" w:rsidRPr="007719D8">
        <w:rPr>
          <w:rFonts w:ascii="Times New Roman" w:hAnsi="Times New Roman"/>
          <w:b w:val="0"/>
          <w:bCs w:val="0"/>
          <w:noProof/>
          <w:color w:val="auto"/>
          <w:sz w:val="28"/>
          <w:szCs w:val="28"/>
          <w:lang w:val="uk-UA"/>
        </w:rPr>
        <w:t>1</w:t>
      </w:r>
      <w:r w:rsidRPr="007719D8">
        <w:rPr>
          <w:rFonts w:ascii="Times New Roman" w:hAnsi="Times New Roman"/>
          <w:b w:val="0"/>
          <w:bCs w:val="0"/>
          <w:color w:val="auto"/>
          <w:sz w:val="28"/>
          <w:szCs w:val="28"/>
          <w:lang w:val="uk-UA"/>
        </w:rPr>
        <w:fldChar w:fldCharType="end"/>
      </w:r>
      <w:r w:rsidRPr="007719D8">
        <w:rPr>
          <w:rFonts w:ascii="Times New Roman" w:hAnsi="Times New Roman"/>
          <w:b w:val="0"/>
          <w:bCs w:val="0"/>
          <w:color w:val="auto"/>
          <w:sz w:val="28"/>
          <w:szCs w:val="28"/>
          <w:lang w:val="uk-UA"/>
        </w:rPr>
        <w:t xml:space="preserve"> </w:t>
      </w:r>
      <w:r w:rsidR="00D7585F" w:rsidRPr="007719D8">
        <w:rPr>
          <w:rFonts w:ascii="Times New Roman" w:hAnsi="Times New Roman"/>
          <w:b w:val="0"/>
          <w:bCs w:val="0"/>
          <w:color w:val="auto"/>
          <w:sz w:val="28"/>
          <w:szCs w:val="28"/>
          <w:lang w:val="uk-UA"/>
        </w:rPr>
        <w:t>Да</w:t>
      </w:r>
      <w:r w:rsidRPr="007719D8">
        <w:rPr>
          <w:rFonts w:ascii="Times New Roman" w:hAnsi="Times New Roman"/>
          <w:b w:val="0"/>
          <w:bCs w:val="0"/>
          <w:color w:val="auto"/>
          <w:sz w:val="28"/>
          <w:szCs w:val="28"/>
          <w:lang w:val="uk-UA"/>
        </w:rPr>
        <w:t>ні банківського ринку України</w:t>
      </w:r>
    </w:p>
    <w:tbl>
      <w:tblPr>
        <w:tblW w:w="9140" w:type="dxa"/>
        <w:tblInd w:w="1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020"/>
        <w:gridCol w:w="1020"/>
        <w:gridCol w:w="1020"/>
        <w:gridCol w:w="1020"/>
        <w:gridCol w:w="1020"/>
        <w:gridCol w:w="1020"/>
        <w:gridCol w:w="1020"/>
      </w:tblGrid>
      <w:tr w:rsidR="0065718E" w:rsidRPr="007719D8" w:rsidTr="007719D8">
        <w:trPr>
          <w:trHeight w:val="7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Рік</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2004</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2005</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2006</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2007</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bCs/>
                <w:iCs/>
                <w:sz w:val="20"/>
                <w:szCs w:val="20"/>
                <w:lang w:val="uk-UA" w:eastAsia="uk-UA"/>
              </w:rPr>
            </w:pPr>
            <w:r w:rsidRPr="007719D8">
              <w:rPr>
                <w:rFonts w:ascii="Times New Roman" w:hAnsi="Times New Roman"/>
                <w:bCs/>
                <w:iCs/>
                <w:sz w:val="20"/>
                <w:szCs w:val="20"/>
                <w:lang w:val="uk-UA" w:eastAsia="uk-UA"/>
              </w:rPr>
              <w:t>2009</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Сукупні активи,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19 604,70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37 347,30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51 148,20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80 787,00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85 413,20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81 190,70</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23,80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90,50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57,90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-4,94</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41,00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62,50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83,20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97,60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115,97</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Сукупні кредити,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12 272,80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24 016,60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36 884,30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57 541,50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67 608,30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68 928,28</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95,70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53,60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56,00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17,50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1,95</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25,70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45,10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59,20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77,30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98,45</w:t>
            </w:r>
          </w:p>
        </w:tc>
      </w:tr>
      <w:tr w:rsidR="0065718E" w:rsidRPr="007719D8" w:rsidTr="007719D8">
        <w:trPr>
          <w:trHeight w:val="555"/>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Кредити приватним підприємствам,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10 097,00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18 402,80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25 061,90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36 581,80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42 423,70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43 808,66</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82,30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36,20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46,00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16,00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3,26</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21,10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24,90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30,60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48,50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62,57</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Кредити домогосподарствам,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2 022,70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5 613,70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11 809,50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20 951,10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25 184,60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20 519,11</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17,50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110,40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77,40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-18,53</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21,60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28,80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29,31</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Іпотечних кредитів,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443,40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1 775,10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4 089,70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7 722,90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7 369,60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6 892,83</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28,40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300,40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130,40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88,80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-6,47</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9,85</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Кредити у іноземній валюті,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5 178,00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10 406,50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18 259,80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28 713,10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39 960,30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34 872,88</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101,00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75,50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57,20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39,20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-12,73</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29,60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45,70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49,81</w:t>
            </w:r>
          </w:p>
        </w:tc>
      </w:tr>
      <w:tr w:rsidR="0065718E" w:rsidRPr="007719D8" w:rsidTr="007719D8">
        <w:trPr>
          <w:trHeight w:val="75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 валютних кредитів по відношенню до сукупної вартості кредитів</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42,20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43,30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49,50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49,90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59,10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50,59</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Сукупні депозити,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11 269,10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22 398,60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27 511,70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37 753,00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32 960,40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32 247,10</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24,90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98,80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-2,16</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23,60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30,30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33,60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38,90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46,06</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Депозити домогосподарств, млн. євро</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5 709,30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12 147,80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15 949,50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22 166,70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19 856,40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19 695,05</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річний приріст,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112,80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31,30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39,00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-0,81</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 % до ВВП</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16,40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22,70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28,13</w:t>
            </w:r>
          </w:p>
        </w:tc>
      </w:tr>
      <w:tr w:rsidR="0065718E" w:rsidRPr="007719D8" w:rsidTr="007719D8">
        <w:trPr>
          <w:trHeight w:val="48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 кредитів по відношенню до депозитів</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108,91</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107,20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134,10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152,40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205,10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213,75</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Ринкова інформація</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Кількість банків</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181</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186</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193</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197</w:t>
            </w:r>
          </w:p>
        </w:tc>
      </w:tr>
      <w:tr w:rsidR="0065718E" w:rsidRPr="007719D8" w:rsidTr="007719D8">
        <w:trPr>
          <w:trHeight w:val="495"/>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Доля ринку, що належить державним банкам,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7.7</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9.3</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11.4</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12,30</w:t>
            </w:r>
          </w:p>
        </w:tc>
      </w:tr>
      <w:tr w:rsidR="0065718E" w:rsidRPr="007719D8" w:rsidTr="007719D8">
        <w:trPr>
          <w:trHeight w:val="7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Доля ринку, що належить іноземним банкам,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7.1</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29.0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37.5</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50.2</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49,90</w:t>
            </w:r>
          </w:p>
        </w:tc>
      </w:tr>
      <w:tr w:rsidR="0065718E" w:rsidRPr="007719D8" w:rsidTr="007719D8">
        <w:trPr>
          <w:trHeight w:val="166"/>
        </w:trPr>
        <w:tc>
          <w:tcPr>
            <w:tcW w:w="3020" w:type="dxa"/>
            <w:vAlign w:val="center"/>
            <w:hideMark/>
          </w:tcPr>
          <w:p w:rsidR="0065718E" w:rsidRPr="007719D8" w:rsidRDefault="0065718E" w:rsidP="007719D8">
            <w:pPr>
              <w:widowControl w:val="0"/>
              <w:spacing w:line="360" w:lineRule="auto"/>
              <w:jc w:val="both"/>
              <w:rPr>
                <w:rFonts w:ascii="Times New Roman" w:hAnsi="Times New Roman"/>
                <w:bCs/>
                <w:sz w:val="20"/>
                <w:szCs w:val="20"/>
                <w:lang w:val="uk-UA" w:eastAsia="uk-UA"/>
              </w:rPr>
            </w:pPr>
            <w:r w:rsidRPr="007719D8">
              <w:rPr>
                <w:rFonts w:ascii="Times New Roman" w:hAnsi="Times New Roman"/>
                <w:bCs/>
                <w:sz w:val="20"/>
                <w:szCs w:val="20"/>
                <w:lang w:val="uk-UA" w:eastAsia="uk-UA"/>
              </w:rPr>
              <w:t>Прибутковість та ефективність</w:t>
            </w:r>
            <w:r w:rsidR="00B05BB4" w:rsidRPr="007719D8">
              <w:rPr>
                <w:rFonts w:ascii="Times New Roman" w:hAnsi="Times New Roman"/>
                <w:bCs/>
                <w:sz w:val="20"/>
                <w:szCs w:val="20"/>
                <w:lang w:val="uk-UA" w:eastAsia="uk-UA"/>
              </w:rPr>
              <w:t>:</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ROA,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1.1</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1.3</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1.6</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1.0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-4,4</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ROE,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8.4</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10.4</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13.5</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12.7</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8.5</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-32,5</w:t>
            </w:r>
          </w:p>
        </w:tc>
      </w:tr>
      <w:tr w:rsidR="0065718E" w:rsidRPr="007719D8" w:rsidTr="007719D8">
        <w:trPr>
          <w:trHeight w:val="465"/>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Адекватність капіталу (за зваженими за ризиком активами),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16.8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14.2</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13.9</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15,53</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Непрацюючі кредити,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30.0</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16.6</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17.8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13.2</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13.1</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15,1</w:t>
            </w:r>
          </w:p>
        </w:tc>
      </w:tr>
      <w:tr w:rsidR="0065718E" w:rsidRPr="007719D8" w:rsidTr="007719D8">
        <w:trPr>
          <w:trHeight w:val="300"/>
        </w:trPr>
        <w:tc>
          <w:tcPr>
            <w:tcW w:w="3020" w:type="dxa"/>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Середній спред, %</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9.4</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8.3</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7.2</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5.8</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8.6</w:t>
            </w:r>
          </w:p>
        </w:tc>
        <w:tc>
          <w:tcPr>
            <w:tcW w:w="1020" w:type="dxa"/>
            <w:noWrap/>
            <w:vAlign w:val="center"/>
            <w:hideMark/>
          </w:tcPr>
          <w:p w:rsidR="0065718E" w:rsidRPr="007719D8" w:rsidRDefault="0065718E"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6,5</w:t>
            </w:r>
          </w:p>
        </w:tc>
      </w:tr>
    </w:tbl>
    <w:p w:rsidR="007719D8" w:rsidRDefault="007719D8" w:rsidP="007719D8">
      <w:pPr>
        <w:widowControl w:val="0"/>
        <w:spacing w:line="360" w:lineRule="auto"/>
        <w:ind w:firstLine="709"/>
        <w:jc w:val="both"/>
        <w:rPr>
          <w:rFonts w:ascii="Times New Roman" w:hAnsi="Times New Roman"/>
          <w:sz w:val="28"/>
          <w:szCs w:val="28"/>
          <w:lang w:val="uk-UA"/>
        </w:rPr>
      </w:pPr>
    </w:p>
    <w:p w:rsidR="0065718E" w:rsidRPr="007719D8" w:rsidRDefault="000D3FE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1.2</w:t>
      </w:r>
      <w:r w:rsidR="00D7585F" w:rsidRPr="007719D8">
        <w:rPr>
          <w:rFonts w:ascii="Times New Roman" w:hAnsi="Times New Roman"/>
          <w:sz w:val="28"/>
          <w:szCs w:val="28"/>
          <w:lang w:val="uk-UA"/>
        </w:rPr>
        <w:t xml:space="preserve"> Аналіз фінансового стану </w:t>
      </w:r>
      <w:r w:rsidR="000C7700" w:rsidRPr="007719D8">
        <w:rPr>
          <w:rFonts w:ascii="Times New Roman" w:hAnsi="Times New Roman"/>
          <w:sz w:val="28"/>
          <w:szCs w:val="28"/>
          <w:lang w:val="uk-UA"/>
        </w:rPr>
        <w:t>ПАТ</w:t>
      </w:r>
      <w:r w:rsidR="008B7C03" w:rsidRPr="007719D8">
        <w:rPr>
          <w:rFonts w:ascii="Times New Roman" w:hAnsi="Times New Roman"/>
          <w:sz w:val="28"/>
          <w:szCs w:val="28"/>
          <w:lang w:val="uk-UA"/>
        </w:rPr>
        <w:t xml:space="preserve"> «Райффайзен Банк Аваль» </w:t>
      </w:r>
      <w:r w:rsidR="00D7585F" w:rsidRPr="007719D8">
        <w:rPr>
          <w:rFonts w:ascii="Times New Roman" w:hAnsi="Times New Roman"/>
          <w:sz w:val="28"/>
          <w:szCs w:val="28"/>
          <w:lang w:val="uk-UA"/>
        </w:rPr>
        <w:t>за 2006</w:t>
      </w:r>
      <w:r w:rsidR="007719D8">
        <w:rPr>
          <w:rFonts w:ascii="Times New Roman" w:hAnsi="Times New Roman"/>
          <w:sz w:val="28"/>
          <w:szCs w:val="28"/>
          <w:lang w:val="uk-UA"/>
        </w:rPr>
        <w:t xml:space="preserve"> </w:t>
      </w:r>
      <w:r w:rsidR="00D7585F" w:rsidRPr="007719D8">
        <w:rPr>
          <w:rFonts w:ascii="Times New Roman" w:hAnsi="Times New Roman"/>
          <w:sz w:val="28"/>
          <w:szCs w:val="28"/>
          <w:lang w:val="uk-UA"/>
        </w:rPr>
        <w:t>-</w:t>
      </w:r>
      <w:r w:rsidR="007719D8">
        <w:rPr>
          <w:rFonts w:ascii="Times New Roman" w:hAnsi="Times New Roman"/>
          <w:sz w:val="28"/>
          <w:szCs w:val="28"/>
          <w:lang w:val="uk-UA"/>
        </w:rPr>
        <w:t xml:space="preserve"> </w:t>
      </w:r>
      <w:r w:rsidR="00D7585F" w:rsidRPr="007719D8">
        <w:rPr>
          <w:rFonts w:ascii="Times New Roman" w:hAnsi="Times New Roman"/>
          <w:sz w:val="28"/>
          <w:szCs w:val="28"/>
          <w:lang w:val="uk-UA"/>
        </w:rPr>
        <w:t>2009 рік</w:t>
      </w:r>
    </w:p>
    <w:p w:rsidR="00D7585F" w:rsidRPr="007719D8" w:rsidRDefault="00D7585F" w:rsidP="007719D8">
      <w:pPr>
        <w:widowControl w:val="0"/>
        <w:spacing w:line="360" w:lineRule="auto"/>
        <w:ind w:firstLine="709"/>
        <w:jc w:val="both"/>
        <w:rPr>
          <w:rFonts w:ascii="Times New Roman" w:hAnsi="Times New Roman"/>
          <w:sz w:val="28"/>
          <w:szCs w:val="28"/>
          <w:lang w:val="uk-UA"/>
        </w:rPr>
      </w:pPr>
    </w:p>
    <w:p w:rsidR="00D7585F" w:rsidRPr="007719D8" w:rsidRDefault="0072395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Аналіз фінансового стану комерційного банку є одним з найважливіших етапів управління цим типом фінансових установ. Структура активів та зобов’язань визначається прийнятими для банку стратегічними установками, тими напрямками бізнесу, які керівництво банку вважає пріоритетними. Водночас, і наявна структура пасивів та активів визначає те, як повинен функціонувати банк у коротко- та середньостроковій перспективі задля збереження своєї фінансової стійкості та зниження ризикованості діяльності. </w:t>
      </w:r>
      <w:r w:rsidR="006336AA" w:rsidRPr="007719D8">
        <w:rPr>
          <w:rFonts w:ascii="Times New Roman" w:hAnsi="Times New Roman"/>
          <w:sz w:val="28"/>
          <w:szCs w:val="28"/>
          <w:lang w:val="uk-UA"/>
        </w:rPr>
        <w:t>Звичайно, фінансовий стан комерційного банку дуже чутливий до ста</w:t>
      </w:r>
      <w:r w:rsidR="00EC4B3E" w:rsidRPr="007719D8">
        <w:rPr>
          <w:rFonts w:ascii="Times New Roman" w:hAnsi="Times New Roman"/>
          <w:sz w:val="28"/>
          <w:szCs w:val="28"/>
          <w:lang w:val="uk-UA"/>
        </w:rPr>
        <w:t>ну зовнішнього макросередовища, більшість ризиків банківської діяльності так чи інакше підвладні факторам макросередовища.</w:t>
      </w:r>
    </w:p>
    <w:p w:rsidR="00E56B1A" w:rsidRPr="007719D8" w:rsidRDefault="00E56B1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Аналіз фінансової стійкості доцільно проводити у </w:t>
      </w:r>
      <w:r w:rsidR="009C612B" w:rsidRPr="007719D8">
        <w:rPr>
          <w:rFonts w:ascii="Times New Roman" w:hAnsi="Times New Roman"/>
          <w:sz w:val="28"/>
          <w:szCs w:val="28"/>
          <w:lang w:val="uk-UA"/>
        </w:rPr>
        <w:t xml:space="preserve">послідовному аналізі структури активів та пасивів </w:t>
      </w:r>
      <w:r w:rsidR="00CF7DE8" w:rsidRPr="007719D8">
        <w:rPr>
          <w:rFonts w:ascii="Times New Roman" w:hAnsi="Times New Roman"/>
          <w:sz w:val="28"/>
          <w:szCs w:val="28"/>
          <w:lang w:val="uk-UA"/>
        </w:rPr>
        <w:t xml:space="preserve">банку </w:t>
      </w:r>
      <w:r w:rsidR="009C612B" w:rsidRPr="007719D8">
        <w:rPr>
          <w:rFonts w:ascii="Times New Roman" w:hAnsi="Times New Roman"/>
          <w:sz w:val="28"/>
          <w:szCs w:val="28"/>
          <w:lang w:val="uk-UA"/>
        </w:rPr>
        <w:t>та коефіцієнтному аналізі струк</w:t>
      </w:r>
      <w:r w:rsidR="00CF7DE8" w:rsidRPr="007719D8">
        <w:rPr>
          <w:rFonts w:ascii="Times New Roman" w:hAnsi="Times New Roman"/>
          <w:sz w:val="28"/>
          <w:szCs w:val="28"/>
          <w:lang w:val="uk-UA"/>
        </w:rPr>
        <w:t>тури фінансової звітності</w:t>
      </w:r>
      <w:r w:rsidR="009C612B" w:rsidRPr="007719D8">
        <w:rPr>
          <w:rFonts w:ascii="Times New Roman" w:hAnsi="Times New Roman"/>
          <w:sz w:val="28"/>
          <w:szCs w:val="28"/>
          <w:lang w:val="uk-UA"/>
        </w:rPr>
        <w:t xml:space="preserve">. </w:t>
      </w:r>
    </w:p>
    <w:p w:rsidR="009C612B" w:rsidRPr="007719D8" w:rsidRDefault="00FE22A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таблиці 1.2</w:t>
      </w:r>
      <w:r w:rsidR="009C612B" w:rsidRPr="007719D8">
        <w:rPr>
          <w:rFonts w:ascii="Times New Roman" w:hAnsi="Times New Roman"/>
          <w:sz w:val="28"/>
          <w:szCs w:val="28"/>
          <w:lang w:val="uk-UA"/>
        </w:rPr>
        <w:t xml:space="preserve"> відображ</w:t>
      </w:r>
      <w:r w:rsidR="00CF7DE8" w:rsidRPr="007719D8">
        <w:rPr>
          <w:rFonts w:ascii="Times New Roman" w:hAnsi="Times New Roman"/>
          <w:sz w:val="28"/>
          <w:szCs w:val="28"/>
          <w:lang w:val="uk-UA"/>
        </w:rPr>
        <w:t>ені</w:t>
      </w:r>
      <w:r w:rsidR="009C612B" w:rsidRPr="007719D8">
        <w:rPr>
          <w:rFonts w:ascii="Times New Roman" w:hAnsi="Times New Roman"/>
          <w:sz w:val="28"/>
          <w:szCs w:val="28"/>
          <w:lang w:val="uk-UA"/>
        </w:rPr>
        <w:t xml:space="preserve"> структурні зміни у активах банку за 2009 рік:</w:t>
      </w:r>
    </w:p>
    <w:p w:rsidR="009C612B" w:rsidRPr="007719D8" w:rsidRDefault="009C612B" w:rsidP="007719D8">
      <w:pPr>
        <w:widowControl w:val="0"/>
        <w:spacing w:line="360" w:lineRule="auto"/>
        <w:ind w:firstLine="709"/>
        <w:jc w:val="both"/>
        <w:rPr>
          <w:rFonts w:ascii="Times New Roman" w:hAnsi="Times New Roman"/>
          <w:sz w:val="28"/>
          <w:szCs w:val="28"/>
          <w:lang w:val="uk-UA"/>
        </w:rPr>
      </w:pPr>
    </w:p>
    <w:p w:rsidR="007719D8" w:rsidRDefault="007719D8">
      <w:pPr>
        <w:spacing w:line="240" w:lineRule="auto"/>
        <w:rPr>
          <w:rFonts w:ascii="Times New Roman" w:hAnsi="Times New Roman"/>
          <w:sz w:val="28"/>
          <w:szCs w:val="28"/>
          <w:lang w:val="uk-UA"/>
        </w:rPr>
      </w:pPr>
      <w:r>
        <w:rPr>
          <w:rFonts w:ascii="Times New Roman" w:hAnsi="Times New Roman"/>
          <w:sz w:val="28"/>
          <w:szCs w:val="28"/>
          <w:lang w:val="uk-UA"/>
        </w:rPr>
        <w:br w:type="page"/>
      </w:r>
    </w:p>
    <w:p w:rsidR="009C612B" w:rsidRPr="007719D8" w:rsidRDefault="00A05EF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1.2</w:t>
      </w:r>
      <w:r w:rsidR="009C612B" w:rsidRPr="007719D8">
        <w:rPr>
          <w:rFonts w:ascii="Times New Roman" w:hAnsi="Times New Roman"/>
          <w:sz w:val="28"/>
          <w:szCs w:val="28"/>
          <w:lang w:val="uk-UA"/>
        </w:rPr>
        <w:t xml:space="preserve"> Зміни у структурі активів </w:t>
      </w:r>
      <w:r w:rsidR="000C7700" w:rsidRPr="007719D8">
        <w:rPr>
          <w:rFonts w:ascii="Times New Roman" w:hAnsi="Times New Roman"/>
          <w:sz w:val="28"/>
          <w:szCs w:val="28"/>
          <w:lang w:val="uk-UA"/>
        </w:rPr>
        <w:t>ПАТ</w:t>
      </w:r>
      <w:r w:rsidR="002D7428" w:rsidRPr="007719D8">
        <w:rPr>
          <w:rFonts w:ascii="Times New Roman" w:hAnsi="Times New Roman"/>
          <w:sz w:val="28"/>
          <w:szCs w:val="28"/>
          <w:lang w:val="uk-UA"/>
        </w:rPr>
        <w:t xml:space="preserve"> «Райффайзен Банк Аваль» </w:t>
      </w:r>
      <w:r w:rsidR="009C612B" w:rsidRPr="007719D8">
        <w:rPr>
          <w:rFonts w:ascii="Times New Roman" w:hAnsi="Times New Roman"/>
          <w:sz w:val="28"/>
          <w:szCs w:val="28"/>
          <w:lang w:val="uk-UA"/>
        </w:rPr>
        <w:t>за 2009 рік</w:t>
      </w:r>
    </w:p>
    <w:tbl>
      <w:tblPr>
        <w:tblW w:w="9168"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58"/>
        <w:gridCol w:w="1531"/>
        <w:gridCol w:w="766"/>
        <w:gridCol w:w="1373"/>
        <w:gridCol w:w="766"/>
        <w:gridCol w:w="1530"/>
        <w:gridCol w:w="1344"/>
      </w:tblGrid>
      <w:tr w:rsidR="00F2583A" w:rsidRPr="007719D8" w:rsidTr="007719D8">
        <w:trPr>
          <w:trHeight w:val="360"/>
        </w:trPr>
        <w:tc>
          <w:tcPr>
            <w:tcW w:w="1858" w:type="dxa"/>
            <w:noWrap/>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531" w:type="dxa"/>
            <w:vAlign w:val="center"/>
            <w:hideMark/>
          </w:tcPr>
          <w:p w:rsidR="00F2583A" w:rsidRPr="007719D8" w:rsidRDefault="00F2583A"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01.01.2009</w:t>
            </w:r>
          </w:p>
        </w:tc>
        <w:tc>
          <w:tcPr>
            <w:tcW w:w="766" w:type="dxa"/>
            <w:vAlign w:val="center"/>
            <w:hideMark/>
          </w:tcPr>
          <w:p w:rsidR="00F2583A" w:rsidRPr="007719D8" w:rsidRDefault="00F2583A"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w:t>
            </w:r>
          </w:p>
        </w:tc>
        <w:tc>
          <w:tcPr>
            <w:tcW w:w="1373" w:type="dxa"/>
            <w:noWrap/>
            <w:vAlign w:val="center"/>
            <w:hideMark/>
          </w:tcPr>
          <w:p w:rsidR="00F2583A" w:rsidRPr="007719D8" w:rsidRDefault="00F2583A"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01.01.2010</w:t>
            </w:r>
          </w:p>
        </w:tc>
        <w:tc>
          <w:tcPr>
            <w:tcW w:w="766" w:type="dxa"/>
            <w:vAlign w:val="center"/>
            <w:hideMark/>
          </w:tcPr>
          <w:p w:rsidR="00F2583A" w:rsidRPr="007719D8" w:rsidRDefault="00F2583A"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w:t>
            </w:r>
          </w:p>
        </w:tc>
        <w:tc>
          <w:tcPr>
            <w:tcW w:w="1530" w:type="dxa"/>
            <w:vAlign w:val="center"/>
            <w:hideMark/>
          </w:tcPr>
          <w:p w:rsidR="00F2583A"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А</w:t>
            </w:r>
            <w:r w:rsidR="00F2583A" w:rsidRPr="007719D8">
              <w:rPr>
                <w:rFonts w:ascii="Times New Roman" w:hAnsi="Times New Roman"/>
                <w:iCs/>
                <w:sz w:val="20"/>
                <w:szCs w:val="20"/>
                <w:lang w:val="uk-UA" w:eastAsia="uk-UA"/>
              </w:rPr>
              <w:t>бсолютн</w:t>
            </w:r>
            <w:r w:rsidR="0030048B" w:rsidRPr="007719D8">
              <w:rPr>
                <w:rFonts w:ascii="Times New Roman" w:hAnsi="Times New Roman"/>
                <w:iCs/>
                <w:sz w:val="20"/>
                <w:szCs w:val="20"/>
                <w:lang w:val="uk-UA" w:eastAsia="uk-UA"/>
              </w:rPr>
              <w:t>а</w:t>
            </w:r>
            <w:r w:rsidRPr="007719D8">
              <w:rPr>
                <w:rFonts w:ascii="Times New Roman" w:hAnsi="Times New Roman"/>
                <w:iCs/>
                <w:sz w:val="20"/>
                <w:szCs w:val="20"/>
                <w:lang w:val="uk-UA" w:eastAsia="uk-UA"/>
              </w:rPr>
              <w:t xml:space="preserve"> зміна</w:t>
            </w:r>
          </w:p>
        </w:tc>
        <w:tc>
          <w:tcPr>
            <w:tcW w:w="1344" w:type="dxa"/>
            <w:vAlign w:val="center"/>
            <w:hideMark/>
          </w:tcPr>
          <w:p w:rsidR="00F2583A"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 xml:space="preserve">Зміна </w:t>
            </w:r>
            <w:r w:rsidR="00F2583A" w:rsidRPr="007719D8">
              <w:rPr>
                <w:rFonts w:ascii="Times New Roman" w:hAnsi="Times New Roman"/>
                <w:iCs/>
                <w:sz w:val="20"/>
                <w:szCs w:val="20"/>
                <w:lang w:val="uk-UA" w:eastAsia="uk-UA"/>
              </w:rPr>
              <w:t>за структурою</w:t>
            </w:r>
            <w:r w:rsidRPr="007719D8">
              <w:rPr>
                <w:rFonts w:ascii="Times New Roman" w:hAnsi="Times New Roman"/>
                <w:iCs/>
                <w:sz w:val="20"/>
                <w:szCs w:val="20"/>
                <w:lang w:val="uk-UA" w:eastAsia="uk-UA"/>
              </w:rPr>
              <w:t>,</w:t>
            </w:r>
            <w:r w:rsidR="00F2583A" w:rsidRPr="007719D8">
              <w:rPr>
                <w:rFonts w:ascii="Times New Roman" w:hAnsi="Times New Roman"/>
                <w:iCs/>
                <w:sz w:val="20"/>
                <w:szCs w:val="20"/>
                <w:lang w:val="uk-UA" w:eastAsia="uk-UA"/>
              </w:rPr>
              <w:t xml:space="preserve"> %</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Грошові кошти та їх еквіваленти</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3 751 775,00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5,73</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6 490 901,00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12,01</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2 739 126,00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6,28</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Торгові цінні папери</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141 967,00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0,22</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421 717,00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0,78</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279 750,00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0,56</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Заборгованість кредитних установ</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1 540 769,00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2,36</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581 456,00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1,08</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-959 313,00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-1,28</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Кредити та заборгованість клієнтів</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51 415 996,00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78,59</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39 127 232,00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72,39</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-12 288 764,00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-6,19</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Інвестиційні цінні папери:</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 за справедливою вартістю</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44 833,00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0,07</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45 023,00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0,08</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190,00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0,01</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 наявні на продаж</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862 962,00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1,32</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1 069 232,00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1,98</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206 270,00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0,66</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xml:space="preserve"> - утримувані до погашення</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406 668,00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0,62</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1 855 488,00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3,43</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1 448 820,00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2,81</w:t>
            </w:r>
          </w:p>
        </w:tc>
      </w:tr>
      <w:tr w:rsidR="00F2583A" w:rsidRPr="007719D8" w:rsidTr="007719D8">
        <w:trPr>
          <w:trHeight w:val="5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Основні засоби та нематеріальні активи</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3 119 383,00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4,77</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2 973 000,00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5,50</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-146 383,00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0,73</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Інші активи</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4 140 894,00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6,33</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1 483 953,00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2,75</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-2 656 941,00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-3,58</w:t>
            </w:r>
          </w:p>
        </w:tc>
      </w:tr>
      <w:tr w:rsidR="00F2583A" w:rsidRPr="007719D8" w:rsidTr="007719D8">
        <w:trPr>
          <w:trHeight w:val="570"/>
        </w:trPr>
        <w:tc>
          <w:tcPr>
            <w:tcW w:w="1858" w:type="dxa"/>
            <w:hideMark/>
          </w:tcPr>
          <w:p w:rsidR="00F2583A" w:rsidRPr="007719D8" w:rsidRDefault="00CF29D9"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Загальна сум</w:t>
            </w:r>
            <w:r w:rsidR="00F2583A" w:rsidRPr="007719D8">
              <w:rPr>
                <w:rFonts w:ascii="Times New Roman" w:hAnsi="Times New Roman"/>
                <w:sz w:val="20"/>
                <w:szCs w:val="20"/>
                <w:lang w:val="uk-UA" w:eastAsia="uk-UA"/>
              </w:rPr>
              <w:t>а резервів під знецінення активів</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-4 001 806,00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6,12</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-9 674 553,00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17,90</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-5 672 747,00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11,78</w:t>
            </w:r>
          </w:p>
        </w:tc>
      </w:tr>
      <w:tr w:rsidR="00F2583A" w:rsidRPr="007719D8" w:rsidTr="007719D8">
        <w:trPr>
          <w:trHeight w:val="255"/>
        </w:trPr>
        <w:tc>
          <w:tcPr>
            <w:tcW w:w="1858" w:type="dxa"/>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Усього активів</w:t>
            </w:r>
          </w:p>
        </w:tc>
        <w:tc>
          <w:tcPr>
            <w:tcW w:w="1531"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65 425 247,00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100,00</w:t>
            </w:r>
          </w:p>
        </w:tc>
        <w:tc>
          <w:tcPr>
            <w:tcW w:w="1373"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54 048 003,00</w:t>
            </w:r>
          </w:p>
        </w:tc>
        <w:tc>
          <w:tcPr>
            <w:tcW w:w="766"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100,00</w:t>
            </w:r>
          </w:p>
        </w:tc>
        <w:tc>
          <w:tcPr>
            <w:tcW w:w="1530"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-11 377 244,00</w:t>
            </w:r>
          </w:p>
        </w:tc>
        <w:tc>
          <w:tcPr>
            <w:tcW w:w="1344" w:type="dxa"/>
            <w:vAlign w:val="center"/>
            <w:hideMark/>
          </w:tcPr>
          <w:p w:rsidR="00F2583A" w:rsidRPr="007719D8" w:rsidRDefault="00F2583A" w:rsidP="007719D8">
            <w:pPr>
              <w:widowControl w:val="0"/>
              <w:spacing w:line="360" w:lineRule="auto"/>
              <w:jc w:val="both"/>
              <w:rPr>
                <w:rFonts w:ascii="Times New Roman" w:hAnsi="Times New Roman"/>
                <w:sz w:val="20"/>
                <w:szCs w:val="20"/>
                <w:lang w:val="uk-UA" w:eastAsia="uk-UA"/>
              </w:rPr>
            </w:pPr>
          </w:p>
        </w:tc>
      </w:tr>
    </w:tbl>
    <w:p w:rsidR="007719D8" w:rsidRDefault="007719D8" w:rsidP="007719D8">
      <w:pPr>
        <w:widowControl w:val="0"/>
        <w:spacing w:line="360" w:lineRule="auto"/>
        <w:ind w:firstLine="709"/>
        <w:jc w:val="both"/>
        <w:rPr>
          <w:rFonts w:ascii="Times New Roman" w:hAnsi="Times New Roman"/>
          <w:sz w:val="28"/>
          <w:szCs w:val="28"/>
          <w:lang w:val="uk-UA"/>
        </w:rPr>
      </w:pPr>
    </w:p>
    <w:p w:rsidR="009C612B" w:rsidRPr="007719D8" w:rsidRDefault="0030048B"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Загальне скорочення активів банку за рік склало 17,39%. </w:t>
      </w:r>
      <w:r w:rsidR="009C612B" w:rsidRPr="007719D8">
        <w:rPr>
          <w:rFonts w:ascii="Times New Roman" w:hAnsi="Times New Roman"/>
          <w:sz w:val="28"/>
          <w:szCs w:val="28"/>
          <w:lang w:val="uk-UA"/>
        </w:rPr>
        <w:t>Як бачимо, частка кредитів скоротилася за рік на 6,19%. Від’ємний приріст пов’язаний у першу чергу із суттєвим скороченням видачі кредитів, що у свою чергу пов’язано із підвищенням ризикованості даних операцій у період фінансової кризи. Крім того, банк проводить досить жорстку політику боротьби із проблемними кредитами (із наявними несплаченими обов’язковими платежами строком більше 90 днів)</w:t>
      </w:r>
      <w:r w:rsidR="002A7A36" w:rsidRPr="007719D8">
        <w:rPr>
          <w:rFonts w:ascii="Times New Roman" w:hAnsi="Times New Roman"/>
          <w:sz w:val="28"/>
          <w:szCs w:val="28"/>
          <w:lang w:val="uk-UA"/>
        </w:rPr>
        <w:t xml:space="preserve"> щодо їх більш інтенсивного погашення</w:t>
      </w:r>
      <w:r w:rsidR="009C612B" w:rsidRPr="007719D8">
        <w:rPr>
          <w:rFonts w:ascii="Times New Roman" w:hAnsi="Times New Roman"/>
          <w:sz w:val="28"/>
          <w:szCs w:val="28"/>
          <w:lang w:val="uk-UA"/>
        </w:rPr>
        <w:t>, що веде до таких результатів, як скорочення кредитного портфелю банку. Слід зазначити, що у середньо</w:t>
      </w:r>
      <w:r w:rsidR="00A33277" w:rsidRPr="007719D8">
        <w:rPr>
          <w:rFonts w:ascii="Times New Roman" w:hAnsi="Times New Roman"/>
          <w:sz w:val="28"/>
          <w:szCs w:val="28"/>
          <w:lang w:val="uk-UA"/>
        </w:rPr>
        <w:t>- та довгостроковій</w:t>
      </w:r>
      <w:r w:rsidR="009C612B" w:rsidRPr="007719D8">
        <w:rPr>
          <w:rFonts w:ascii="Times New Roman" w:hAnsi="Times New Roman"/>
          <w:sz w:val="28"/>
          <w:szCs w:val="28"/>
          <w:lang w:val="uk-UA"/>
        </w:rPr>
        <w:t xml:space="preserve"> перспективі для збереження сильних позицій на банківському ринку </w:t>
      </w:r>
      <w:r w:rsidR="00A33277" w:rsidRPr="007719D8">
        <w:rPr>
          <w:rFonts w:ascii="Times New Roman" w:hAnsi="Times New Roman"/>
          <w:sz w:val="28"/>
          <w:szCs w:val="28"/>
          <w:lang w:val="uk-UA"/>
        </w:rPr>
        <w:t>банк все ж повинен почати відновлення попереднього обсягу портфелю</w:t>
      </w:r>
      <w:r w:rsidR="002A7A36" w:rsidRPr="007719D8">
        <w:rPr>
          <w:rFonts w:ascii="Times New Roman" w:hAnsi="Times New Roman"/>
          <w:sz w:val="28"/>
          <w:szCs w:val="28"/>
          <w:lang w:val="uk-UA"/>
        </w:rPr>
        <w:t xml:space="preserve"> та його нарощення</w:t>
      </w:r>
      <w:r w:rsidR="00A33277" w:rsidRPr="007719D8">
        <w:rPr>
          <w:rFonts w:ascii="Times New Roman" w:hAnsi="Times New Roman"/>
          <w:sz w:val="28"/>
          <w:szCs w:val="28"/>
          <w:lang w:val="uk-UA"/>
        </w:rPr>
        <w:t>, адже кредитні доходи від кредитних операцій займали у 2009 році 84,56% від загальних доходів і формували більшу частку операційного прибутку банку.</w:t>
      </w:r>
    </w:p>
    <w:p w:rsidR="00CF29D9" w:rsidRPr="007719D8" w:rsidRDefault="00F2583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Слід також зазначити збільшення частки високоліквідних коштів у балансі банку до 12,01%. Чистий вхідний грошовий потік склав за рік 2739,126 млн. грн. Цей показник має виключне значення для по</w:t>
      </w:r>
      <w:r w:rsidR="00CF29D9" w:rsidRPr="007719D8">
        <w:rPr>
          <w:rFonts w:ascii="Times New Roman" w:hAnsi="Times New Roman"/>
          <w:sz w:val="28"/>
          <w:szCs w:val="28"/>
          <w:lang w:val="uk-UA"/>
        </w:rPr>
        <w:t>дальшого аналізу вартості банку, оскільки показує, що банк здатний формувати базу для сплати своїм акціонерам та інвесторам виплат як винагород за вкладені кошти.</w:t>
      </w:r>
      <w:r w:rsidR="00650114" w:rsidRPr="007719D8">
        <w:rPr>
          <w:rFonts w:ascii="Times New Roman" w:hAnsi="Times New Roman"/>
          <w:sz w:val="28"/>
          <w:szCs w:val="28"/>
          <w:lang w:val="uk-UA"/>
        </w:rPr>
        <w:t xml:space="preserve"> </w:t>
      </w:r>
      <w:r w:rsidR="0030048B" w:rsidRPr="007719D8">
        <w:rPr>
          <w:rFonts w:ascii="Times New Roman" w:hAnsi="Times New Roman"/>
          <w:sz w:val="28"/>
          <w:szCs w:val="28"/>
          <w:lang w:val="uk-UA"/>
        </w:rPr>
        <w:t>Однак</w:t>
      </w:r>
      <w:r w:rsidR="00650114" w:rsidRPr="007719D8">
        <w:rPr>
          <w:rFonts w:ascii="Times New Roman" w:hAnsi="Times New Roman"/>
          <w:sz w:val="28"/>
          <w:szCs w:val="28"/>
          <w:lang w:val="uk-UA"/>
        </w:rPr>
        <w:t xml:space="preserve">, одним із </w:t>
      </w:r>
      <w:r w:rsidR="0007035F" w:rsidRPr="007719D8">
        <w:rPr>
          <w:rFonts w:ascii="Times New Roman" w:hAnsi="Times New Roman"/>
          <w:sz w:val="28"/>
          <w:szCs w:val="28"/>
          <w:lang w:val="uk-UA"/>
        </w:rPr>
        <w:t xml:space="preserve">основних </w:t>
      </w:r>
      <w:r w:rsidR="00650114" w:rsidRPr="007719D8">
        <w:rPr>
          <w:rFonts w:ascii="Times New Roman" w:hAnsi="Times New Roman"/>
          <w:sz w:val="28"/>
          <w:szCs w:val="28"/>
          <w:lang w:val="uk-UA"/>
        </w:rPr>
        <w:t>факторів, що призвів до зростання грошового потоку</w:t>
      </w:r>
      <w:r w:rsidR="0030048B" w:rsidRPr="007719D8">
        <w:rPr>
          <w:rFonts w:ascii="Times New Roman" w:hAnsi="Times New Roman"/>
          <w:sz w:val="28"/>
          <w:szCs w:val="28"/>
          <w:lang w:val="uk-UA"/>
        </w:rPr>
        <w:t>,</w:t>
      </w:r>
      <w:r w:rsidR="00650114" w:rsidRPr="007719D8">
        <w:rPr>
          <w:rFonts w:ascii="Times New Roman" w:hAnsi="Times New Roman"/>
          <w:sz w:val="28"/>
          <w:szCs w:val="28"/>
          <w:lang w:val="uk-UA"/>
        </w:rPr>
        <w:t xml:space="preserve"> стало скороч</w:t>
      </w:r>
      <w:r w:rsidR="0030048B" w:rsidRPr="007719D8">
        <w:rPr>
          <w:rFonts w:ascii="Times New Roman" w:hAnsi="Times New Roman"/>
          <w:sz w:val="28"/>
          <w:szCs w:val="28"/>
          <w:lang w:val="uk-UA"/>
        </w:rPr>
        <w:t>ення обсягу кредитування банком, особливо споживчого як більш ризикованого.</w:t>
      </w:r>
      <w:r w:rsidR="007719D8">
        <w:rPr>
          <w:rFonts w:ascii="Times New Roman" w:hAnsi="Times New Roman"/>
          <w:sz w:val="28"/>
          <w:szCs w:val="28"/>
          <w:lang w:val="uk-UA"/>
        </w:rPr>
        <w:t xml:space="preserve"> </w:t>
      </w:r>
      <w:r w:rsidR="0030048B" w:rsidRPr="007719D8">
        <w:rPr>
          <w:rFonts w:ascii="Times New Roman" w:hAnsi="Times New Roman"/>
          <w:sz w:val="28"/>
          <w:szCs w:val="28"/>
          <w:lang w:val="uk-UA"/>
        </w:rPr>
        <w:t xml:space="preserve">Необхідно також відмітити, що одним з головних факторів зменшення вартості активів у балансі банку стало формування резервів під відшкодування можливих витрат за кредитними операціями, загальний приріст склав 141,75%, на відповідно суму резервів у відповідності з правилами обліку у банках було скорочено балансову вартість активів. </w:t>
      </w:r>
      <w:r w:rsidR="00FE22AA" w:rsidRPr="007719D8">
        <w:rPr>
          <w:rFonts w:ascii="Times New Roman" w:hAnsi="Times New Roman"/>
          <w:sz w:val="28"/>
          <w:szCs w:val="28"/>
          <w:lang w:val="uk-UA"/>
        </w:rPr>
        <w:t>У таблиці 1.3</w:t>
      </w:r>
      <w:r w:rsidR="00CF29D9" w:rsidRPr="007719D8">
        <w:rPr>
          <w:rFonts w:ascii="Times New Roman" w:hAnsi="Times New Roman"/>
          <w:sz w:val="28"/>
          <w:szCs w:val="28"/>
          <w:lang w:val="uk-UA"/>
        </w:rPr>
        <w:t xml:space="preserve"> наводиться аналіз зобов’язань банку за період 2009 року. </w:t>
      </w:r>
    </w:p>
    <w:p w:rsidR="00CF29D9" w:rsidRPr="007719D8" w:rsidRDefault="00CF29D9" w:rsidP="007719D8">
      <w:pPr>
        <w:widowControl w:val="0"/>
        <w:spacing w:line="360" w:lineRule="auto"/>
        <w:ind w:firstLine="709"/>
        <w:jc w:val="both"/>
        <w:rPr>
          <w:rFonts w:ascii="Times New Roman" w:hAnsi="Times New Roman"/>
          <w:sz w:val="28"/>
          <w:szCs w:val="28"/>
          <w:lang w:val="uk-UA"/>
        </w:rPr>
      </w:pPr>
    </w:p>
    <w:p w:rsidR="007719D8" w:rsidRDefault="004D3C6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1.</w:t>
      </w:r>
      <w:r w:rsidRPr="007719D8">
        <w:rPr>
          <w:rFonts w:ascii="Times New Roman" w:hAnsi="Times New Roman"/>
          <w:sz w:val="28"/>
          <w:szCs w:val="28"/>
        </w:rPr>
        <w:t>3</w:t>
      </w:r>
    </w:p>
    <w:p w:rsidR="00C03B0D" w:rsidRPr="007719D8" w:rsidRDefault="009C1AF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Структура</w:t>
      </w:r>
      <w:r w:rsidR="00C03B0D" w:rsidRPr="007719D8">
        <w:rPr>
          <w:rFonts w:ascii="Times New Roman" w:hAnsi="Times New Roman"/>
          <w:sz w:val="28"/>
          <w:szCs w:val="28"/>
          <w:lang w:val="uk-UA"/>
        </w:rPr>
        <w:t xml:space="preserve"> зобов’язань </w:t>
      </w:r>
      <w:r w:rsidR="000C7700" w:rsidRPr="007719D8">
        <w:rPr>
          <w:rFonts w:ascii="Times New Roman" w:hAnsi="Times New Roman"/>
          <w:sz w:val="28"/>
          <w:szCs w:val="28"/>
          <w:lang w:val="uk-UA"/>
        </w:rPr>
        <w:t>ПАТ</w:t>
      </w:r>
      <w:r w:rsidR="002D7428" w:rsidRPr="007719D8">
        <w:rPr>
          <w:rFonts w:ascii="Times New Roman" w:hAnsi="Times New Roman"/>
          <w:sz w:val="28"/>
          <w:szCs w:val="28"/>
          <w:lang w:val="uk-UA"/>
        </w:rPr>
        <w:t xml:space="preserve"> «Райффайзен Банк Аваль»</w:t>
      </w:r>
      <w:r w:rsidR="00C03B0D" w:rsidRPr="007719D8">
        <w:rPr>
          <w:rFonts w:ascii="Times New Roman" w:hAnsi="Times New Roman"/>
          <w:sz w:val="28"/>
          <w:szCs w:val="28"/>
          <w:lang w:val="uk-UA"/>
        </w:rPr>
        <w:t xml:space="preserve"> за 2009 рік</w:t>
      </w:r>
    </w:p>
    <w:tbl>
      <w:tblPr>
        <w:tblW w:w="8974" w:type="dxa"/>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00"/>
        <w:gridCol w:w="1531"/>
        <w:gridCol w:w="920"/>
        <w:gridCol w:w="1518"/>
        <w:gridCol w:w="920"/>
        <w:gridCol w:w="1348"/>
        <w:gridCol w:w="737"/>
      </w:tblGrid>
      <w:tr w:rsidR="00674509" w:rsidRPr="007719D8" w:rsidTr="007719D8">
        <w:trPr>
          <w:trHeight w:val="420"/>
        </w:trPr>
        <w:tc>
          <w:tcPr>
            <w:tcW w:w="2000" w:type="dxa"/>
            <w:noWrap/>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p>
        </w:tc>
        <w:tc>
          <w:tcPr>
            <w:tcW w:w="1531" w:type="dxa"/>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ru-RU"/>
              </w:rPr>
            </w:pPr>
            <w:r w:rsidRPr="007719D8">
              <w:rPr>
                <w:rFonts w:ascii="Times New Roman" w:hAnsi="Times New Roman"/>
                <w:iCs/>
                <w:sz w:val="20"/>
                <w:szCs w:val="20"/>
                <w:lang w:val="uk-UA" w:eastAsia="ru-RU"/>
              </w:rPr>
              <w:t>01.01.2009</w:t>
            </w:r>
          </w:p>
        </w:tc>
        <w:tc>
          <w:tcPr>
            <w:tcW w:w="920" w:type="dxa"/>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ru-RU"/>
              </w:rPr>
            </w:pPr>
            <w:r w:rsidRPr="007719D8">
              <w:rPr>
                <w:rFonts w:ascii="Times New Roman" w:hAnsi="Times New Roman"/>
                <w:iCs/>
                <w:sz w:val="20"/>
                <w:szCs w:val="20"/>
                <w:lang w:val="uk-UA" w:eastAsia="ru-RU"/>
              </w:rPr>
              <w:t>%%</w:t>
            </w:r>
          </w:p>
        </w:tc>
        <w:tc>
          <w:tcPr>
            <w:tcW w:w="1518" w:type="dxa"/>
            <w:noWrap/>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ru-RU"/>
              </w:rPr>
            </w:pPr>
            <w:r w:rsidRPr="007719D8">
              <w:rPr>
                <w:rFonts w:ascii="Times New Roman" w:hAnsi="Times New Roman"/>
                <w:iCs/>
                <w:sz w:val="20"/>
                <w:szCs w:val="20"/>
                <w:lang w:val="uk-UA" w:eastAsia="ru-RU"/>
              </w:rPr>
              <w:t>01.01.2010</w:t>
            </w:r>
          </w:p>
        </w:tc>
        <w:tc>
          <w:tcPr>
            <w:tcW w:w="920" w:type="dxa"/>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ru-RU"/>
              </w:rPr>
            </w:pPr>
            <w:r w:rsidRPr="007719D8">
              <w:rPr>
                <w:rFonts w:ascii="Times New Roman" w:hAnsi="Times New Roman"/>
                <w:iCs/>
                <w:sz w:val="20"/>
                <w:szCs w:val="20"/>
                <w:lang w:val="uk-UA" w:eastAsia="ru-RU"/>
              </w:rPr>
              <w:t>%%</w:t>
            </w:r>
          </w:p>
        </w:tc>
        <w:tc>
          <w:tcPr>
            <w:tcW w:w="1348" w:type="dxa"/>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Абсолютна зміна</w:t>
            </w:r>
          </w:p>
        </w:tc>
        <w:tc>
          <w:tcPr>
            <w:tcW w:w="737" w:type="dxa"/>
            <w:vAlign w:val="center"/>
            <w:hideMark/>
          </w:tcPr>
          <w:p w:rsidR="00674509" w:rsidRPr="007719D8" w:rsidRDefault="00674509"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Зміна за структурою, %</w:t>
            </w:r>
          </w:p>
        </w:tc>
      </w:tr>
      <w:tr w:rsidR="00674509" w:rsidRPr="007719D8" w:rsidTr="007719D8">
        <w:trPr>
          <w:trHeight w:val="330"/>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Зобов'язання перед банками</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22 413 403,00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38,65</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16 332 907,00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33,51</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-6 080 496,00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-5,14</w:t>
            </w:r>
          </w:p>
        </w:tc>
      </w:tr>
      <w:tr w:rsidR="00674509" w:rsidRPr="007719D8" w:rsidTr="007719D8">
        <w:trPr>
          <w:trHeight w:val="255"/>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Заборгованість перед клієнтами:</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r>
      <w:tr w:rsidR="00674509" w:rsidRPr="007719D8" w:rsidTr="007719D8">
        <w:trPr>
          <w:trHeight w:val="255"/>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xml:space="preserve"> - на вимогу</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8 595 044,00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14,82</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12 148 768,00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24,93</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3 553 724,00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10,11</w:t>
            </w:r>
          </w:p>
        </w:tc>
      </w:tr>
      <w:tr w:rsidR="00674509" w:rsidRPr="007719D8" w:rsidTr="007719D8">
        <w:trPr>
          <w:trHeight w:val="255"/>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xml:space="preserve"> - строкова</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18 287 177,00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31,54</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15 518 905,00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31,84</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-2 768 272,00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0,31</w:t>
            </w:r>
          </w:p>
        </w:tc>
      </w:tr>
      <w:tr w:rsidR="00674509" w:rsidRPr="007719D8" w:rsidTr="007719D8">
        <w:trPr>
          <w:trHeight w:val="255"/>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Емітовані цінні папери</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721 978,00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1,25</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190 100,00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0,39</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-531 878,00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-0,86</w:t>
            </w:r>
          </w:p>
        </w:tc>
      </w:tr>
      <w:tr w:rsidR="00674509" w:rsidRPr="007719D8" w:rsidTr="007719D8">
        <w:trPr>
          <w:trHeight w:val="255"/>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Поточні зобов'язання с податку на прибуток</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60 261,00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0,10</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703,00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0,00</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-59 558,00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-0,10</w:t>
            </w:r>
          </w:p>
        </w:tc>
      </w:tr>
      <w:tr w:rsidR="00674509" w:rsidRPr="007719D8" w:rsidTr="007719D8">
        <w:trPr>
          <w:trHeight w:val="450"/>
        </w:trPr>
        <w:tc>
          <w:tcPr>
            <w:tcW w:w="2000" w:type="dxa"/>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Відстрочені зобов'язання з податку на прибуток</w:t>
            </w:r>
          </w:p>
        </w:tc>
        <w:tc>
          <w:tcPr>
            <w:tcW w:w="1531"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365 471,00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0,63</w:t>
            </w:r>
          </w:p>
        </w:tc>
        <w:tc>
          <w:tcPr>
            <w:tcW w:w="151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302 877,00</w:t>
            </w:r>
          </w:p>
        </w:tc>
        <w:tc>
          <w:tcPr>
            <w:tcW w:w="920"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0,62</w:t>
            </w:r>
          </w:p>
        </w:tc>
        <w:tc>
          <w:tcPr>
            <w:tcW w:w="1348"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-62 594,00</w:t>
            </w:r>
          </w:p>
        </w:tc>
        <w:tc>
          <w:tcPr>
            <w:tcW w:w="737" w:type="dxa"/>
            <w:vAlign w:val="center"/>
            <w:hideMark/>
          </w:tcPr>
          <w:p w:rsidR="00674509" w:rsidRPr="007719D8" w:rsidRDefault="00674509"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-0,01</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Субординований борг</w:t>
            </w:r>
          </w:p>
        </w:tc>
        <w:tc>
          <w:tcPr>
            <w:tcW w:w="1531"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1 112 231,00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1,92</w:t>
            </w:r>
          </w:p>
        </w:tc>
        <w:tc>
          <w:tcPr>
            <w:tcW w:w="151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2 374 696,00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4,87</w:t>
            </w:r>
          </w:p>
        </w:tc>
        <w:tc>
          <w:tcPr>
            <w:tcW w:w="134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1 262 465,00</w:t>
            </w:r>
          </w:p>
        </w:tc>
        <w:tc>
          <w:tcPr>
            <w:tcW w:w="737"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2,95</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Резерви</w:t>
            </w:r>
          </w:p>
        </w:tc>
        <w:tc>
          <w:tcPr>
            <w:tcW w:w="1531"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56 989,00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0,10</w:t>
            </w:r>
          </w:p>
        </w:tc>
        <w:tc>
          <w:tcPr>
            <w:tcW w:w="151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56 832,00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0,12</w:t>
            </w:r>
          </w:p>
        </w:tc>
        <w:tc>
          <w:tcPr>
            <w:tcW w:w="134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-157,00</w:t>
            </w:r>
          </w:p>
        </w:tc>
        <w:tc>
          <w:tcPr>
            <w:tcW w:w="737"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0,02</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Інші зобов'язання</w:t>
            </w:r>
          </w:p>
        </w:tc>
        <w:tc>
          <w:tcPr>
            <w:tcW w:w="1531"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6 372 750,00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10,99</w:t>
            </w:r>
          </w:p>
        </w:tc>
        <w:tc>
          <w:tcPr>
            <w:tcW w:w="151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1 809 280,00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3,71</w:t>
            </w:r>
          </w:p>
        </w:tc>
        <w:tc>
          <w:tcPr>
            <w:tcW w:w="134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-4 563 470,00</w:t>
            </w:r>
          </w:p>
        </w:tc>
        <w:tc>
          <w:tcPr>
            <w:tcW w:w="737"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-7,28</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Усього зобов'язань</w:t>
            </w:r>
          </w:p>
        </w:tc>
        <w:tc>
          <w:tcPr>
            <w:tcW w:w="1531"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57 985 304,00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100,00</w:t>
            </w:r>
          </w:p>
        </w:tc>
        <w:tc>
          <w:tcPr>
            <w:tcW w:w="151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48 735 068,00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100,00</w:t>
            </w:r>
          </w:p>
        </w:tc>
        <w:tc>
          <w:tcPr>
            <w:tcW w:w="1348"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-9 250 236,00</w:t>
            </w:r>
          </w:p>
        </w:tc>
        <w:tc>
          <w:tcPr>
            <w:tcW w:w="737"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p>
        </w:tc>
      </w:tr>
    </w:tbl>
    <w:p w:rsidR="007719D8" w:rsidRDefault="007719D8" w:rsidP="007719D8">
      <w:pPr>
        <w:widowControl w:val="0"/>
        <w:spacing w:line="360" w:lineRule="auto"/>
        <w:ind w:firstLine="709"/>
        <w:jc w:val="both"/>
        <w:rPr>
          <w:rFonts w:ascii="Times New Roman" w:hAnsi="Times New Roman"/>
          <w:sz w:val="28"/>
          <w:szCs w:val="28"/>
          <w:lang w:val="uk-UA"/>
        </w:rPr>
      </w:pPr>
    </w:p>
    <w:p w:rsidR="00C03B0D" w:rsidRPr="007719D8" w:rsidRDefault="0030048B"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Як бачимо, спостерігається загальне скорочення зобов’язань банку на 15,95% від їх вартості у 2008 році. </w:t>
      </w:r>
      <w:r w:rsidR="00C75D6C" w:rsidRPr="007719D8">
        <w:rPr>
          <w:rFonts w:ascii="Times New Roman" w:hAnsi="Times New Roman"/>
          <w:sz w:val="28"/>
          <w:szCs w:val="28"/>
          <w:lang w:val="uk-UA"/>
        </w:rPr>
        <w:t xml:space="preserve">Головними факторами скорочення стали відтік строкових коштів клієнтів та інших банківських установ (їх скорочення склало 27,12 та 15,13%% відповідно). Значний відносний приріст субординованого боргу на 113,50% не відіграв значної ролі через паралельне скорочення вартості емітованих цінних паперів та інших зобов’язань, що до того ж мають більшу вагу у структурі зобов’язань. </w:t>
      </w:r>
      <w:r w:rsidR="006E064F" w:rsidRPr="007719D8">
        <w:rPr>
          <w:rFonts w:ascii="Times New Roman" w:hAnsi="Times New Roman"/>
          <w:sz w:val="28"/>
          <w:szCs w:val="28"/>
          <w:lang w:val="uk-UA"/>
        </w:rPr>
        <w:t xml:space="preserve">Слід відзначити зростання онкольних депозитів у ресурсному портфелі банку. Це вказує на досить високу активність банку у роботі по залученню до роботи корпоративних клієнтів, адже саме вони формують основну частку онкольних депозитів у балансі банку. Однак криза довіри до банківської системи позначилась на строкових депозитах, вони скоротились на 15,13%. </w:t>
      </w:r>
    </w:p>
    <w:p w:rsidR="006E064F" w:rsidRPr="007719D8" w:rsidRDefault="002A7A3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таблиці 1.4</w:t>
      </w:r>
      <w:r w:rsidR="006E064F" w:rsidRPr="007719D8">
        <w:rPr>
          <w:rFonts w:ascii="Times New Roman" w:hAnsi="Times New Roman"/>
          <w:sz w:val="28"/>
          <w:szCs w:val="28"/>
          <w:lang w:val="uk-UA"/>
        </w:rPr>
        <w:t xml:space="preserve"> зображено зміни у структурі власного капіталу банку:</w:t>
      </w:r>
    </w:p>
    <w:p w:rsidR="006E064F" w:rsidRPr="007719D8" w:rsidRDefault="006E064F" w:rsidP="007719D8">
      <w:pPr>
        <w:widowControl w:val="0"/>
        <w:spacing w:line="360" w:lineRule="auto"/>
        <w:ind w:firstLine="709"/>
        <w:jc w:val="both"/>
        <w:rPr>
          <w:rFonts w:ascii="Times New Roman" w:hAnsi="Times New Roman"/>
          <w:sz w:val="28"/>
          <w:szCs w:val="28"/>
          <w:lang w:val="uk-UA"/>
        </w:rPr>
      </w:pPr>
    </w:p>
    <w:p w:rsidR="007719D8" w:rsidRDefault="007719D8">
      <w:pPr>
        <w:spacing w:line="240" w:lineRule="auto"/>
        <w:rPr>
          <w:rFonts w:ascii="Times New Roman" w:hAnsi="Times New Roman"/>
          <w:sz w:val="28"/>
          <w:szCs w:val="28"/>
          <w:lang w:val="uk-UA"/>
        </w:rPr>
      </w:pPr>
      <w:r>
        <w:rPr>
          <w:rFonts w:ascii="Times New Roman" w:hAnsi="Times New Roman"/>
          <w:sz w:val="28"/>
          <w:szCs w:val="28"/>
          <w:lang w:val="uk-UA"/>
        </w:rPr>
        <w:br w:type="page"/>
      </w:r>
    </w:p>
    <w:p w:rsidR="00C75D6C" w:rsidRPr="007719D8" w:rsidRDefault="004D3C6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1.</w:t>
      </w:r>
      <w:r w:rsidRPr="007719D8">
        <w:rPr>
          <w:rFonts w:ascii="Times New Roman" w:hAnsi="Times New Roman"/>
          <w:sz w:val="28"/>
          <w:szCs w:val="28"/>
        </w:rPr>
        <w:t>4</w:t>
      </w:r>
      <w:r w:rsidR="007719D8">
        <w:rPr>
          <w:rFonts w:ascii="Times New Roman" w:hAnsi="Times New Roman"/>
          <w:sz w:val="28"/>
          <w:szCs w:val="28"/>
          <w:lang w:val="uk-UA"/>
        </w:rPr>
        <w:t xml:space="preserve"> </w:t>
      </w:r>
      <w:r w:rsidR="00C75D6C" w:rsidRPr="007719D8">
        <w:rPr>
          <w:rFonts w:ascii="Times New Roman" w:hAnsi="Times New Roman"/>
          <w:sz w:val="28"/>
          <w:szCs w:val="28"/>
          <w:lang w:val="uk-UA"/>
        </w:rPr>
        <w:t>Зміни</w:t>
      </w:r>
      <w:r w:rsidR="00B80A04" w:rsidRPr="007719D8">
        <w:rPr>
          <w:rFonts w:ascii="Times New Roman" w:hAnsi="Times New Roman"/>
          <w:sz w:val="28"/>
          <w:szCs w:val="28"/>
          <w:lang w:val="uk-UA"/>
        </w:rPr>
        <w:t xml:space="preserve"> у структурі власного капіталу </w:t>
      </w:r>
      <w:r w:rsidR="000C7700" w:rsidRPr="007719D8">
        <w:rPr>
          <w:rFonts w:ascii="Times New Roman" w:hAnsi="Times New Roman"/>
          <w:sz w:val="28"/>
          <w:szCs w:val="28"/>
          <w:lang w:val="uk-UA"/>
        </w:rPr>
        <w:t>ПАТ</w:t>
      </w:r>
      <w:r w:rsidR="002D7428" w:rsidRPr="007719D8">
        <w:rPr>
          <w:rFonts w:ascii="Times New Roman" w:hAnsi="Times New Roman"/>
          <w:sz w:val="28"/>
          <w:szCs w:val="28"/>
          <w:lang w:val="uk-UA"/>
        </w:rPr>
        <w:t xml:space="preserve"> «Райффайзен Банк Аваль»</w:t>
      </w:r>
      <w:r w:rsidR="00C75D6C" w:rsidRPr="007719D8">
        <w:rPr>
          <w:rFonts w:ascii="Times New Roman" w:hAnsi="Times New Roman"/>
          <w:sz w:val="28"/>
          <w:szCs w:val="28"/>
          <w:lang w:val="uk-UA"/>
        </w:rPr>
        <w:t xml:space="preserve"> за 2009 рік</w:t>
      </w:r>
    </w:p>
    <w:tbl>
      <w:tblPr>
        <w:tblW w:w="8930" w:type="dxa"/>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02"/>
        <w:gridCol w:w="1392"/>
        <w:gridCol w:w="766"/>
        <w:gridCol w:w="1502"/>
        <w:gridCol w:w="766"/>
        <w:gridCol w:w="1502"/>
        <w:gridCol w:w="1000"/>
      </w:tblGrid>
      <w:tr w:rsidR="00B80A04" w:rsidRPr="007719D8" w:rsidTr="007719D8">
        <w:trPr>
          <w:trHeight w:val="420"/>
        </w:trPr>
        <w:tc>
          <w:tcPr>
            <w:tcW w:w="2002" w:type="dxa"/>
            <w:noWrap/>
            <w:hideMark/>
          </w:tcPr>
          <w:p w:rsidR="00B80A04" w:rsidRPr="007719D8" w:rsidRDefault="00B80A04" w:rsidP="007719D8">
            <w:pPr>
              <w:widowControl w:val="0"/>
              <w:spacing w:line="360" w:lineRule="auto"/>
              <w:jc w:val="both"/>
              <w:rPr>
                <w:rFonts w:ascii="Times New Roman" w:hAnsi="Times New Roman"/>
                <w:sz w:val="20"/>
                <w:szCs w:val="20"/>
                <w:lang w:val="uk-UA" w:eastAsia="uk-UA"/>
              </w:rPr>
            </w:pPr>
          </w:p>
        </w:tc>
        <w:tc>
          <w:tcPr>
            <w:tcW w:w="1392" w:type="dxa"/>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01.01.2009</w:t>
            </w:r>
          </w:p>
        </w:tc>
        <w:tc>
          <w:tcPr>
            <w:tcW w:w="766" w:type="dxa"/>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w:t>
            </w:r>
          </w:p>
        </w:tc>
        <w:tc>
          <w:tcPr>
            <w:tcW w:w="1502" w:type="dxa"/>
            <w:noWrap/>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01.01.2010</w:t>
            </w:r>
          </w:p>
        </w:tc>
        <w:tc>
          <w:tcPr>
            <w:tcW w:w="766" w:type="dxa"/>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w:t>
            </w:r>
          </w:p>
        </w:tc>
        <w:tc>
          <w:tcPr>
            <w:tcW w:w="1502" w:type="dxa"/>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Абсолютна зміна</w:t>
            </w:r>
          </w:p>
        </w:tc>
        <w:tc>
          <w:tcPr>
            <w:tcW w:w="1000" w:type="dxa"/>
            <w:vAlign w:val="center"/>
            <w:hideMark/>
          </w:tcPr>
          <w:p w:rsidR="00B80A04" w:rsidRPr="007719D8" w:rsidRDefault="00B80A04"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Зміна за структурою, %</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Статутний капітал</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2 419 935,00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32,53</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2 419 935,00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45,55</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13,02</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Додатковий сплачений капітал</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2 683 602,00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36,07</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2 683 602,00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50,51</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0,00</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14,44</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Резерви</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1 771 493,00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23,81</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2 194 695,00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41,31</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423 202,00</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17,50</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Нерозподілений прибуток</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564 913,00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7,59</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-1 985 298,00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-37,37</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-2 550 211,00</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-44,96</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Всього капіталу</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7 439 943,00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100,00</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5 312 934,00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100,00</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-2 127 009,00</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 </w:t>
            </w:r>
          </w:p>
        </w:tc>
      </w:tr>
      <w:tr w:rsidR="00C75D6C" w:rsidRPr="007719D8" w:rsidTr="007719D8">
        <w:trPr>
          <w:trHeight w:val="255"/>
        </w:trPr>
        <w:tc>
          <w:tcPr>
            <w:tcW w:w="2002" w:type="dxa"/>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Зобов'язання та капітал</w:t>
            </w:r>
          </w:p>
        </w:tc>
        <w:tc>
          <w:tcPr>
            <w:tcW w:w="139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65 425 247,00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r w:rsidRPr="007719D8">
              <w:rPr>
                <w:rFonts w:ascii="Times New Roman" w:hAnsi="Times New Roman"/>
                <w:sz w:val="20"/>
                <w:szCs w:val="20"/>
                <w:lang w:val="uk-UA" w:eastAsia="uk-UA"/>
              </w:rPr>
              <w:t>54 048 002,00</w:t>
            </w:r>
          </w:p>
        </w:tc>
        <w:tc>
          <w:tcPr>
            <w:tcW w:w="766"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p>
        </w:tc>
        <w:tc>
          <w:tcPr>
            <w:tcW w:w="1502"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p>
        </w:tc>
        <w:tc>
          <w:tcPr>
            <w:tcW w:w="1000" w:type="dxa"/>
            <w:vAlign w:val="center"/>
            <w:hideMark/>
          </w:tcPr>
          <w:p w:rsidR="00C75D6C" w:rsidRPr="007719D8" w:rsidRDefault="00C75D6C" w:rsidP="007719D8">
            <w:pPr>
              <w:widowControl w:val="0"/>
              <w:spacing w:line="360" w:lineRule="auto"/>
              <w:jc w:val="both"/>
              <w:rPr>
                <w:rFonts w:ascii="Times New Roman" w:hAnsi="Times New Roman"/>
                <w:sz w:val="20"/>
                <w:szCs w:val="20"/>
                <w:lang w:val="uk-UA" w:eastAsia="uk-UA"/>
              </w:rPr>
            </w:pPr>
          </w:p>
        </w:tc>
      </w:tr>
    </w:tbl>
    <w:p w:rsidR="007719D8" w:rsidRDefault="007719D8" w:rsidP="007719D8">
      <w:pPr>
        <w:widowControl w:val="0"/>
        <w:spacing w:line="360" w:lineRule="auto"/>
        <w:ind w:firstLine="709"/>
        <w:jc w:val="both"/>
        <w:rPr>
          <w:rFonts w:ascii="Times New Roman" w:hAnsi="Times New Roman"/>
          <w:sz w:val="28"/>
          <w:szCs w:val="28"/>
          <w:lang w:val="uk-UA"/>
        </w:rPr>
      </w:pPr>
    </w:p>
    <w:p w:rsidR="00C75D6C" w:rsidRPr="007719D8" w:rsidRDefault="00C75D6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Як бачимо, кардинальних змін у структурі власного капіталу не відбулося, однак слід відмітити зміну знаку перед статтею нерозподіленого прибутку</w:t>
      </w:r>
      <w:r w:rsidR="006E064F" w:rsidRPr="007719D8">
        <w:rPr>
          <w:rFonts w:ascii="Times New Roman" w:hAnsi="Times New Roman"/>
          <w:sz w:val="28"/>
          <w:szCs w:val="28"/>
          <w:lang w:val="uk-UA"/>
        </w:rPr>
        <w:t xml:space="preserve">. Причиною від’ємності цієї статті став від’ємний фінансовий результат банку за 2009 рік. Причини короткострокової збитковості банку описано нижче. </w:t>
      </w:r>
    </w:p>
    <w:p w:rsidR="0007035F" w:rsidRPr="007719D8" w:rsidRDefault="006E064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Таблиця </w:t>
      </w:r>
      <w:r w:rsidR="002A7A36" w:rsidRPr="007719D8">
        <w:rPr>
          <w:rFonts w:ascii="Times New Roman" w:hAnsi="Times New Roman"/>
          <w:sz w:val="28"/>
          <w:szCs w:val="28"/>
          <w:lang w:val="uk-UA"/>
        </w:rPr>
        <w:t>1.5</w:t>
      </w:r>
      <w:r w:rsidR="00B7399C" w:rsidRPr="007719D8">
        <w:rPr>
          <w:rFonts w:ascii="Times New Roman" w:hAnsi="Times New Roman"/>
          <w:sz w:val="28"/>
          <w:szCs w:val="28"/>
          <w:lang w:val="uk-UA"/>
        </w:rPr>
        <w:t xml:space="preserve"> </w:t>
      </w:r>
      <w:r w:rsidRPr="007719D8">
        <w:rPr>
          <w:rFonts w:ascii="Times New Roman" w:hAnsi="Times New Roman"/>
          <w:sz w:val="28"/>
          <w:szCs w:val="28"/>
          <w:lang w:val="uk-UA"/>
        </w:rPr>
        <w:t>показує формування фінансового резуль</w:t>
      </w:r>
      <w:r w:rsidR="00B7399C" w:rsidRPr="007719D8">
        <w:rPr>
          <w:rFonts w:ascii="Times New Roman" w:hAnsi="Times New Roman"/>
          <w:sz w:val="28"/>
          <w:szCs w:val="28"/>
          <w:lang w:val="uk-UA"/>
        </w:rPr>
        <w:t xml:space="preserve">тату банку у 2008 та 2009 роках. Можемо спостерігати значну вагу процентних доходів у загальних та збільшення їх частки за 2009 рік. Це пов’язано </w:t>
      </w:r>
      <w:r w:rsidR="00EE1DA8" w:rsidRPr="007719D8">
        <w:rPr>
          <w:rFonts w:ascii="Times New Roman" w:hAnsi="Times New Roman"/>
          <w:sz w:val="28"/>
          <w:szCs w:val="28"/>
          <w:lang w:val="uk-UA"/>
        </w:rPr>
        <w:t xml:space="preserve">в основному </w:t>
      </w:r>
      <w:r w:rsidR="00B7399C" w:rsidRPr="007719D8">
        <w:rPr>
          <w:rFonts w:ascii="Times New Roman" w:hAnsi="Times New Roman"/>
          <w:sz w:val="28"/>
          <w:szCs w:val="28"/>
          <w:lang w:val="uk-UA"/>
        </w:rPr>
        <w:t xml:space="preserve">із коливаннями валютних курсів та збільшенням грошового потоку від погашення кредитів у гривневому еквіваленті. </w:t>
      </w:r>
    </w:p>
    <w:p w:rsidR="00D40EA8" w:rsidRPr="007719D8" w:rsidRDefault="00B7399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Необхідно звернути увагу на збільшення </w:t>
      </w:r>
      <w:r w:rsidR="00EE1DA8" w:rsidRPr="007719D8">
        <w:rPr>
          <w:rFonts w:ascii="Times New Roman" w:hAnsi="Times New Roman"/>
          <w:sz w:val="28"/>
          <w:szCs w:val="28"/>
          <w:lang w:val="uk-UA"/>
        </w:rPr>
        <w:t xml:space="preserve">долі </w:t>
      </w:r>
      <w:r w:rsidRPr="007719D8">
        <w:rPr>
          <w:rFonts w:ascii="Times New Roman" w:hAnsi="Times New Roman"/>
          <w:sz w:val="28"/>
          <w:szCs w:val="28"/>
          <w:lang w:val="uk-UA"/>
        </w:rPr>
        <w:t xml:space="preserve">витрат на формування резервів з 21,81 до 46,05%% у загальних витратах банку за рік. Вкажемо основні причини, яки примушують банк нести та формувати ці витрати. </w:t>
      </w:r>
      <w:r w:rsidR="00CF7DE8" w:rsidRPr="007719D8">
        <w:rPr>
          <w:rFonts w:ascii="Times New Roman" w:hAnsi="Times New Roman"/>
          <w:sz w:val="28"/>
          <w:szCs w:val="28"/>
          <w:lang w:val="uk-UA"/>
        </w:rPr>
        <w:t>В основному</w:t>
      </w:r>
      <w:r w:rsidRPr="007719D8">
        <w:rPr>
          <w:rFonts w:ascii="Times New Roman" w:hAnsi="Times New Roman"/>
          <w:sz w:val="28"/>
          <w:szCs w:val="28"/>
          <w:lang w:val="uk-UA"/>
        </w:rPr>
        <w:t xml:space="preserve"> це вимоги вітчизняного законодавства щодо </w:t>
      </w:r>
      <w:r w:rsidR="0058262B" w:rsidRPr="007719D8">
        <w:rPr>
          <w:rFonts w:ascii="Times New Roman" w:hAnsi="Times New Roman"/>
          <w:sz w:val="28"/>
          <w:szCs w:val="28"/>
          <w:lang w:val="uk-UA"/>
        </w:rPr>
        <w:t>порядку формування цих резервів. І</w:t>
      </w:r>
      <w:r w:rsidRPr="007719D8">
        <w:rPr>
          <w:rFonts w:ascii="Times New Roman" w:hAnsi="Times New Roman"/>
          <w:sz w:val="28"/>
          <w:szCs w:val="28"/>
          <w:lang w:val="uk-UA"/>
        </w:rPr>
        <w:t>нструкція НБУ</w:t>
      </w:r>
      <w:r w:rsidR="0058262B" w:rsidRPr="007719D8">
        <w:rPr>
          <w:rFonts w:ascii="Times New Roman" w:hAnsi="Times New Roman"/>
          <w:sz w:val="28"/>
          <w:szCs w:val="28"/>
          <w:lang w:val="uk-UA"/>
        </w:rPr>
        <w:t xml:space="preserve"> передбачає моніторинг кредитними підрозділами банку кредитного портфелю та присвоєння кожному кредиту відповідного класу якості, а кожному позичальнику – класу платоспроможності. За присвоєними класами </w:t>
      </w:r>
      <w:r w:rsidR="0007035F" w:rsidRPr="007719D8">
        <w:rPr>
          <w:rFonts w:ascii="Times New Roman" w:hAnsi="Times New Roman"/>
          <w:sz w:val="28"/>
          <w:szCs w:val="28"/>
          <w:lang w:val="uk-UA"/>
        </w:rPr>
        <w:t xml:space="preserve">заборгованості </w:t>
      </w:r>
      <w:r w:rsidR="0058262B" w:rsidRPr="007719D8">
        <w:rPr>
          <w:rFonts w:ascii="Times New Roman" w:hAnsi="Times New Roman"/>
          <w:sz w:val="28"/>
          <w:szCs w:val="28"/>
          <w:lang w:val="uk-UA"/>
        </w:rPr>
        <w:t xml:space="preserve">по кожному кредиту </w:t>
      </w:r>
      <w:r w:rsidR="00EC1AB9" w:rsidRPr="007719D8">
        <w:rPr>
          <w:rFonts w:ascii="Times New Roman" w:hAnsi="Times New Roman"/>
          <w:sz w:val="28"/>
          <w:szCs w:val="28"/>
          <w:lang w:val="uk-UA"/>
        </w:rPr>
        <w:t xml:space="preserve">у відповідності до імовірності неповернення кредиту </w:t>
      </w:r>
      <w:r w:rsidR="0058262B" w:rsidRPr="007719D8">
        <w:rPr>
          <w:rFonts w:ascii="Times New Roman" w:hAnsi="Times New Roman"/>
          <w:sz w:val="28"/>
          <w:szCs w:val="28"/>
          <w:lang w:val="uk-UA"/>
        </w:rPr>
        <w:t xml:space="preserve">формується резерв – від 2 до 100% від залишкової заборгованості за кредитом, що оформлюється кореспонденцією рахунку </w:t>
      </w:r>
      <w:r w:rsidR="00EC1AB9" w:rsidRPr="007719D8">
        <w:rPr>
          <w:rFonts w:ascii="Times New Roman" w:hAnsi="Times New Roman"/>
          <w:sz w:val="28"/>
          <w:szCs w:val="28"/>
          <w:lang w:val="uk-UA"/>
        </w:rPr>
        <w:t>витрат банку</w:t>
      </w:r>
      <w:r w:rsidR="007719D8">
        <w:rPr>
          <w:rFonts w:ascii="Times New Roman" w:hAnsi="Times New Roman"/>
          <w:sz w:val="28"/>
          <w:szCs w:val="28"/>
          <w:lang w:val="uk-UA"/>
        </w:rPr>
        <w:t xml:space="preserve"> </w:t>
      </w:r>
      <w:r w:rsidR="0058262B" w:rsidRPr="007719D8">
        <w:rPr>
          <w:rFonts w:ascii="Times New Roman" w:hAnsi="Times New Roman"/>
          <w:sz w:val="28"/>
          <w:szCs w:val="28"/>
          <w:lang w:val="uk-UA"/>
        </w:rPr>
        <w:t xml:space="preserve">та </w:t>
      </w:r>
      <w:r w:rsidR="00EC1AB9" w:rsidRPr="007719D8">
        <w:rPr>
          <w:rFonts w:ascii="Times New Roman" w:hAnsi="Times New Roman"/>
          <w:sz w:val="28"/>
          <w:szCs w:val="28"/>
          <w:lang w:val="uk-UA"/>
        </w:rPr>
        <w:t>рахунку резервів. Відповідно, при погіршені якості кредитного портфелю зростає вірогідність неповернення кредиту та збільшуються резерви. Фактично банк не</w:t>
      </w:r>
      <w:r w:rsidR="007719D8">
        <w:rPr>
          <w:rFonts w:ascii="Times New Roman" w:hAnsi="Times New Roman"/>
          <w:sz w:val="28"/>
          <w:szCs w:val="28"/>
          <w:lang w:val="uk-UA"/>
        </w:rPr>
        <w:t xml:space="preserve"> </w:t>
      </w:r>
      <w:r w:rsidR="00EC1AB9" w:rsidRPr="007719D8">
        <w:rPr>
          <w:rFonts w:ascii="Times New Roman" w:hAnsi="Times New Roman"/>
          <w:sz w:val="28"/>
          <w:szCs w:val="28"/>
          <w:lang w:val="uk-UA"/>
        </w:rPr>
        <w:t xml:space="preserve">робить жодних перерахувань коштів, тобто фізичний рух вартостей не має місце, але віднесення резервів на </w:t>
      </w:r>
      <w:r w:rsidR="00EE1DA8" w:rsidRPr="007719D8">
        <w:rPr>
          <w:rFonts w:ascii="Times New Roman" w:hAnsi="Times New Roman"/>
          <w:sz w:val="28"/>
          <w:szCs w:val="28"/>
          <w:lang w:val="uk-UA"/>
        </w:rPr>
        <w:t>витрати скорочує прибуток банку, який він може направити на виплату дивідендів та розвиток.</w:t>
      </w:r>
    </w:p>
    <w:p w:rsidR="006B5B07" w:rsidRPr="007719D8" w:rsidRDefault="006B5B07" w:rsidP="007719D8">
      <w:pPr>
        <w:widowControl w:val="0"/>
        <w:spacing w:line="360" w:lineRule="auto"/>
        <w:ind w:firstLine="709"/>
        <w:jc w:val="both"/>
        <w:rPr>
          <w:rFonts w:ascii="Times New Roman" w:hAnsi="Times New Roman"/>
          <w:sz w:val="28"/>
          <w:szCs w:val="28"/>
          <w:lang w:val="uk-UA"/>
        </w:rPr>
      </w:pPr>
    </w:p>
    <w:p w:rsidR="00D40EA8" w:rsidRPr="007719D8" w:rsidRDefault="004D3C60"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1.5</w:t>
      </w:r>
      <w:r w:rsidR="007719D8">
        <w:rPr>
          <w:rFonts w:ascii="Times New Roman" w:hAnsi="Times New Roman"/>
          <w:sz w:val="28"/>
          <w:szCs w:val="28"/>
          <w:lang w:val="uk-UA"/>
        </w:rPr>
        <w:t xml:space="preserve"> </w:t>
      </w:r>
      <w:r w:rsidR="00D40EA8" w:rsidRPr="007719D8">
        <w:rPr>
          <w:rFonts w:ascii="Times New Roman" w:hAnsi="Times New Roman"/>
          <w:sz w:val="28"/>
          <w:szCs w:val="28"/>
          <w:lang w:val="uk-UA"/>
        </w:rPr>
        <w:t>Фор</w:t>
      </w:r>
      <w:r w:rsidR="00B80A04" w:rsidRPr="007719D8">
        <w:rPr>
          <w:rFonts w:ascii="Times New Roman" w:hAnsi="Times New Roman"/>
          <w:sz w:val="28"/>
          <w:szCs w:val="28"/>
          <w:lang w:val="uk-UA"/>
        </w:rPr>
        <w:t xml:space="preserve">мування фінансового результату </w:t>
      </w:r>
      <w:r w:rsidR="000C7700" w:rsidRPr="007719D8">
        <w:rPr>
          <w:rFonts w:ascii="Times New Roman" w:hAnsi="Times New Roman"/>
          <w:sz w:val="28"/>
          <w:szCs w:val="28"/>
          <w:lang w:val="uk-UA"/>
        </w:rPr>
        <w:t>ПАТ</w:t>
      </w:r>
      <w:r w:rsidR="002D7428" w:rsidRPr="007719D8">
        <w:rPr>
          <w:rFonts w:ascii="Times New Roman" w:hAnsi="Times New Roman"/>
          <w:sz w:val="28"/>
          <w:szCs w:val="28"/>
          <w:lang w:val="uk-UA"/>
        </w:rPr>
        <w:t xml:space="preserve"> «Райффайзен Банк Аваль»</w:t>
      </w:r>
      <w:r w:rsidR="007719D8">
        <w:rPr>
          <w:rFonts w:ascii="Times New Roman" w:hAnsi="Times New Roman"/>
          <w:sz w:val="28"/>
          <w:szCs w:val="28"/>
          <w:lang w:val="uk-UA"/>
        </w:rPr>
        <w:t xml:space="preserve"> </w:t>
      </w:r>
      <w:r w:rsidR="00D40EA8" w:rsidRPr="007719D8">
        <w:rPr>
          <w:rFonts w:ascii="Times New Roman" w:hAnsi="Times New Roman"/>
          <w:sz w:val="28"/>
          <w:szCs w:val="28"/>
          <w:lang w:val="uk-UA"/>
        </w:rPr>
        <w:t>за 2008-2009 роки</w:t>
      </w:r>
    </w:p>
    <w:tbl>
      <w:tblPr>
        <w:tblW w:w="9158"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00"/>
        <w:gridCol w:w="1390"/>
        <w:gridCol w:w="1004"/>
        <w:gridCol w:w="42"/>
        <w:gridCol w:w="1397"/>
        <w:gridCol w:w="42"/>
        <w:gridCol w:w="920"/>
        <w:gridCol w:w="8"/>
        <w:gridCol w:w="1403"/>
        <w:gridCol w:w="952"/>
      </w:tblGrid>
      <w:tr w:rsidR="00650B67" w:rsidRPr="007719D8" w:rsidTr="007719D8">
        <w:trPr>
          <w:trHeight w:val="540"/>
        </w:trPr>
        <w:tc>
          <w:tcPr>
            <w:tcW w:w="2000" w:type="dxa"/>
            <w:noWrap/>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 2008 рік</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w:t>
            </w:r>
            <w:r w:rsidR="007719D8" w:rsidRPr="007719D8">
              <w:rPr>
                <w:rFonts w:ascii="Times New Roman" w:hAnsi="Times New Roman"/>
                <w:sz w:val="20"/>
                <w:szCs w:val="20"/>
                <w:lang w:val="uk-UA" w:eastAsia="ru-RU"/>
              </w:rPr>
              <w:t xml:space="preserve"> </w:t>
            </w:r>
            <w:r w:rsidRPr="007719D8">
              <w:rPr>
                <w:rFonts w:ascii="Times New Roman" w:hAnsi="Times New Roman"/>
                <w:sz w:val="20"/>
                <w:szCs w:val="20"/>
                <w:lang w:val="uk-UA" w:eastAsia="ru-RU"/>
              </w:rPr>
              <w:t>у доходах/ витратах</w:t>
            </w:r>
          </w:p>
        </w:tc>
        <w:tc>
          <w:tcPr>
            <w:tcW w:w="1439" w:type="dxa"/>
            <w:gridSpan w:val="2"/>
            <w:noWrap/>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 2009 рік</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w:t>
            </w:r>
            <w:r w:rsidR="007719D8" w:rsidRPr="007719D8">
              <w:rPr>
                <w:rFonts w:ascii="Times New Roman" w:hAnsi="Times New Roman"/>
                <w:sz w:val="20"/>
                <w:szCs w:val="20"/>
                <w:lang w:val="uk-UA" w:eastAsia="ru-RU"/>
              </w:rPr>
              <w:t xml:space="preserve"> </w:t>
            </w:r>
            <w:r w:rsidRPr="007719D8">
              <w:rPr>
                <w:rFonts w:ascii="Times New Roman" w:hAnsi="Times New Roman"/>
                <w:sz w:val="20"/>
                <w:szCs w:val="20"/>
                <w:lang w:val="uk-UA" w:eastAsia="ru-RU"/>
              </w:rPr>
              <w:t>у доходах/ витратах</w:t>
            </w:r>
          </w:p>
        </w:tc>
        <w:tc>
          <w:tcPr>
            <w:tcW w:w="1403" w:type="dxa"/>
            <w:vAlign w:val="center"/>
            <w:hideMark/>
          </w:tcPr>
          <w:p w:rsidR="00650B67" w:rsidRPr="007719D8" w:rsidRDefault="00650B67"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Абсолютна зміна</w:t>
            </w:r>
          </w:p>
        </w:tc>
        <w:tc>
          <w:tcPr>
            <w:tcW w:w="952" w:type="dxa"/>
            <w:vAlign w:val="center"/>
            <w:hideMark/>
          </w:tcPr>
          <w:p w:rsidR="00650B67" w:rsidRPr="007719D8" w:rsidRDefault="00650B67" w:rsidP="007719D8">
            <w:pPr>
              <w:widowControl w:val="0"/>
              <w:spacing w:line="360" w:lineRule="auto"/>
              <w:jc w:val="both"/>
              <w:rPr>
                <w:rFonts w:ascii="Times New Roman" w:hAnsi="Times New Roman"/>
                <w:iCs/>
                <w:sz w:val="20"/>
                <w:szCs w:val="20"/>
                <w:lang w:val="uk-UA" w:eastAsia="uk-UA"/>
              </w:rPr>
            </w:pPr>
            <w:r w:rsidRPr="007719D8">
              <w:rPr>
                <w:rFonts w:ascii="Times New Roman" w:hAnsi="Times New Roman"/>
                <w:iCs/>
                <w:sz w:val="20"/>
                <w:szCs w:val="20"/>
                <w:lang w:val="uk-UA" w:eastAsia="uk-UA"/>
              </w:rPr>
              <w:t>Зміна за структурою, %</w:t>
            </w:r>
          </w:p>
        </w:tc>
      </w:tr>
      <w:tr w:rsidR="00650B67" w:rsidRPr="007719D8" w:rsidTr="007719D8">
        <w:trPr>
          <w:trHeight w:val="330"/>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Процентні доходи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6 255 516,00</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77,99</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7 863 111,00</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84,57</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1 607 595,00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6,58</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Кредити клієнтам</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6 005 295,36</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74,87</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7 548 586,56</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81,19</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1 543 291,20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6,32</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Заборгованість кредитних установ</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62 617,72</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0,78</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78 709,74</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0,85</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16 092,03</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0,07</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Інвестиційні цінні папери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135 119,15</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1,68</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169 843,20</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1,83</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34 724,05</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0,14</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Інше</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52 483,78</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0,65</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65 971,50</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0,71</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13 487,72</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0,06</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 </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0,00</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Процентні витрати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2 687 431,00</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36,81</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3 575 315,00</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29,95</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887 884,00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-6,86</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Заборгованість перед клієнтами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1 413 639,77</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19,36</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1 880 683,62</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15,75</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467 043,85</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-3,61</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Заборгованість перед кредитними установами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1 161 776,42</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15,91</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1 545 608,67</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12,95</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383 832,25</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-2,97</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Субординований борг</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42 254,48</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0,58</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56 214,68</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0,47</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13 960,20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-0,11</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Заборгованість перед НБУ</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69 760,33</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0,96</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92 808,03</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0,78</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23 047,69</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-0,18</w:t>
            </w:r>
          </w:p>
        </w:tc>
      </w:tr>
      <w:tr w:rsidR="00650B67" w:rsidRPr="007719D8" w:rsidTr="007719D8">
        <w:trPr>
          <w:trHeight w:val="255"/>
        </w:trPr>
        <w:tc>
          <w:tcPr>
            <w:tcW w:w="2000" w:type="dxa"/>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Чисті процентні доходи</w:t>
            </w:r>
          </w:p>
        </w:tc>
        <w:tc>
          <w:tcPr>
            <w:tcW w:w="1390"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3 568 085,00</w:t>
            </w:r>
          </w:p>
        </w:tc>
        <w:tc>
          <w:tcPr>
            <w:tcW w:w="1004"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44,48</w:t>
            </w:r>
          </w:p>
        </w:tc>
        <w:tc>
          <w:tcPr>
            <w:tcW w:w="1439" w:type="dxa"/>
            <w:gridSpan w:val="2"/>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4 287 796,00</w:t>
            </w:r>
          </w:p>
        </w:tc>
        <w:tc>
          <w:tcPr>
            <w:tcW w:w="970" w:type="dxa"/>
            <w:gridSpan w:val="3"/>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46,12</w:t>
            </w:r>
          </w:p>
        </w:tc>
        <w:tc>
          <w:tcPr>
            <w:tcW w:w="1403"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719 711,00</w:t>
            </w:r>
          </w:p>
        </w:tc>
        <w:tc>
          <w:tcPr>
            <w:tcW w:w="952" w:type="dxa"/>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1,63</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Резерв під зменшення вартості кредитів</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ind w:hanging="136"/>
              <w:jc w:val="both"/>
              <w:rPr>
                <w:rFonts w:ascii="Times New Roman" w:hAnsi="Times New Roman"/>
                <w:sz w:val="20"/>
                <w:szCs w:val="20"/>
                <w:lang w:val="uk-UA" w:eastAsia="ru-RU"/>
              </w:rPr>
            </w:pPr>
            <w:r w:rsidRPr="007719D8">
              <w:rPr>
                <w:rFonts w:ascii="Times New Roman" w:hAnsi="Times New Roman"/>
                <w:sz w:val="20"/>
                <w:szCs w:val="20"/>
                <w:lang w:val="uk-UA" w:eastAsia="ru-RU"/>
              </w:rPr>
              <w:t>1 884 085,00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25,81</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5 497 025,00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46,05</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3 612 940,00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20,24</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Чисті процентні доходи після резерву під зменшення корисності кредитів</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1 684 000,00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20,99</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-1 209 229,00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-13,01</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-2 893 229,00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-34,00</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Комісійні доходи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1 325 268,00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16,52</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1 356 697,00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14,59</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31 429,00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-1,93</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Комісійні витрати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151 252,00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2,07</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192 819,00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1,62</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41 567,00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-0,46</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Чисті комісійні доходи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1 174 016,00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14,64</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1 163 878,00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12,52</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-10 138,00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-2,12</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Чистий прибуток/збиток від операцій з іноземними валютами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271 184,00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3,38</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-22 458,00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-0,24</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-293 642,00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-3,62</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Чистий прибуток від операцій з торговими цінними паперами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5 751,00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0,07</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38 999,00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0,42</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33 248,00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0,35</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Переоцінка фінансових інструментів</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100,00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0,00</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11 901,00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0,13</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11 801,00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0,13</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Інше</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163 436,00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2,04</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49 703,00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0,53</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-113 733,00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-1,50</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Непроцентні доходи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440 271,00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5,49</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78 145,00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0,84</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-362 126,00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-4,65</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Витрати на персонал</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1 344 467,16</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18,42</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1 393 823,48</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11,68</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49 356,32</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-6,74</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Знос та амортизація</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218 053,75</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2,99</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226 058,66</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1,89</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8 004,90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-1,09</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Інші адміністративні та операційні витрати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1 010 737,67</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13,84</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1 047 842,55</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8,78</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37 104,88</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-5,07</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Інше</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4 818,43</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0,07</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4 995,31</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0,04</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176,89</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-0,02</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Непроцентні витрати</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2 578 077,00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35,31</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2 672 720,00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22,39</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94 643,00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-12,92</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Прибуток до оподаткування</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720 210,00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8,98</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-2 639 926,00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-28,39</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-3 360 136,00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-37,37</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Податок на прибуток</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188 555,00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2,58</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-622 338,00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-5,21</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-810 893,00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-7,80</w:t>
            </w:r>
          </w:p>
        </w:tc>
      </w:tr>
      <w:tr w:rsidR="00650B67" w:rsidRPr="007719D8" w:rsidTr="007719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000" w:type="dxa"/>
            <w:tcBorders>
              <w:top w:val="single" w:sz="2" w:space="0" w:color="auto"/>
              <w:left w:val="single" w:sz="2" w:space="0" w:color="auto"/>
              <w:bottom w:val="single" w:sz="2" w:space="0" w:color="auto"/>
              <w:right w:val="single" w:sz="2" w:space="0" w:color="auto"/>
            </w:tcBorders>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Прибуток за рік</w:t>
            </w:r>
          </w:p>
        </w:tc>
        <w:tc>
          <w:tcPr>
            <w:tcW w:w="139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531 655,00</w:t>
            </w:r>
          </w:p>
        </w:tc>
        <w:tc>
          <w:tcPr>
            <w:tcW w:w="1046"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6,63</w:t>
            </w:r>
          </w:p>
        </w:tc>
        <w:tc>
          <w:tcPr>
            <w:tcW w:w="1439"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-3 262 264,00</w:t>
            </w:r>
          </w:p>
        </w:tc>
        <w:tc>
          <w:tcPr>
            <w:tcW w:w="920"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-35,09</w:t>
            </w:r>
          </w:p>
        </w:tc>
        <w:tc>
          <w:tcPr>
            <w:tcW w:w="1411" w:type="dxa"/>
            <w:gridSpan w:val="2"/>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-3 793 919,00</w:t>
            </w:r>
          </w:p>
        </w:tc>
        <w:tc>
          <w:tcPr>
            <w:tcW w:w="952" w:type="dxa"/>
            <w:tcBorders>
              <w:top w:val="single" w:sz="2" w:space="0" w:color="auto"/>
              <w:left w:val="single" w:sz="2" w:space="0" w:color="auto"/>
              <w:bottom w:val="single" w:sz="2" w:space="0" w:color="auto"/>
              <w:right w:val="single" w:sz="2" w:space="0" w:color="auto"/>
            </w:tcBorders>
            <w:vAlign w:val="center"/>
            <w:hideMark/>
          </w:tcPr>
          <w:p w:rsidR="00650B67" w:rsidRPr="007719D8" w:rsidRDefault="00650B67" w:rsidP="007719D8">
            <w:pPr>
              <w:widowControl w:val="0"/>
              <w:spacing w:line="360" w:lineRule="auto"/>
              <w:jc w:val="both"/>
              <w:rPr>
                <w:rFonts w:ascii="Times New Roman" w:hAnsi="Times New Roman"/>
                <w:sz w:val="20"/>
                <w:szCs w:val="20"/>
                <w:lang w:val="uk-UA" w:eastAsia="ru-RU"/>
              </w:rPr>
            </w:pPr>
            <w:r w:rsidRPr="007719D8">
              <w:rPr>
                <w:rFonts w:ascii="Times New Roman" w:hAnsi="Times New Roman"/>
                <w:sz w:val="20"/>
                <w:szCs w:val="20"/>
                <w:lang w:val="uk-UA" w:eastAsia="ru-RU"/>
              </w:rPr>
              <w:t>-41,71</w:t>
            </w:r>
          </w:p>
        </w:tc>
      </w:tr>
    </w:tbl>
    <w:p w:rsidR="007719D8" w:rsidRDefault="007719D8" w:rsidP="007719D8">
      <w:pPr>
        <w:widowControl w:val="0"/>
        <w:spacing w:line="360" w:lineRule="auto"/>
        <w:ind w:firstLine="709"/>
        <w:jc w:val="both"/>
        <w:rPr>
          <w:rFonts w:ascii="Times New Roman" w:hAnsi="Times New Roman"/>
          <w:sz w:val="28"/>
          <w:szCs w:val="28"/>
          <w:lang w:val="uk-UA"/>
        </w:rPr>
      </w:pPr>
    </w:p>
    <w:p w:rsidR="00EC1AB9" w:rsidRPr="007719D8" w:rsidRDefault="00EE1DA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Описане вище має два наслідки</w:t>
      </w:r>
      <w:r w:rsidR="00EC1AB9" w:rsidRPr="007719D8">
        <w:rPr>
          <w:rFonts w:ascii="Times New Roman" w:hAnsi="Times New Roman"/>
          <w:sz w:val="28"/>
          <w:szCs w:val="28"/>
          <w:lang w:val="uk-UA"/>
        </w:rPr>
        <w:t>. По-перше, у короткостроковій перспективі це є корисним, адже у разі наявності збитків банк не плат</w:t>
      </w:r>
      <w:r w:rsidRPr="007719D8">
        <w:rPr>
          <w:rFonts w:ascii="Times New Roman" w:hAnsi="Times New Roman"/>
          <w:sz w:val="28"/>
          <w:szCs w:val="28"/>
          <w:lang w:val="uk-UA"/>
        </w:rPr>
        <w:t>ить податку на прибуток. П</w:t>
      </w:r>
      <w:r w:rsidR="00EC1AB9" w:rsidRPr="007719D8">
        <w:rPr>
          <w:rFonts w:ascii="Times New Roman" w:hAnsi="Times New Roman"/>
          <w:sz w:val="28"/>
          <w:szCs w:val="28"/>
          <w:lang w:val="uk-UA"/>
        </w:rPr>
        <w:t>о-друге, при нормальному погашені кредиту сформовані резерви стануть доходами банку, а отже відкладені податки все одно доведеться сплачувати. Однак, як каже золоте правило фінансового менеджменту</w:t>
      </w:r>
      <w:r w:rsidR="00D40EA8" w:rsidRPr="007719D8">
        <w:rPr>
          <w:rFonts w:ascii="Times New Roman" w:hAnsi="Times New Roman"/>
          <w:sz w:val="28"/>
          <w:szCs w:val="28"/>
          <w:lang w:val="uk-UA"/>
        </w:rPr>
        <w:t>,</w:t>
      </w:r>
      <w:r w:rsidR="00EC1AB9" w:rsidRPr="007719D8">
        <w:rPr>
          <w:rFonts w:ascii="Times New Roman" w:hAnsi="Times New Roman"/>
          <w:sz w:val="28"/>
          <w:szCs w:val="28"/>
          <w:lang w:val="uk-UA"/>
        </w:rPr>
        <w:t xml:space="preserve"> грошу зараз коштують дорожче, ніж грошу через деякий час, а отже, банк має вигоди від відстрочення податкових зобов’язань, скорочуючи вихідний грошовий потік. </w:t>
      </w:r>
    </w:p>
    <w:p w:rsidR="00D40EA8" w:rsidRPr="007719D8" w:rsidRDefault="00D40EA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Крім того, слід зазначити, що маніпуляції при формуванні резервів також можуть мати місце, адже оцінка кредитоздатності позичальника стикається з досить значним обсягом збору документів про підтвердження фінансових можливостей </w:t>
      </w:r>
      <w:r w:rsidR="00EE1DA8" w:rsidRPr="007719D8">
        <w:rPr>
          <w:rFonts w:ascii="Times New Roman" w:hAnsi="Times New Roman"/>
          <w:sz w:val="28"/>
          <w:szCs w:val="28"/>
          <w:lang w:val="uk-UA"/>
        </w:rPr>
        <w:t xml:space="preserve">конкретного </w:t>
      </w:r>
      <w:r w:rsidRPr="007719D8">
        <w:rPr>
          <w:rFonts w:ascii="Times New Roman" w:hAnsi="Times New Roman"/>
          <w:sz w:val="28"/>
          <w:szCs w:val="28"/>
          <w:lang w:val="uk-UA"/>
        </w:rPr>
        <w:t xml:space="preserve">клієнта, а отже, можна сформувати додатковий резерв при нездатності позичальником подати </w:t>
      </w:r>
      <w:r w:rsidR="00EE1DA8" w:rsidRPr="007719D8">
        <w:rPr>
          <w:rFonts w:ascii="Times New Roman" w:hAnsi="Times New Roman"/>
          <w:sz w:val="28"/>
          <w:szCs w:val="28"/>
          <w:lang w:val="uk-UA"/>
        </w:rPr>
        <w:t>офіційну довідку про доходи чи</w:t>
      </w:r>
      <w:r w:rsidRPr="007719D8">
        <w:rPr>
          <w:rFonts w:ascii="Times New Roman" w:hAnsi="Times New Roman"/>
          <w:sz w:val="28"/>
          <w:szCs w:val="28"/>
          <w:lang w:val="uk-UA"/>
        </w:rPr>
        <w:t xml:space="preserve"> </w:t>
      </w:r>
      <w:r w:rsidR="00EE1DA8" w:rsidRPr="007719D8">
        <w:rPr>
          <w:rFonts w:ascii="Times New Roman" w:hAnsi="Times New Roman"/>
          <w:sz w:val="28"/>
          <w:szCs w:val="28"/>
          <w:lang w:val="uk-UA"/>
        </w:rPr>
        <w:t xml:space="preserve">«красиву» </w:t>
      </w:r>
      <w:r w:rsidRPr="007719D8">
        <w:rPr>
          <w:rFonts w:ascii="Times New Roman" w:hAnsi="Times New Roman"/>
          <w:sz w:val="28"/>
          <w:szCs w:val="28"/>
          <w:lang w:val="uk-UA"/>
        </w:rPr>
        <w:t xml:space="preserve">фінансову звітність (для фізичних та юридичних осіб відповідно). </w:t>
      </w:r>
    </w:p>
    <w:p w:rsidR="00D40EA8" w:rsidRPr="007719D8" w:rsidRDefault="006B5B0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Отже, якщо прийняти, що відрахування до резерві не змінилися, можна побачити, що банк за 2009 рік отримав прибутку у три рази більше ніж за попередній рік. Це вказує на двоякість фінансової звітності банків та необхідність </w:t>
      </w:r>
      <w:r w:rsidR="00EE1DA8" w:rsidRPr="007719D8">
        <w:rPr>
          <w:rFonts w:ascii="Times New Roman" w:hAnsi="Times New Roman"/>
          <w:sz w:val="28"/>
          <w:szCs w:val="28"/>
          <w:lang w:val="uk-UA"/>
        </w:rPr>
        <w:t xml:space="preserve">більш глибокої </w:t>
      </w:r>
      <w:r w:rsidRPr="007719D8">
        <w:rPr>
          <w:rFonts w:ascii="Times New Roman" w:hAnsi="Times New Roman"/>
          <w:sz w:val="28"/>
          <w:szCs w:val="28"/>
          <w:lang w:val="uk-UA"/>
        </w:rPr>
        <w:t>комплексної оцінки порядку формування фінансових результатів.</w:t>
      </w:r>
    </w:p>
    <w:p w:rsidR="006B5B07" w:rsidRPr="007719D8" w:rsidRDefault="006B5B0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Після розгляду вертикального та горизонтального аналіз</w:t>
      </w:r>
      <w:r w:rsidR="000C7700" w:rsidRPr="007719D8">
        <w:rPr>
          <w:rFonts w:ascii="Times New Roman" w:hAnsi="Times New Roman"/>
          <w:sz w:val="28"/>
          <w:szCs w:val="28"/>
          <w:lang w:val="uk-UA"/>
        </w:rPr>
        <w:t>у фінансової звітності банку ПАТ</w:t>
      </w:r>
      <w:r w:rsidRPr="007719D8">
        <w:rPr>
          <w:rFonts w:ascii="Times New Roman" w:hAnsi="Times New Roman"/>
          <w:sz w:val="28"/>
          <w:szCs w:val="28"/>
          <w:lang w:val="uk-UA"/>
        </w:rPr>
        <w:t xml:space="preserve"> «Райффайзен Банк Аваль» перейдемо до аналізу фінансових коефіцієнтів</w:t>
      </w:r>
      <w:r w:rsidR="002D7428" w:rsidRPr="007719D8">
        <w:rPr>
          <w:rFonts w:ascii="Times New Roman" w:hAnsi="Times New Roman"/>
          <w:sz w:val="28"/>
          <w:szCs w:val="28"/>
          <w:lang w:val="uk-UA"/>
        </w:rPr>
        <w:t xml:space="preserve"> та показників, </w:t>
      </w:r>
      <w:r w:rsidR="002A7A36" w:rsidRPr="007719D8">
        <w:rPr>
          <w:rFonts w:ascii="Times New Roman" w:hAnsi="Times New Roman"/>
          <w:sz w:val="28"/>
          <w:szCs w:val="28"/>
          <w:lang w:val="uk-UA"/>
        </w:rPr>
        <w:t>таблиця 1.6</w:t>
      </w:r>
      <w:r w:rsidRPr="007719D8">
        <w:rPr>
          <w:rFonts w:ascii="Times New Roman" w:hAnsi="Times New Roman"/>
          <w:sz w:val="28"/>
          <w:szCs w:val="28"/>
          <w:lang w:val="uk-UA"/>
        </w:rPr>
        <w:t xml:space="preserve">. </w:t>
      </w:r>
      <w:r w:rsidR="00542217" w:rsidRPr="007719D8">
        <w:rPr>
          <w:rFonts w:ascii="Times New Roman" w:hAnsi="Times New Roman"/>
          <w:sz w:val="28"/>
          <w:szCs w:val="28"/>
          <w:lang w:val="uk-UA"/>
        </w:rPr>
        <w:t>Формули розрахунку показників н</w:t>
      </w:r>
      <w:r w:rsidR="00EE1DA8" w:rsidRPr="007719D8">
        <w:rPr>
          <w:rFonts w:ascii="Times New Roman" w:hAnsi="Times New Roman"/>
          <w:sz w:val="28"/>
          <w:szCs w:val="28"/>
          <w:lang w:val="uk-UA"/>
        </w:rPr>
        <w:t>а</w:t>
      </w:r>
      <w:r w:rsidR="00542217" w:rsidRPr="007719D8">
        <w:rPr>
          <w:rFonts w:ascii="Times New Roman" w:hAnsi="Times New Roman"/>
          <w:sz w:val="28"/>
          <w:szCs w:val="28"/>
          <w:lang w:val="uk-UA"/>
        </w:rPr>
        <w:t>ведені у додатку Б.</w:t>
      </w:r>
    </w:p>
    <w:p w:rsidR="00463F03" w:rsidRPr="007719D8" w:rsidRDefault="00711C8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Як бачимо по коефіцієнтам співвідношення власного капіталу та залучених коштів і регулятивного капіталу та сукупних активів, зобов’язання та активи банку досить захищені від можливих непередбачених витрат власними кошт</w:t>
      </w:r>
      <w:r w:rsidR="00CF7DE8" w:rsidRPr="007719D8">
        <w:rPr>
          <w:rFonts w:ascii="Times New Roman" w:hAnsi="Times New Roman"/>
          <w:sz w:val="28"/>
          <w:szCs w:val="28"/>
          <w:lang w:val="uk-UA"/>
        </w:rPr>
        <w:t xml:space="preserve">ами; </w:t>
      </w:r>
      <w:r w:rsidRPr="007719D8">
        <w:rPr>
          <w:rFonts w:ascii="Times New Roman" w:hAnsi="Times New Roman"/>
          <w:sz w:val="28"/>
          <w:szCs w:val="28"/>
          <w:lang w:val="uk-UA"/>
        </w:rPr>
        <w:t xml:space="preserve">перевищення над нормативним мінімумом у середньому складає 150-200 %. </w:t>
      </w:r>
    </w:p>
    <w:p w:rsidR="00711C82" w:rsidRPr="007719D8" w:rsidRDefault="00711C8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Мультиплікатор власного капіталу банку показує вартість активів, які були нарощені у ході діяльності банком. У </w:t>
      </w:r>
      <w:r w:rsidR="000C7700" w:rsidRPr="007719D8">
        <w:rPr>
          <w:rFonts w:ascii="Times New Roman" w:hAnsi="Times New Roman"/>
          <w:sz w:val="28"/>
          <w:szCs w:val="28"/>
          <w:lang w:val="uk-UA"/>
        </w:rPr>
        <w:t>ПАТ</w:t>
      </w:r>
      <w:r w:rsidR="002D7428" w:rsidRPr="007719D8">
        <w:rPr>
          <w:rFonts w:ascii="Times New Roman" w:hAnsi="Times New Roman"/>
          <w:sz w:val="28"/>
          <w:szCs w:val="28"/>
          <w:lang w:val="uk-UA"/>
        </w:rPr>
        <w:t xml:space="preserve"> «Райффайзен Банк Аваль»</w:t>
      </w:r>
      <w:r w:rsidRPr="007719D8">
        <w:rPr>
          <w:rFonts w:ascii="Times New Roman" w:hAnsi="Times New Roman"/>
          <w:sz w:val="28"/>
          <w:szCs w:val="28"/>
          <w:lang w:val="uk-UA"/>
        </w:rPr>
        <w:t xml:space="preserve"> цей коефіцієнт дорівнює відповідно </w:t>
      </w:r>
      <w:r w:rsidR="00346DEC" w:rsidRPr="007719D8">
        <w:rPr>
          <w:rFonts w:ascii="Times New Roman" w:hAnsi="Times New Roman"/>
          <w:sz w:val="28"/>
          <w:szCs w:val="28"/>
          <w:lang w:val="uk-UA"/>
        </w:rPr>
        <w:t>у середньому 7,7-8,5. Показник фінансового важелю банку у середньому дорівнює 7,5-7,9, цей показник відображає середнє перевищення рентабельності власного капіталу на рентабельністю активів банку (</w:t>
      </w:r>
      <w:r w:rsidR="00346DEC" w:rsidRPr="007719D8">
        <w:rPr>
          <w:rFonts w:ascii="Times New Roman" w:hAnsi="Times New Roman"/>
          <w:sz w:val="28"/>
          <w:szCs w:val="28"/>
          <w:lang w:val="en-US"/>
        </w:rPr>
        <w:t>ROE</w:t>
      </w:r>
      <w:r w:rsidR="00346DEC" w:rsidRPr="007719D8">
        <w:rPr>
          <w:rFonts w:ascii="Times New Roman" w:hAnsi="Times New Roman"/>
          <w:sz w:val="28"/>
          <w:szCs w:val="28"/>
          <w:lang w:val="uk-UA"/>
        </w:rPr>
        <w:t xml:space="preserve"> над </w:t>
      </w:r>
      <w:r w:rsidR="00346DEC" w:rsidRPr="007719D8">
        <w:rPr>
          <w:rFonts w:ascii="Times New Roman" w:hAnsi="Times New Roman"/>
          <w:sz w:val="28"/>
          <w:szCs w:val="28"/>
          <w:lang w:val="en-US"/>
        </w:rPr>
        <w:t>ROA</w:t>
      </w:r>
      <w:r w:rsidR="00346DEC" w:rsidRPr="007719D8">
        <w:rPr>
          <w:rFonts w:ascii="Times New Roman" w:hAnsi="Times New Roman"/>
          <w:sz w:val="28"/>
          <w:szCs w:val="28"/>
          <w:lang w:val="uk-UA"/>
        </w:rPr>
        <w:t xml:space="preserve">). Він зображує вигоду, яку отримує банк від залучення коштів та їх розміщення як кредитних незважаючи на необхідність сплачувати відсоток по залученим коштам. </w:t>
      </w:r>
    </w:p>
    <w:p w:rsidR="002D7428" w:rsidRPr="007719D8" w:rsidRDefault="00346DE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Аналізуючи співвідношення вартостей дохідних активів та платних пасивів слід зазначити несприятливу тенденцію до скорочення дохідних активів. Це сталося через скорочення обсягів кредитування та зменшення вартості портфелю через погашення кредитів та формування резервів. У подальшому банку необхідно вирівнювати це співвідношення у напрямку зростання.</w:t>
      </w:r>
    </w:p>
    <w:p w:rsidR="00346DEC" w:rsidRPr="007719D8" w:rsidRDefault="002D742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Аналізуючи точку беззбитковості банку (середня дохідність по активам банку, за якої він зможе повністю покрити непроцентні витрати без отримання прибутку), слід зазначити, що установа досить міцно тримається на ринку, до перетину точки зниження дохідності скорочення маржі має скласти у середньому 2%.</w:t>
      </w:r>
    </w:p>
    <w:p w:rsidR="00C75D6C" w:rsidRPr="007719D8" w:rsidRDefault="00C75D6C" w:rsidP="007719D8">
      <w:pPr>
        <w:widowControl w:val="0"/>
        <w:spacing w:line="360" w:lineRule="auto"/>
        <w:ind w:firstLine="709"/>
        <w:jc w:val="both"/>
        <w:rPr>
          <w:rFonts w:ascii="Times New Roman" w:hAnsi="Times New Roman"/>
          <w:sz w:val="28"/>
          <w:szCs w:val="28"/>
          <w:lang w:val="uk-UA"/>
        </w:rPr>
      </w:pPr>
    </w:p>
    <w:p w:rsidR="004D3C60" w:rsidRPr="007719D8" w:rsidRDefault="002B1FD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1.6</w:t>
      </w:r>
      <w:r w:rsidR="00736E7A">
        <w:rPr>
          <w:rFonts w:ascii="Times New Roman" w:hAnsi="Times New Roman"/>
          <w:sz w:val="28"/>
          <w:szCs w:val="28"/>
          <w:lang w:val="uk-UA"/>
        </w:rPr>
        <w:t xml:space="preserve"> </w:t>
      </w:r>
      <w:r w:rsidR="004D3C60" w:rsidRPr="007719D8">
        <w:rPr>
          <w:rFonts w:ascii="Times New Roman" w:hAnsi="Times New Roman"/>
          <w:sz w:val="28"/>
          <w:szCs w:val="28"/>
          <w:lang w:val="uk-UA"/>
        </w:rPr>
        <w:t>Фінансові коефіцієнт</w:t>
      </w:r>
      <w:r w:rsidR="002D7428" w:rsidRPr="007719D8">
        <w:rPr>
          <w:rFonts w:ascii="Times New Roman" w:hAnsi="Times New Roman"/>
          <w:sz w:val="28"/>
          <w:szCs w:val="28"/>
          <w:lang w:val="uk-UA"/>
        </w:rPr>
        <w:t xml:space="preserve">и та показники </w:t>
      </w:r>
      <w:r w:rsidR="000C7700" w:rsidRPr="007719D8">
        <w:rPr>
          <w:rFonts w:ascii="Times New Roman" w:hAnsi="Times New Roman"/>
          <w:sz w:val="28"/>
          <w:szCs w:val="28"/>
          <w:lang w:val="uk-UA"/>
        </w:rPr>
        <w:t>ПАТ</w:t>
      </w:r>
      <w:r w:rsidR="00554C49" w:rsidRPr="007719D8">
        <w:rPr>
          <w:rFonts w:ascii="Times New Roman" w:hAnsi="Times New Roman"/>
          <w:sz w:val="28"/>
          <w:szCs w:val="28"/>
          <w:lang w:val="uk-UA"/>
        </w:rPr>
        <w:t xml:space="preserve"> «Райффайзен Банк Аваль»</w:t>
      </w:r>
      <w:r w:rsidR="007719D8">
        <w:rPr>
          <w:rFonts w:ascii="Times New Roman" w:hAnsi="Times New Roman"/>
          <w:sz w:val="28"/>
          <w:szCs w:val="28"/>
          <w:lang w:val="uk-UA"/>
        </w:rPr>
        <w:t xml:space="preserve"> </w:t>
      </w:r>
      <w:r w:rsidR="009C1AF5" w:rsidRPr="007719D8">
        <w:rPr>
          <w:rFonts w:ascii="Times New Roman" w:hAnsi="Times New Roman"/>
          <w:sz w:val="28"/>
          <w:szCs w:val="28"/>
          <w:lang w:val="uk-UA"/>
        </w:rPr>
        <w:t>за 2009</w:t>
      </w:r>
    </w:p>
    <w:tbl>
      <w:tblPr>
        <w:tblW w:w="926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1116"/>
        <w:gridCol w:w="1116"/>
        <w:gridCol w:w="1116"/>
        <w:gridCol w:w="1116"/>
        <w:gridCol w:w="1116"/>
      </w:tblGrid>
      <w:tr w:rsidR="00711C82" w:rsidRPr="00736E7A" w:rsidTr="00736E7A">
        <w:trPr>
          <w:trHeight w:val="483"/>
        </w:trPr>
        <w:tc>
          <w:tcPr>
            <w:tcW w:w="3860" w:type="dxa"/>
            <w:vMerge w:val="restart"/>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Показник</w:t>
            </w:r>
          </w:p>
        </w:tc>
        <w:tc>
          <w:tcPr>
            <w:tcW w:w="5400" w:type="dxa"/>
            <w:gridSpan w:val="5"/>
            <w:vMerge w:val="restart"/>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Значення показника</w:t>
            </w:r>
          </w:p>
        </w:tc>
      </w:tr>
      <w:tr w:rsidR="00711C82" w:rsidRPr="00736E7A" w:rsidTr="00736E7A">
        <w:trPr>
          <w:trHeight w:val="345"/>
        </w:trPr>
        <w:tc>
          <w:tcPr>
            <w:tcW w:w="3860" w:type="dxa"/>
            <w:vMerge/>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p>
        </w:tc>
        <w:tc>
          <w:tcPr>
            <w:tcW w:w="5400" w:type="dxa"/>
            <w:gridSpan w:val="5"/>
            <w:vMerge/>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p>
        </w:tc>
      </w:tr>
      <w:tr w:rsidR="00711C82" w:rsidRPr="00736E7A" w:rsidTr="00736E7A">
        <w:trPr>
          <w:trHeight w:val="70"/>
        </w:trPr>
        <w:tc>
          <w:tcPr>
            <w:tcW w:w="3860" w:type="dxa"/>
            <w:vMerge/>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p>
        </w:tc>
        <w:tc>
          <w:tcPr>
            <w:tcW w:w="1080" w:type="dxa"/>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01.01.2009</w:t>
            </w:r>
          </w:p>
        </w:tc>
        <w:tc>
          <w:tcPr>
            <w:tcW w:w="1080" w:type="dxa"/>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01.04.2009</w:t>
            </w:r>
          </w:p>
        </w:tc>
        <w:tc>
          <w:tcPr>
            <w:tcW w:w="1080" w:type="dxa"/>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01.07.2009</w:t>
            </w:r>
          </w:p>
        </w:tc>
        <w:tc>
          <w:tcPr>
            <w:tcW w:w="1080" w:type="dxa"/>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01.10.2009</w:t>
            </w:r>
          </w:p>
        </w:tc>
        <w:tc>
          <w:tcPr>
            <w:tcW w:w="1080" w:type="dxa"/>
            <w:vAlign w:val="center"/>
            <w:hideMark/>
          </w:tcPr>
          <w:p w:rsidR="00711C82" w:rsidRPr="00736E7A" w:rsidRDefault="00711C82"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01.01.2010</w:t>
            </w:r>
          </w:p>
        </w:tc>
      </w:tr>
      <w:tr w:rsidR="00711C82" w:rsidRPr="00736E7A" w:rsidTr="00736E7A">
        <w:trPr>
          <w:trHeight w:val="7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Основний власний капітал, тис. грн</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7 295 289</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7 334 536</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7 395 553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6 840 193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6 442 221</w:t>
            </w:r>
          </w:p>
        </w:tc>
      </w:tr>
      <w:tr w:rsidR="00711C82" w:rsidRPr="00736E7A" w:rsidTr="00736E7A">
        <w:trPr>
          <w:trHeight w:val="18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Розмір регулятивного капіталу, тис грн (норматив - не менше 5 млн. євро)</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9 423 224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9 152 478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9 396 862</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7 516 530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7 706 021</w:t>
            </w:r>
          </w:p>
        </w:tc>
      </w:tr>
      <w:tr w:rsidR="00711C82" w:rsidRPr="00736E7A" w:rsidTr="00736E7A">
        <w:trPr>
          <w:trHeight w:val="87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 співвідношення власного капіталу та залучених коштів, % (норматив - не менше 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14,585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27,323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15,858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13,466</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14,578</w:t>
            </w:r>
          </w:p>
        </w:tc>
      </w:tr>
      <w:tr w:rsidR="00711C82" w:rsidRPr="00736E7A" w:rsidTr="00736E7A">
        <w:trPr>
          <w:trHeight w:val="273"/>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 співвідношення власного регулятивного капіталу банку</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та сукупних активів з урахуванням створених резервів, %</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(норматив - не менше 7%)</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14,403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15,303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16,422</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12,478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14,258</w:t>
            </w:r>
          </w:p>
        </w:tc>
      </w:tr>
      <w:tr w:rsidR="00711C82" w:rsidRPr="00736E7A" w:rsidTr="00736E7A">
        <w:trPr>
          <w:trHeight w:val="54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 захищеності власного капіталу банку від інфляції,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0,414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0,415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0,410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0,451</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0,447</w:t>
            </w: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Мультиплікатор власного капіталу</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(норматив -7-10)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8,968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8,154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7,737</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8,806</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8,390</w:t>
            </w:r>
          </w:p>
        </w:tc>
      </w:tr>
      <w:tr w:rsidR="00711C82" w:rsidRPr="00736E7A" w:rsidTr="00736E7A">
        <w:trPr>
          <w:trHeight w:val="54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Співвідношення зобов'язань та капіталу банку (фінансовий важіль)</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7,948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7,185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6,865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7,935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7,565</w:t>
            </w:r>
          </w:p>
        </w:tc>
      </w:tr>
      <w:tr w:rsidR="00711C82" w:rsidRPr="00736E7A" w:rsidTr="00736E7A">
        <w:trPr>
          <w:trHeight w:val="133"/>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Середня вартість залучених коштів,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4,635</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7,336</w:t>
            </w:r>
          </w:p>
        </w:tc>
      </w:tr>
      <w:tr w:rsidR="00711C82" w:rsidRPr="00736E7A" w:rsidTr="00736E7A">
        <w:trPr>
          <w:trHeight w:val="42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Співвідношення </w:t>
            </w:r>
            <w:r w:rsidR="00346DEC" w:rsidRPr="00736E7A">
              <w:rPr>
                <w:rFonts w:ascii="Times New Roman" w:hAnsi="Times New Roman"/>
                <w:sz w:val="20"/>
                <w:szCs w:val="20"/>
                <w:lang w:val="uk-UA" w:eastAsia="uk-UA"/>
              </w:rPr>
              <w:t xml:space="preserve">дохідних </w:t>
            </w:r>
            <w:r w:rsidRPr="00736E7A">
              <w:rPr>
                <w:rFonts w:ascii="Times New Roman" w:hAnsi="Times New Roman"/>
                <w:sz w:val="20"/>
                <w:szCs w:val="20"/>
                <w:lang w:val="uk-UA" w:eastAsia="uk-UA"/>
              </w:rPr>
              <w:t>активів та платних пасивів банку, %</w:t>
            </w:r>
            <w:r w:rsidR="00346DEC" w:rsidRPr="00736E7A">
              <w:rPr>
                <w:rFonts w:ascii="Times New Roman" w:hAnsi="Times New Roman"/>
                <w:sz w:val="20"/>
                <w:szCs w:val="20"/>
                <w:lang w:val="uk-UA" w:eastAsia="uk-UA"/>
              </w:rPr>
              <w:t xml:space="preserve"> (норматив – більше 100%)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106,422</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180,120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99,144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101,328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92,558</w:t>
            </w:r>
          </w:p>
        </w:tc>
      </w:tr>
      <w:tr w:rsidR="00711C82" w:rsidRPr="00736E7A" w:rsidTr="00736E7A">
        <w:trPr>
          <w:trHeight w:val="375"/>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Миттєвої ліквідності</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(норматив - не менше 20%)</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0,437</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0,382</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0,311</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0,226</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0,534</w:t>
            </w:r>
          </w:p>
        </w:tc>
      </w:tr>
      <w:tr w:rsidR="00711C82" w:rsidRPr="00736E7A" w:rsidTr="00736E7A">
        <w:trPr>
          <w:trHeight w:val="255"/>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Середня дохідність кредитних операцій,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11,458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19,208</w:t>
            </w: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Середній спред,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6,824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11,872</w:t>
            </w: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ROE,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7,288</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-31,318</w:t>
            </w: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ROA,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0,813</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-3,733</w:t>
            </w:r>
          </w:p>
        </w:tc>
      </w:tr>
      <w:tr w:rsidR="00711C82" w:rsidRPr="00736E7A" w:rsidTr="00736E7A">
        <w:trPr>
          <w:trHeight w:val="282"/>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Процентна маржа,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5,454</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7,933</w:t>
            </w:r>
          </w:p>
        </w:tc>
      </w:tr>
      <w:tr w:rsidR="00711C82" w:rsidRPr="00736E7A" w:rsidTr="00736E7A">
        <w:trPr>
          <w:trHeight w:val="630"/>
        </w:trPr>
        <w:tc>
          <w:tcPr>
            <w:tcW w:w="3860" w:type="dxa"/>
            <w:vAlign w:val="center"/>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Точка беззбитковості, розмір </w:t>
            </w:r>
            <w:r w:rsidR="00542217" w:rsidRPr="00736E7A">
              <w:rPr>
                <w:rFonts w:ascii="Times New Roman" w:hAnsi="Times New Roman"/>
                <w:sz w:val="20"/>
                <w:szCs w:val="20"/>
                <w:lang w:val="uk-UA" w:eastAsia="uk-UA"/>
              </w:rPr>
              <w:t xml:space="preserve">мінімальної </w:t>
            </w:r>
            <w:r w:rsidRPr="00736E7A">
              <w:rPr>
                <w:rFonts w:ascii="Times New Roman" w:hAnsi="Times New Roman"/>
                <w:sz w:val="20"/>
                <w:szCs w:val="20"/>
                <w:lang w:val="uk-UA" w:eastAsia="uk-UA"/>
              </w:rPr>
              <w:t>процентної маржі</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3,929</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vAlign w:val="bottom"/>
            <w:hideMark/>
          </w:tcPr>
          <w:p w:rsidR="00711C82" w:rsidRPr="00736E7A" w:rsidRDefault="00711C82"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6,020</w:t>
            </w:r>
          </w:p>
        </w:tc>
      </w:tr>
    </w:tbl>
    <w:p w:rsidR="00736E7A" w:rsidRDefault="00736E7A" w:rsidP="007719D8">
      <w:pPr>
        <w:widowControl w:val="0"/>
        <w:spacing w:line="360" w:lineRule="auto"/>
        <w:ind w:firstLine="709"/>
        <w:jc w:val="both"/>
        <w:rPr>
          <w:rFonts w:ascii="Times New Roman" w:hAnsi="Times New Roman"/>
          <w:sz w:val="28"/>
          <w:szCs w:val="28"/>
          <w:lang w:val="uk-UA"/>
        </w:rPr>
      </w:pPr>
    </w:p>
    <w:p w:rsidR="00836AE1" w:rsidRPr="007719D8" w:rsidRDefault="005422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Слід зазначити, що у 2009 році процента маржа банку зросла, а отже це означає посилення міцності банку у фінансовому плані</w:t>
      </w:r>
      <w:r w:rsidR="00195D5C" w:rsidRPr="007719D8">
        <w:rPr>
          <w:rFonts w:ascii="Times New Roman" w:hAnsi="Times New Roman"/>
          <w:sz w:val="28"/>
          <w:szCs w:val="28"/>
          <w:lang w:val="uk-UA"/>
        </w:rPr>
        <w:t>, про те саме каже і середній сп</w:t>
      </w:r>
      <w:r w:rsidRPr="007719D8">
        <w:rPr>
          <w:rFonts w:ascii="Times New Roman" w:hAnsi="Times New Roman"/>
          <w:sz w:val="28"/>
          <w:szCs w:val="28"/>
          <w:lang w:val="uk-UA"/>
        </w:rPr>
        <w:t>ред за операціями.</w:t>
      </w:r>
    </w:p>
    <w:p w:rsidR="00836AE1" w:rsidRPr="007719D8" w:rsidRDefault="001D39B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Проведений аналіз свідчить про стабільну позицію банку на українському ринку, однак слід зазначити, що аналіз носить досить консервативний характер та не враховує взаємодію банку та </w:t>
      </w:r>
      <w:r w:rsidR="00EE1DA8" w:rsidRPr="007719D8">
        <w:rPr>
          <w:rFonts w:ascii="Times New Roman" w:hAnsi="Times New Roman"/>
          <w:sz w:val="28"/>
          <w:szCs w:val="28"/>
          <w:lang w:val="uk-UA"/>
        </w:rPr>
        <w:t>зовнішніх</w:t>
      </w:r>
      <w:r w:rsidRPr="007719D8">
        <w:rPr>
          <w:rFonts w:ascii="Times New Roman" w:hAnsi="Times New Roman"/>
          <w:sz w:val="28"/>
          <w:szCs w:val="28"/>
          <w:lang w:val="uk-UA"/>
        </w:rPr>
        <w:t xml:space="preserve"> </w:t>
      </w:r>
      <w:r w:rsidR="00EE1DA8" w:rsidRPr="007719D8">
        <w:rPr>
          <w:rFonts w:ascii="Times New Roman" w:hAnsi="Times New Roman"/>
          <w:sz w:val="28"/>
          <w:szCs w:val="28"/>
          <w:lang w:val="uk-UA"/>
        </w:rPr>
        <w:t>факторів</w:t>
      </w:r>
      <w:r w:rsidRPr="007719D8">
        <w:rPr>
          <w:rFonts w:ascii="Times New Roman" w:hAnsi="Times New Roman"/>
          <w:sz w:val="28"/>
          <w:szCs w:val="28"/>
          <w:lang w:val="uk-UA"/>
        </w:rPr>
        <w:t>, які здатні оцінит</w:t>
      </w:r>
      <w:r w:rsidR="00EE1DA8" w:rsidRPr="007719D8">
        <w:rPr>
          <w:rFonts w:ascii="Times New Roman" w:hAnsi="Times New Roman"/>
          <w:sz w:val="28"/>
          <w:szCs w:val="28"/>
          <w:lang w:val="uk-UA"/>
        </w:rPr>
        <w:t>и діяльність керівництва банку.</w:t>
      </w:r>
      <w:r w:rsidRPr="007719D8">
        <w:rPr>
          <w:rFonts w:ascii="Times New Roman" w:hAnsi="Times New Roman"/>
          <w:sz w:val="28"/>
          <w:szCs w:val="28"/>
          <w:lang w:val="uk-UA"/>
        </w:rPr>
        <w:t xml:space="preserve"> </w:t>
      </w:r>
    </w:p>
    <w:p w:rsidR="003C6A39" w:rsidRPr="007719D8" w:rsidRDefault="003C6A39" w:rsidP="007719D8">
      <w:pPr>
        <w:widowControl w:val="0"/>
        <w:spacing w:line="360" w:lineRule="auto"/>
        <w:ind w:firstLine="709"/>
        <w:jc w:val="both"/>
        <w:rPr>
          <w:rFonts w:ascii="Times New Roman" w:hAnsi="Times New Roman"/>
          <w:sz w:val="28"/>
          <w:szCs w:val="28"/>
          <w:lang w:val="uk-UA"/>
        </w:rPr>
      </w:pPr>
    </w:p>
    <w:p w:rsidR="00736E7A" w:rsidRDefault="00736E7A">
      <w:pPr>
        <w:spacing w:line="240" w:lineRule="auto"/>
        <w:rPr>
          <w:rFonts w:ascii="Times New Roman" w:hAnsi="Times New Roman"/>
          <w:sz w:val="28"/>
          <w:szCs w:val="30"/>
          <w:lang w:val="uk-UA"/>
        </w:rPr>
      </w:pPr>
      <w:r>
        <w:rPr>
          <w:rFonts w:ascii="Times New Roman" w:hAnsi="Times New Roman"/>
          <w:sz w:val="28"/>
          <w:szCs w:val="30"/>
          <w:lang w:val="uk-UA"/>
        </w:rPr>
        <w:br w:type="page"/>
      </w:r>
    </w:p>
    <w:p w:rsidR="003D11E0" w:rsidRPr="007719D8" w:rsidRDefault="00985EAF"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2 </w:t>
      </w:r>
      <w:r w:rsidR="003D11E0" w:rsidRPr="007719D8">
        <w:rPr>
          <w:rFonts w:ascii="Times New Roman" w:hAnsi="Times New Roman"/>
          <w:sz w:val="28"/>
          <w:szCs w:val="30"/>
          <w:lang w:val="uk-UA"/>
        </w:rPr>
        <w:t>ПРОЕКТНА ЧАСТИНА</w:t>
      </w:r>
    </w:p>
    <w:p w:rsidR="003D11E0" w:rsidRPr="007719D8" w:rsidRDefault="003D11E0" w:rsidP="007719D8">
      <w:pPr>
        <w:widowControl w:val="0"/>
        <w:spacing w:line="360" w:lineRule="auto"/>
        <w:ind w:firstLine="709"/>
        <w:jc w:val="both"/>
        <w:rPr>
          <w:rFonts w:ascii="Times New Roman" w:hAnsi="Times New Roman"/>
          <w:sz w:val="28"/>
          <w:szCs w:val="30"/>
          <w:lang w:val="uk-UA"/>
        </w:rPr>
      </w:pPr>
    </w:p>
    <w:p w:rsidR="00542217" w:rsidRPr="007719D8" w:rsidRDefault="000D3FE6"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2.1</w:t>
      </w:r>
      <w:r w:rsidR="00836AE1" w:rsidRPr="007719D8">
        <w:rPr>
          <w:rFonts w:ascii="Times New Roman" w:hAnsi="Times New Roman"/>
          <w:sz w:val="28"/>
          <w:szCs w:val="30"/>
          <w:lang w:val="uk-UA"/>
        </w:rPr>
        <w:t xml:space="preserve"> </w:t>
      </w:r>
      <w:r w:rsidR="0097180A" w:rsidRPr="007719D8">
        <w:rPr>
          <w:rFonts w:ascii="Times New Roman" w:hAnsi="Times New Roman"/>
          <w:sz w:val="28"/>
          <w:szCs w:val="30"/>
          <w:lang w:val="uk-UA"/>
        </w:rPr>
        <w:t>Принципи вартісного управління комерційною організацією</w:t>
      </w:r>
    </w:p>
    <w:p w:rsidR="00542217" w:rsidRPr="007719D8" w:rsidRDefault="00542217" w:rsidP="007719D8">
      <w:pPr>
        <w:widowControl w:val="0"/>
        <w:spacing w:line="360" w:lineRule="auto"/>
        <w:ind w:firstLine="709"/>
        <w:jc w:val="both"/>
        <w:rPr>
          <w:rFonts w:ascii="Times New Roman" w:hAnsi="Times New Roman"/>
          <w:sz w:val="28"/>
          <w:szCs w:val="28"/>
          <w:lang w:val="uk-UA"/>
        </w:rPr>
      </w:pPr>
    </w:p>
    <w:p w:rsidR="00836AE1" w:rsidRPr="007719D8" w:rsidRDefault="0097180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Питання створення максимальної вартості у процесі управління комерційною організацією почало активно розвиватися у 70-80-х роках</w:t>
      </w:r>
      <w:r w:rsidR="007277CA" w:rsidRPr="007719D8">
        <w:rPr>
          <w:rFonts w:ascii="Times New Roman" w:hAnsi="Times New Roman"/>
          <w:sz w:val="28"/>
          <w:szCs w:val="28"/>
          <w:lang w:val="uk-UA"/>
        </w:rPr>
        <w:t xml:space="preserve"> у наукових колах</w:t>
      </w:r>
      <w:r w:rsidRPr="007719D8">
        <w:rPr>
          <w:rFonts w:ascii="Times New Roman" w:hAnsi="Times New Roman"/>
          <w:sz w:val="28"/>
          <w:szCs w:val="28"/>
          <w:lang w:val="uk-UA"/>
        </w:rPr>
        <w:t xml:space="preserve">, а як складова практичного стратегічного управління – у 90-х роках ХХ ст. Необхідність створення вартості для акціонерів, а опосередковано — для інших заінтересованих у успіху організації сторін, має багато емпіричних підтверджень, що показують ефективність </w:t>
      </w:r>
      <w:r w:rsidR="007277CA" w:rsidRPr="007719D8">
        <w:rPr>
          <w:rFonts w:ascii="Times New Roman" w:hAnsi="Times New Roman"/>
          <w:sz w:val="28"/>
          <w:szCs w:val="28"/>
          <w:lang w:val="uk-UA"/>
        </w:rPr>
        <w:t>принципів орієнтації менеджменту компанії на максимізацію її ринкової вартості</w:t>
      </w:r>
      <w:r w:rsidR="00D15118" w:rsidRPr="007719D8">
        <w:rPr>
          <w:rFonts w:ascii="Times New Roman" w:hAnsi="Times New Roman"/>
          <w:sz w:val="28"/>
          <w:szCs w:val="28"/>
          <w:lang w:val="uk-UA"/>
        </w:rPr>
        <w:t>.</w:t>
      </w:r>
      <w:r w:rsidR="007277CA" w:rsidRPr="007719D8">
        <w:rPr>
          <w:rFonts w:ascii="Times New Roman" w:hAnsi="Times New Roman"/>
          <w:sz w:val="28"/>
          <w:szCs w:val="28"/>
          <w:lang w:val="uk-UA"/>
        </w:rPr>
        <w:t xml:space="preserve"> Це призводить також і до більшої ефективності економік країн, що функціонують за ринковими принципами і у яких існує диктат пріоритетів безпосередніх власників компанії, її акціонерів. </w:t>
      </w:r>
    </w:p>
    <w:p w:rsidR="007277CA" w:rsidRPr="007719D8" w:rsidRDefault="007277C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У подальшому </w:t>
      </w:r>
      <w:r w:rsidR="001F172D" w:rsidRPr="007719D8">
        <w:rPr>
          <w:rFonts w:ascii="Times New Roman" w:hAnsi="Times New Roman"/>
          <w:sz w:val="28"/>
          <w:szCs w:val="28"/>
          <w:lang w:val="uk-UA"/>
        </w:rPr>
        <w:t>в рамках</w:t>
      </w:r>
      <w:r w:rsidRPr="007719D8">
        <w:rPr>
          <w:rFonts w:ascii="Times New Roman" w:hAnsi="Times New Roman"/>
          <w:sz w:val="28"/>
          <w:szCs w:val="28"/>
          <w:lang w:val="uk-UA"/>
        </w:rPr>
        <w:t xml:space="preserve"> цьому курсовому проекті ми будемо розглядати організацію виключно як комерційну структуру, справжньою метою якої є максимізація корисності для акціонерів компанії (під акціонерами можна розуміти також і учасників компанії, у разі, якщо розглядається компанія типу LLC (ТОВ). </w:t>
      </w:r>
      <w:r w:rsidR="00946113" w:rsidRPr="007719D8">
        <w:rPr>
          <w:rFonts w:ascii="Times New Roman" w:hAnsi="Times New Roman"/>
          <w:sz w:val="28"/>
          <w:szCs w:val="28"/>
          <w:lang w:val="uk-UA"/>
        </w:rPr>
        <w:t xml:space="preserve">Слід зауважити, що попереднє твердження не приводить до неспроможності цілі, що спрямовані на інші ринкові пріоритети для компанії: завоювання n-ої долі ринку, збільшення продажів до якогось рівня та інше. Всі цілі та установки подібного роду опосередковано приводять компанію до основною мети — максимізація вартості для акціонерів, аж вони є інструментами, які обрав менеджмент компанії для досягнення цієї мети. </w:t>
      </w:r>
    </w:p>
    <w:p w:rsidR="002860CE" w:rsidRPr="007719D8" w:rsidRDefault="002860C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процесі створення вартості як результату реалізації управлінських рішень, менеджмент компанії має відповісти на наступні запитання:</w:t>
      </w:r>
    </w:p>
    <w:p w:rsidR="002860CE" w:rsidRPr="007719D8" w:rsidRDefault="002860CE" w:rsidP="007719D8">
      <w:pPr>
        <w:pStyle w:val="aa"/>
        <w:widowControl w:val="0"/>
        <w:numPr>
          <w:ilvl w:val="0"/>
          <w:numId w:val="29"/>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Яким має бути набір цільових нормативів та індикаторів, який допоможе зорієнтувати дії та оцінити результати менеджменту компанії?</w:t>
      </w:r>
    </w:p>
    <w:p w:rsidR="002860CE" w:rsidRPr="007719D8" w:rsidRDefault="002860CE" w:rsidP="007719D8">
      <w:pPr>
        <w:pStyle w:val="aa"/>
        <w:widowControl w:val="0"/>
        <w:numPr>
          <w:ilvl w:val="0"/>
          <w:numId w:val="29"/>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Як можна узгодити управлінські </w:t>
      </w:r>
      <w:r w:rsidR="001B25F1" w:rsidRPr="007719D8">
        <w:rPr>
          <w:rFonts w:ascii="Times New Roman" w:hAnsi="Times New Roman"/>
          <w:sz w:val="28"/>
          <w:szCs w:val="28"/>
          <w:lang w:val="uk-UA"/>
        </w:rPr>
        <w:t>рішення із завданням створення вартості?</w:t>
      </w:r>
    </w:p>
    <w:p w:rsidR="001B25F1" w:rsidRPr="007719D8" w:rsidRDefault="001B25F1" w:rsidP="007719D8">
      <w:pPr>
        <w:pStyle w:val="aa"/>
        <w:widowControl w:val="0"/>
        <w:numPr>
          <w:ilvl w:val="0"/>
          <w:numId w:val="29"/>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Якими мають бути програми матеріального та нематеріального стимулювання персоналу у процесі створення вартості?</w:t>
      </w:r>
    </w:p>
    <w:p w:rsidR="001B25F1" w:rsidRPr="007719D8" w:rsidRDefault="001B25F1" w:rsidP="007719D8">
      <w:pPr>
        <w:pStyle w:val="aa"/>
        <w:widowControl w:val="0"/>
        <w:numPr>
          <w:ilvl w:val="0"/>
          <w:numId w:val="29"/>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Як ми можемо вбудувати принципи вартісного мислення у корпоративну культуру та цінності?</w:t>
      </w:r>
    </w:p>
    <w:p w:rsidR="004F2506" w:rsidRPr="007719D8" w:rsidRDefault="001B25F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Для відповіді на </w:t>
      </w:r>
      <w:r w:rsidR="0088710B" w:rsidRPr="007719D8">
        <w:rPr>
          <w:rFonts w:ascii="Times New Roman" w:hAnsi="Times New Roman"/>
          <w:sz w:val="28"/>
          <w:szCs w:val="28"/>
          <w:lang w:val="uk-UA"/>
        </w:rPr>
        <w:t xml:space="preserve">запитання, як керівництво компанії може виміряти зростання вартості компанії, розглянемо деякі моменти. </w:t>
      </w:r>
      <w:r w:rsidR="004F2506" w:rsidRPr="007719D8">
        <w:rPr>
          <w:rFonts w:ascii="Times New Roman" w:hAnsi="Times New Roman"/>
          <w:sz w:val="28"/>
          <w:szCs w:val="28"/>
          <w:lang w:val="uk-UA"/>
        </w:rPr>
        <w:t xml:space="preserve">Під створенням вартості для акціонерів прийнято називати створення позитивного вільного грошового потоку (у подальшому — FCF, </w:t>
      </w:r>
      <w:r w:rsidR="004F2506" w:rsidRPr="007719D8">
        <w:rPr>
          <w:rFonts w:ascii="Times New Roman" w:hAnsi="Times New Roman"/>
          <w:sz w:val="28"/>
          <w:szCs w:val="28"/>
          <w:lang w:val="en-US"/>
        </w:rPr>
        <w:t>Free</w:t>
      </w:r>
      <w:r w:rsidR="004F2506" w:rsidRPr="007719D8">
        <w:rPr>
          <w:rFonts w:ascii="Times New Roman" w:hAnsi="Times New Roman"/>
          <w:sz w:val="28"/>
          <w:szCs w:val="28"/>
        </w:rPr>
        <w:t xml:space="preserve"> </w:t>
      </w:r>
      <w:r w:rsidR="004F2506" w:rsidRPr="007719D8">
        <w:rPr>
          <w:rFonts w:ascii="Times New Roman" w:hAnsi="Times New Roman"/>
          <w:sz w:val="28"/>
          <w:szCs w:val="28"/>
          <w:lang w:val="en-US"/>
        </w:rPr>
        <w:t>Cash</w:t>
      </w:r>
      <w:r w:rsidR="004F2506" w:rsidRPr="007719D8">
        <w:rPr>
          <w:rFonts w:ascii="Times New Roman" w:hAnsi="Times New Roman"/>
          <w:sz w:val="28"/>
          <w:szCs w:val="28"/>
        </w:rPr>
        <w:t xml:space="preserve"> </w:t>
      </w:r>
      <w:r w:rsidR="004F2506" w:rsidRPr="007719D8">
        <w:rPr>
          <w:rFonts w:ascii="Times New Roman" w:hAnsi="Times New Roman"/>
          <w:sz w:val="28"/>
          <w:szCs w:val="28"/>
          <w:lang w:val="en-US"/>
        </w:rPr>
        <w:t>Flow</w:t>
      </w:r>
      <w:r w:rsidR="004F2506" w:rsidRPr="007719D8">
        <w:rPr>
          <w:rFonts w:ascii="Times New Roman" w:hAnsi="Times New Roman"/>
          <w:sz w:val="28"/>
          <w:szCs w:val="28"/>
          <w:lang w:val="uk-UA"/>
        </w:rPr>
        <w:t>), який формується у процесі діяльності компанії. Це поняття не є еквівалентним до різних показників прибутку компанії. Різниця полягає у принципах формування FCF та чистого прибутку: у першому випадку при розрахунку ми знаходимо різницю між вхідними та вихідними фінансовими потоками компанії, тобто безпосереднім рухом грошових коштів та їх найбільш ліквідних еквівалентів, у другому випадку — різницю між нарахованими (необов’язково монетарними, тобто тими, що мають матеріальне втілення у вигляді грошових коштів на момент утворення)</w:t>
      </w:r>
      <w:r w:rsidR="00CF7DE8" w:rsidRPr="007719D8">
        <w:rPr>
          <w:rFonts w:ascii="Times New Roman" w:hAnsi="Times New Roman"/>
          <w:sz w:val="28"/>
          <w:szCs w:val="28"/>
          <w:lang w:val="uk-UA"/>
        </w:rPr>
        <w:t>, ще не отриманими,</w:t>
      </w:r>
      <w:r w:rsidR="004F2506" w:rsidRPr="007719D8">
        <w:rPr>
          <w:rFonts w:ascii="Times New Roman" w:hAnsi="Times New Roman"/>
          <w:sz w:val="28"/>
          <w:szCs w:val="28"/>
          <w:lang w:val="uk-UA"/>
        </w:rPr>
        <w:t xml:space="preserve"> доходами та видатками компанії за аналізований період. </w:t>
      </w:r>
    </w:p>
    <w:p w:rsidR="004F2506" w:rsidRPr="007719D8" w:rsidRDefault="004A1EC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Наявність стабільного FCF у продовж багатьох періодів є результатом грамотного управління не тільки фінансовою діяльністю компанії, але і </w:t>
      </w:r>
      <w:r w:rsidR="0007035F" w:rsidRPr="007719D8">
        <w:rPr>
          <w:rFonts w:ascii="Times New Roman" w:hAnsi="Times New Roman"/>
          <w:sz w:val="28"/>
          <w:szCs w:val="28"/>
          <w:lang w:val="uk-UA"/>
        </w:rPr>
        <w:t>правильним</w:t>
      </w:r>
      <w:r w:rsidRPr="007719D8">
        <w:rPr>
          <w:rFonts w:ascii="Times New Roman" w:hAnsi="Times New Roman"/>
          <w:sz w:val="28"/>
          <w:szCs w:val="28"/>
          <w:lang w:val="uk-UA"/>
        </w:rPr>
        <w:t xml:space="preserve"> управління</w:t>
      </w:r>
      <w:r w:rsidR="0007035F" w:rsidRPr="007719D8">
        <w:rPr>
          <w:rFonts w:ascii="Times New Roman" w:hAnsi="Times New Roman"/>
          <w:sz w:val="28"/>
          <w:szCs w:val="28"/>
          <w:lang w:val="uk-UA"/>
        </w:rPr>
        <w:t>м</w:t>
      </w:r>
      <w:r w:rsidRPr="007719D8">
        <w:rPr>
          <w:rFonts w:ascii="Times New Roman" w:hAnsi="Times New Roman"/>
          <w:sz w:val="28"/>
          <w:szCs w:val="28"/>
          <w:lang w:val="uk-UA"/>
        </w:rPr>
        <w:t xml:space="preserve"> операційною, інвестиційною діяльність, політикою компанії щодо управління персоналом та рівнем інвестицій у НДОКР</w:t>
      </w:r>
      <w:r w:rsidR="008F3371" w:rsidRPr="007719D8">
        <w:rPr>
          <w:rFonts w:ascii="Times New Roman" w:hAnsi="Times New Roman"/>
          <w:sz w:val="28"/>
          <w:szCs w:val="28"/>
          <w:lang w:val="uk-UA"/>
        </w:rPr>
        <w:t xml:space="preserve">. </w:t>
      </w:r>
      <w:r w:rsidR="004F7DC9" w:rsidRPr="007719D8">
        <w:rPr>
          <w:rFonts w:ascii="Times New Roman" w:hAnsi="Times New Roman"/>
          <w:sz w:val="28"/>
          <w:szCs w:val="28"/>
          <w:lang w:val="uk-UA"/>
        </w:rPr>
        <w:t xml:space="preserve">Водночас, наявність стабільного притоку грошових коштів є необхідним елементом реалізації будь-яких задумок керівництва компанії. </w:t>
      </w:r>
      <w:r w:rsidR="00613431" w:rsidRPr="007719D8">
        <w:rPr>
          <w:rFonts w:ascii="Times New Roman" w:hAnsi="Times New Roman"/>
          <w:sz w:val="28"/>
          <w:szCs w:val="28"/>
          <w:lang w:val="uk-UA"/>
        </w:rPr>
        <w:t>Слід зауважити, що велика величина FCF у якийсь конкретний період часу не є гарантією того, що компанія знаходиться у відмінному фінансовому стані, те саме можна сказати і про від’ємний FCF у один із періодів.</w:t>
      </w:r>
    </w:p>
    <w:p w:rsidR="004A1EC4" w:rsidRPr="007719D8" w:rsidRDefault="004F7DC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Однак, для того, щоб компанія могла досягти своєї первісної мети, а саме, задоволення вимог власників, обсяг їх доходу, який виражається як деякий потік грошових коштів, який акціонери (інвестори, засновники, та ін.</w:t>
      </w:r>
      <w:r w:rsidR="00B56D6E" w:rsidRPr="007719D8">
        <w:rPr>
          <w:rFonts w:ascii="Times New Roman" w:hAnsi="Times New Roman"/>
          <w:sz w:val="28"/>
          <w:szCs w:val="28"/>
          <w:lang w:val="uk-UA"/>
        </w:rPr>
        <w:t>, у подальшому ці поняття будуть використовуватись як синоніми</w:t>
      </w:r>
      <w:r w:rsidRPr="007719D8">
        <w:rPr>
          <w:rFonts w:ascii="Times New Roman" w:hAnsi="Times New Roman"/>
          <w:sz w:val="28"/>
          <w:szCs w:val="28"/>
          <w:lang w:val="uk-UA"/>
        </w:rPr>
        <w:t xml:space="preserve">) отримають як винагороду за ризик вкладення коштів у цю компанію, має бути на рівні або </w:t>
      </w:r>
      <w:r w:rsidR="0007035F" w:rsidRPr="007719D8">
        <w:rPr>
          <w:rFonts w:ascii="Times New Roman" w:hAnsi="Times New Roman"/>
          <w:sz w:val="28"/>
          <w:szCs w:val="28"/>
          <w:lang w:val="uk-UA"/>
        </w:rPr>
        <w:t>більше</w:t>
      </w:r>
      <w:r w:rsidRPr="007719D8">
        <w:rPr>
          <w:rFonts w:ascii="Times New Roman" w:hAnsi="Times New Roman"/>
          <w:sz w:val="28"/>
          <w:szCs w:val="28"/>
          <w:lang w:val="uk-UA"/>
        </w:rPr>
        <w:t xml:space="preserve"> очікувань згаданих інвесторів. </w:t>
      </w:r>
    </w:p>
    <w:p w:rsidR="004F7DC9" w:rsidRPr="007719D8" w:rsidRDefault="004F7DC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Під очікуваними доходами у фінансовій теорії розуміють такий процент від вкладень, який очікує отримати інвестор у вимірі його особистих переваг та підходу до особистого сприйняття співвідношення «дохідність/ризик» (під ризиком у свою чергу розуміють імовірність отримання доходу, меншого за очікуваний). </w:t>
      </w:r>
      <w:r w:rsidR="00B56D6E" w:rsidRPr="007719D8">
        <w:rPr>
          <w:rFonts w:ascii="Times New Roman" w:hAnsi="Times New Roman"/>
          <w:sz w:val="28"/>
          <w:szCs w:val="28"/>
          <w:lang w:val="uk-UA"/>
        </w:rPr>
        <w:t xml:space="preserve">Очікувана дохідність не є функціональною залежністю, але вона підпорядкована безлічі факторів, які формують сприйняття інвестором або акціонером компанії, у яку він вкладає свої кошти та не є постійною величиною. Із розвитком економіки країни, її ринків, економічного рівню відносин змінюються </w:t>
      </w:r>
      <w:r w:rsidR="00E50F9F" w:rsidRPr="007719D8">
        <w:rPr>
          <w:rFonts w:ascii="Times New Roman" w:hAnsi="Times New Roman"/>
          <w:sz w:val="28"/>
          <w:szCs w:val="28"/>
          <w:lang w:val="uk-UA"/>
        </w:rPr>
        <w:t>і стратегії інвесторів.</w:t>
      </w:r>
    </w:p>
    <w:p w:rsidR="00B56D6E" w:rsidRPr="007719D8" w:rsidRDefault="00B56D6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Отже, для задоволення вимог акціонерів компанія має надати їм той обсяг доходу у вигляді дивідендів (чи відсотку для кредиторів), який вони очікують. Та частина FCF, я</w:t>
      </w:r>
      <w:r w:rsidR="003937A2" w:rsidRPr="007719D8">
        <w:rPr>
          <w:rFonts w:ascii="Times New Roman" w:hAnsi="Times New Roman"/>
          <w:sz w:val="28"/>
          <w:szCs w:val="28"/>
          <w:lang w:val="uk-UA"/>
        </w:rPr>
        <w:t xml:space="preserve">ка перевищує сплачені дивіденди, реінвестується у компанію на ті цілі, які є найбільш пріоритетними у досягненні мети компанії. Це може бути фінансування обігових коштів, інвестування у позаобігові активи, фінансування НДОКР та інше. </w:t>
      </w:r>
    </w:p>
    <w:p w:rsidR="003937A2" w:rsidRPr="007719D8" w:rsidRDefault="003937A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Дивідендна політика компанії може бути різною, фактором визначення обсягів дивідендів, що будуть надані у конкретному році є очікування акціонерів компанії, фінансовий стан компанії, та здатність керівництва компанії показати акціонерам перспективи розвитку компанії. Останній фактор є важливим у разі, якщо очікування акціонерів не збігаються із реальним обсягом дивідендів, який можна виплатити акціонерам у конкретний період часу. </w:t>
      </w:r>
    </w:p>
    <w:p w:rsidR="003937A2" w:rsidRDefault="003937A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Вибір акціонерами графіку отримання доходів у вигляді дивідендів базується знову ж таки на очікуваних рівнях дохідності для активів (компані</w:t>
      </w:r>
      <w:r w:rsidR="00E50F9F" w:rsidRPr="007719D8">
        <w:rPr>
          <w:rFonts w:ascii="Times New Roman" w:hAnsi="Times New Roman"/>
          <w:sz w:val="28"/>
          <w:szCs w:val="28"/>
          <w:lang w:val="uk-UA"/>
        </w:rPr>
        <w:t>ю</w:t>
      </w:r>
      <w:r w:rsidRPr="007719D8">
        <w:rPr>
          <w:rFonts w:ascii="Times New Roman" w:hAnsi="Times New Roman"/>
          <w:sz w:val="28"/>
          <w:szCs w:val="28"/>
          <w:lang w:val="uk-UA"/>
        </w:rPr>
        <w:t xml:space="preserve"> </w:t>
      </w:r>
      <w:r w:rsidR="00E50F9F" w:rsidRPr="007719D8">
        <w:rPr>
          <w:rFonts w:ascii="Times New Roman" w:hAnsi="Times New Roman"/>
          <w:sz w:val="28"/>
          <w:szCs w:val="28"/>
          <w:lang w:val="uk-UA"/>
        </w:rPr>
        <w:t xml:space="preserve">також можна представити </w:t>
      </w:r>
      <w:r w:rsidRPr="007719D8">
        <w:rPr>
          <w:rFonts w:ascii="Times New Roman" w:hAnsi="Times New Roman"/>
          <w:sz w:val="28"/>
          <w:szCs w:val="28"/>
          <w:lang w:val="uk-UA"/>
        </w:rPr>
        <w:t xml:space="preserve">як </w:t>
      </w:r>
      <w:r w:rsidR="00E50F9F" w:rsidRPr="007719D8">
        <w:rPr>
          <w:rFonts w:ascii="Times New Roman" w:hAnsi="Times New Roman"/>
          <w:sz w:val="28"/>
          <w:szCs w:val="28"/>
          <w:lang w:val="uk-UA"/>
        </w:rPr>
        <w:t>окремий актив</w:t>
      </w:r>
      <w:r w:rsidRPr="007719D8">
        <w:rPr>
          <w:rFonts w:ascii="Times New Roman" w:hAnsi="Times New Roman"/>
          <w:sz w:val="28"/>
          <w:szCs w:val="28"/>
          <w:lang w:val="uk-UA"/>
        </w:rPr>
        <w:t xml:space="preserve">). Оцінка корисності доходів, що будуть отримані на різних часових діапазонах, втілена у моделі </w:t>
      </w:r>
      <w:r w:rsidR="00763E60" w:rsidRPr="007719D8">
        <w:rPr>
          <w:rFonts w:ascii="Times New Roman" w:hAnsi="Times New Roman"/>
          <w:sz w:val="28"/>
          <w:szCs w:val="28"/>
          <w:lang w:val="uk-UA"/>
        </w:rPr>
        <w:t>дисконтованого</w:t>
      </w:r>
      <w:r w:rsidR="007719D8">
        <w:rPr>
          <w:rFonts w:ascii="Times New Roman" w:hAnsi="Times New Roman"/>
          <w:sz w:val="28"/>
          <w:szCs w:val="28"/>
          <w:lang w:val="uk-UA"/>
        </w:rPr>
        <w:t xml:space="preserve"> </w:t>
      </w:r>
      <w:r w:rsidR="00763E60" w:rsidRPr="007719D8">
        <w:rPr>
          <w:rFonts w:ascii="Times New Roman" w:hAnsi="Times New Roman"/>
          <w:sz w:val="28"/>
          <w:szCs w:val="28"/>
          <w:lang w:val="uk-UA"/>
        </w:rPr>
        <w:t xml:space="preserve">грошового потоку. </w:t>
      </w:r>
      <w:r w:rsidR="009D0F12" w:rsidRPr="007719D8">
        <w:rPr>
          <w:rFonts w:ascii="Times New Roman" w:hAnsi="Times New Roman"/>
          <w:sz w:val="28"/>
          <w:szCs w:val="28"/>
          <w:lang w:val="uk-UA"/>
        </w:rPr>
        <w:t>Основним математичним виразом, що показує суть даного методу, є наступне:</w:t>
      </w:r>
    </w:p>
    <w:p w:rsidR="00736E7A" w:rsidRPr="007719D8" w:rsidRDefault="00736E7A" w:rsidP="007719D8">
      <w:pPr>
        <w:widowControl w:val="0"/>
        <w:spacing w:line="360" w:lineRule="auto"/>
        <w:ind w:firstLine="709"/>
        <w:jc w:val="both"/>
        <w:rPr>
          <w:rFonts w:ascii="Times New Roman" w:hAnsi="Times New Roman"/>
          <w:sz w:val="28"/>
          <w:szCs w:val="28"/>
          <w:lang w:val="uk-UA"/>
        </w:rPr>
      </w:pPr>
    </w:p>
    <w:p w:rsidR="009D0F12" w:rsidRPr="007719D8" w:rsidRDefault="00BF2FA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2340" w:dyaOrig="720">
          <v:shape id="_x0000_i1027" type="#_x0000_t75" style="width:135.75pt;height:42pt" o:ole="">
            <v:imagedata r:id="rId11" o:title=""/>
          </v:shape>
          <o:OLEObject Type="Embed" ProgID="Equation.3" ShapeID="_x0000_i1027" DrawAspect="Content" ObjectID="_1476268271" r:id="rId12"/>
        </w:object>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BF7155" w:rsidRPr="007719D8">
        <w:rPr>
          <w:rFonts w:ascii="Times New Roman" w:hAnsi="Times New Roman"/>
          <w:sz w:val="28"/>
          <w:szCs w:val="28"/>
          <w:lang w:val="uk-UA"/>
        </w:rPr>
        <w:t>(1)</w:t>
      </w:r>
    </w:p>
    <w:p w:rsidR="00736E7A" w:rsidRDefault="00736E7A" w:rsidP="007719D8">
      <w:pPr>
        <w:widowControl w:val="0"/>
        <w:spacing w:line="360" w:lineRule="auto"/>
        <w:ind w:firstLine="709"/>
        <w:jc w:val="both"/>
        <w:rPr>
          <w:rFonts w:ascii="Times New Roman" w:hAnsi="Times New Roman"/>
          <w:sz w:val="28"/>
          <w:szCs w:val="28"/>
          <w:lang w:val="uk-UA"/>
        </w:rPr>
      </w:pPr>
    </w:p>
    <w:p w:rsidR="00653DA4" w:rsidRPr="007719D8" w:rsidRDefault="00653DA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n —</w:t>
      </w:r>
      <w:r w:rsidR="00BF7155" w:rsidRPr="007719D8">
        <w:rPr>
          <w:rFonts w:ascii="Times New Roman" w:hAnsi="Times New Roman"/>
          <w:sz w:val="28"/>
          <w:szCs w:val="28"/>
          <w:lang w:val="uk-UA"/>
        </w:rPr>
        <w:t xml:space="preserve"> кількіст</w:t>
      </w:r>
      <w:r w:rsidRPr="007719D8">
        <w:rPr>
          <w:rFonts w:ascii="Times New Roman" w:hAnsi="Times New Roman"/>
          <w:sz w:val="28"/>
          <w:szCs w:val="28"/>
          <w:lang w:val="uk-UA"/>
        </w:rPr>
        <w:t>ь періодів, упродовж яких</w:t>
      </w:r>
      <w:r w:rsidR="00BF7155" w:rsidRPr="007719D8">
        <w:rPr>
          <w:rFonts w:ascii="Times New Roman" w:hAnsi="Times New Roman"/>
          <w:sz w:val="28"/>
          <w:szCs w:val="28"/>
          <w:lang w:val="uk-UA"/>
        </w:rPr>
        <w:t xml:space="preserve"> актив</w:t>
      </w:r>
      <w:r w:rsidRPr="007719D8">
        <w:rPr>
          <w:rFonts w:ascii="Times New Roman" w:hAnsi="Times New Roman"/>
          <w:sz w:val="28"/>
          <w:szCs w:val="28"/>
          <w:lang w:val="uk-UA"/>
        </w:rPr>
        <w:t xml:space="preserve"> буде формувати грошові потоки;</w:t>
      </w:r>
    </w:p>
    <w:p w:rsidR="00653DA4" w:rsidRPr="007719D8" w:rsidRDefault="00653DA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r — </w:t>
      </w:r>
      <w:r w:rsidR="00BF7155" w:rsidRPr="007719D8">
        <w:rPr>
          <w:rFonts w:ascii="Times New Roman" w:hAnsi="Times New Roman"/>
          <w:sz w:val="28"/>
          <w:szCs w:val="28"/>
          <w:lang w:val="uk-UA"/>
        </w:rPr>
        <w:t xml:space="preserve">коефіцієнт дисконтування, </w:t>
      </w:r>
      <w:r w:rsidRPr="007719D8">
        <w:rPr>
          <w:rFonts w:ascii="Times New Roman" w:hAnsi="Times New Roman"/>
          <w:sz w:val="28"/>
          <w:szCs w:val="28"/>
          <w:lang w:val="uk-UA"/>
        </w:rPr>
        <w:t>очікувана дохідність для акціонерів</w:t>
      </w:r>
      <w:r w:rsidR="00921D2F" w:rsidRPr="007719D8">
        <w:rPr>
          <w:rFonts w:ascii="Times New Roman" w:hAnsi="Times New Roman"/>
          <w:sz w:val="28"/>
          <w:szCs w:val="28"/>
          <w:lang w:val="uk-UA"/>
        </w:rPr>
        <w:t>;</w:t>
      </w:r>
    </w:p>
    <w:p w:rsidR="00921D2F" w:rsidRPr="007719D8" w:rsidRDefault="00921D2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t — номер періоду;</w:t>
      </w:r>
    </w:p>
    <w:p w:rsidR="00921D2F" w:rsidRPr="007719D8" w:rsidRDefault="00921D2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CF — грошовий потік, який може бути використаний у якості доходу власника активу.</w:t>
      </w:r>
    </w:p>
    <w:p w:rsidR="004A1EC4" w:rsidRPr="007719D8" w:rsidRDefault="00BF715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Основним висновком, який треба зробити з цієї формули, є те, що </w:t>
      </w:r>
      <w:r w:rsidR="002A7A36" w:rsidRPr="007719D8">
        <w:rPr>
          <w:rFonts w:ascii="Times New Roman" w:hAnsi="Times New Roman"/>
          <w:sz w:val="28"/>
          <w:szCs w:val="28"/>
          <w:lang w:val="uk-UA"/>
        </w:rPr>
        <w:t xml:space="preserve">внутрішня </w:t>
      </w:r>
      <w:r w:rsidRPr="007719D8">
        <w:rPr>
          <w:rFonts w:ascii="Times New Roman" w:hAnsi="Times New Roman"/>
          <w:sz w:val="28"/>
          <w:szCs w:val="28"/>
          <w:lang w:val="uk-UA"/>
        </w:rPr>
        <w:t xml:space="preserve">вартістю того чи іншого активу є очікувані у подальшому грошові потоки від його функціонування з урахуванням альтернативних можливостей вкладення коштів для подібних активів. </w:t>
      </w:r>
    </w:p>
    <w:p w:rsidR="00613431" w:rsidRPr="007719D8" w:rsidRDefault="00BF715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Ця модель базується на основному принципі, який формулюється як те, що інвестиції створюють нову вартість, якщо віддача від них буде більшою, ніж від подібних інструментів інвестування із тією ж мірою ризику</w:t>
      </w:r>
      <w:r w:rsidR="005B1AAC" w:rsidRPr="007719D8">
        <w:rPr>
          <w:rFonts w:ascii="Times New Roman" w:hAnsi="Times New Roman"/>
          <w:sz w:val="28"/>
          <w:szCs w:val="28"/>
          <w:lang w:val="uk-UA"/>
        </w:rPr>
        <w:t xml:space="preserve"> — такий підхід побудований на понятті економічного прибутку, тобто перевищенні дохідності компанії над середньоринковою дохідністю</w:t>
      </w:r>
      <w:r w:rsidRPr="007719D8">
        <w:rPr>
          <w:rFonts w:ascii="Times New Roman" w:hAnsi="Times New Roman"/>
          <w:sz w:val="28"/>
          <w:szCs w:val="28"/>
          <w:lang w:val="uk-UA"/>
        </w:rPr>
        <w:t>.</w:t>
      </w:r>
      <w:r w:rsidR="00613431" w:rsidRPr="007719D8">
        <w:rPr>
          <w:rFonts w:ascii="Times New Roman" w:hAnsi="Times New Roman"/>
          <w:sz w:val="28"/>
          <w:szCs w:val="28"/>
          <w:lang w:val="uk-UA"/>
        </w:rPr>
        <w:t xml:space="preserve"> Існують тисячі модифікацій цієї моделі, але принципово вони не сильно відрізняються від базової моделі. </w:t>
      </w:r>
    </w:p>
    <w:p w:rsidR="004F2506" w:rsidRPr="007719D8" w:rsidRDefault="0061343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Отже, якщо доходи у майбутньому із урахуванням альтернативних можливостей вкладення будуть більшими, ніж поточні можливі доходи, раціональний інвестор має обрати ті доходи, що очікують його у майбутньому. Але також до факторів, що визначають цінність компанії для акціонерів є те, із яким темпом ростуть її грошові потоки. Цей показник впливає також на </w:t>
      </w:r>
      <w:r w:rsidR="009175D3" w:rsidRPr="007719D8">
        <w:rPr>
          <w:rFonts w:ascii="Times New Roman" w:hAnsi="Times New Roman"/>
          <w:sz w:val="28"/>
          <w:szCs w:val="28"/>
          <w:lang w:val="uk-UA"/>
        </w:rPr>
        <w:t>фактор</w:t>
      </w:r>
      <w:r w:rsidRPr="007719D8">
        <w:rPr>
          <w:rFonts w:ascii="Times New Roman" w:hAnsi="Times New Roman"/>
          <w:sz w:val="28"/>
          <w:szCs w:val="28"/>
          <w:lang w:val="uk-UA"/>
        </w:rPr>
        <w:t xml:space="preserve"> у моделі дисконтованого грошового потоку: із більш інтенсивним зростанням доходів компанія буде мати більшу вартість, ніж та, яке показує незначні темпи росту. </w:t>
      </w:r>
    </w:p>
    <w:p w:rsidR="007521FE" w:rsidRPr="007719D8" w:rsidRDefault="00C066F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Після показу принципів оцінки вартості компанії, необхідно перейти до того, як керівництво компанії може максимізувати вартість компанії. Не дивлячись на пріоритетність та необхідність вартісної орієнтації менеджменту компанії, </w:t>
      </w:r>
      <w:r w:rsidR="009175D3" w:rsidRPr="007719D8">
        <w:rPr>
          <w:rFonts w:ascii="Times New Roman" w:hAnsi="Times New Roman"/>
          <w:sz w:val="28"/>
          <w:szCs w:val="28"/>
          <w:lang w:val="en-US"/>
        </w:rPr>
        <w:t>FCF</w:t>
      </w:r>
      <w:r w:rsidR="009175D3" w:rsidRPr="007719D8">
        <w:rPr>
          <w:rFonts w:ascii="Times New Roman" w:hAnsi="Times New Roman"/>
          <w:sz w:val="28"/>
          <w:szCs w:val="28"/>
          <w:lang w:val="uk-UA"/>
        </w:rPr>
        <w:t xml:space="preserve"> </w:t>
      </w:r>
      <w:r w:rsidRPr="007719D8">
        <w:rPr>
          <w:rFonts w:ascii="Times New Roman" w:hAnsi="Times New Roman"/>
          <w:sz w:val="28"/>
          <w:szCs w:val="28"/>
          <w:lang w:val="uk-UA"/>
        </w:rPr>
        <w:t xml:space="preserve">у якості ключового індикатору </w:t>
      </w:r>
      <w:r w:rsidR="003C05D6" w:rsidRPr="007719D8">
        <w:rPr>
          <w:rFonts w:ascii="Times New Roman" w:hAnsi="Times New Roman"/>
          <w:sz w:val="28"/>
          <w:szCs w:val="28"/>
          <w:lang w:val="uk-UA"/>
        </w:rPr>
        <w:t>ефективності (або KPI, Key Performance Indicators)</w:t>
      </w:r>
      <w:r w:rsidRPr="007719D8">
        <w:rPr>
          <w:rFonts w:ascii="Times New Roman" w:hAnsi="Times New Roman"/>
          <w:sz w:val="28"/>
          <w:szCs w:val="28"/>
          <w:lang w:val="uk-UA"/>
        </w:rPr>
        <w:t xml:space="preserve"> важко використовувати через велику кількість факторів, що його утворюють. Для цих цілей необхідно використовувати інші показники.</w:t>
      </w:r>
    </w:p>
    <w:p w:rsidR="001B25F1" w:rsidRDefault="0061343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Для менеджменту компанії, у завдання якого покладено збільшення вартості для акціонерів, корисними будуть такі індикатори</w:t>
      </w:r>
      <w:r w:rsidR="00352A4A" w:rsidRPr="007719D8">
        <w:rPr>
          <w:rFonts w:ascii="Times New Roman" w:hAnsi="Times New Roman"/>
          <w:sz w:val="28"/>
          <w:szCs w:val="28"/>
          <w:lang w:val="uk-UA"/>
        </w:rPr>
        <w:t>, як ROIC</w:t>
      </w:r>
      <w:r w:rsidR="00B90552" w:rsidRPr="007719D8">
        <w:rPr>
          <w:rFonts w:ascii="Times New Roman" w:hAnsi="Times New Roman"/>
          <w:sz w:val="28"/>
          <w:szCs w:val="28"/>
          <w:lang w:val="uk-UA"/>
        </w:rPr>
        <w:t>, ROE</w:t>
      </w:r>
      <w:r w:rsidR="00352A4A" w:rsidRPr="007719D8">
        <w:rPr>
          <w:rFonts w:ascii="Times New Roman" w:hAnsi="Times New Roman"/>
          <w:sz w:val="28"/>
          <w:szCs w:val="28"/>
          <w:lang w:val="uk-UA"/>
        </w:rPr>
        <w:t xml:space="preserve"> та темпи росту доходів компанії</w:t>
      </w:r>
      <w:r w:rsidR="003C05D6" w:rsidRPr="007719D8">
        <w:rPr>
          <w:rFonts w:ascii="Times New Roman" w:hAnsi="Times New Roman"/>
          <w:sz w:val="28"/>
          <w:szCs w:val="28"/>
          <w:lang w:val="uk-UA"/>
        </w:rPr>
        <w:t xml:space="preserve"> та попередніх індикаторів</w:t>
      </w:r>
      <w:r w:rsidR="00352A4A" w:rsidRPr="007719D8">
        <w:rPr>
          <w:rFonts w:ascii="Times New Roman" w:hAnsi="Times New Roman"/>
          <w:sz w:val="28"/>
          <w:szCs w:val="28"/>
          <w:lang w:val="uk-UA"/>
        </w:rPr>
        <w:t xml:space="preserve">. </w:t>
      </w:r>
      <w:r w:rsidR="003C05D6" w:rsidRPr="007719D8">
        <w:rPr>
          <w:rFonts w:ascii="Times New Roman" w:hAnsi="Times New Roman"/>
          <w:sz w:val="28"/>
          <w:szCs w:val="28"/>
          <w:lang w:val="uk-UA"/>
        </w:rPr>
        <w:t xml:space="preserve">Темпи росту тих чи інших показників ефективності компанії найдоцільніше використовувати у ролі порівняльної бази до запланованих темпів росту того чи іншого показника </w:t>
      </w:r>
      <w:r w:rsidR="00352A4A" w:rsidRPr="007719D8">
        <w:rPr>
          <w:rFonts w:ascii="Times New Roman" w:hAnsi="Times New Roman"/>
          <w:sz w:val="28"/>
          <w:szCs w:val="28"/>
          <w:lang w:val="uk-UA"/>
        </w:rPr>
        <w:t xml:space="preserve">Перший </w:t>
      </w:r>
      <w:r w:rsidR="00B90552" w:rsidRPr="007719D8">
        <w:rPr>
          <w:rFonts w:ascii="Times New Roman" w:hAnsi="Times New Roman"/>
          <w:sz w:val="28"/>
          <w:szCs w:val="28"/>
          <w:lang w:val="uk-UA"/>
        </w:rPr>
        <w:t xml:space="preserve">та другий </w:t>
      </w:r>
      <w:r w:rsidR="003C05D6" w:rsidRPr="007719D8">
        <w:rPr>
          <w:rFonts w:ascii="Times New Roman" w:hAnsi="Times New Roman"/>
          <w:sz w:val="28"/>
          <w:szCs w:val="28"/>
          <w:lang w:val="uk-UA"/>
        </w:rPr>
        <w:t>з вказаних індикаторів</w:t>
      </w:r>
      <w:r w:rsidR="007719D8">
        <w:rPr>
          <w:rFonts w:ascii="Times New Roman" w:hAnsi="Times New Roman"/>
          <w:sz w:val="28"/>
          <w:szCs w:val="28"/>
          <w:lang w:val="uk-UA"/>
        </w:rPr>
        <w:t xml:space="preserve"> </w:t>
      </w:r>
      <w:r w:rsidR="00352A4A" w:rsidRPr="007719D8">
        <w:rPr>
          <w:rFonts w:ascii="Times New Roman" w:hAnsi="Times New Roman"/>
          <w:sz w:val="28"/>
          <w:szCs w:val="28"/>
          <w:lang w:val="uk-UA"/>
        </w:rPr>
        <w:t>розраховується, як:</w:t>
      </w:r>
    </w:p>
    <w:p w:rsidR="00736E7A" w:rsidRPr="007719D8" w:rsidRDefault="00736E7A" w:rsidP="007719D8">
      <w:pPr>
        <w:widowControl w:val="0"/>
        <w:spacing w:line="360" w:lineRule="auto"/>
        <w:ind w:firstLine="709"/>
        <w:jc w:val="both"/>
        <w:rPr>
          <w:rFonts w:ascii="Times New Roman" w:hAnsi="Times New Roman"/>
          <w:sz w:val="28"/>
          <w:szCs w:val="28"/>
          <w:lang w:val="uk-UA"/>
        </w:rPr>
      </w:pPr>
    </w:p>
    <w:p w:rsidR="00352A4A" w:rsidRPr="007719D8" w:rsidRDefault="001B25F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3180" w:dyaOrig="620">
          <v:shape id="_x0000_i1028" type="#_x0000_t75" style="width:171.75pt;height:33.75pt" o:ole="">
            <v:imagedata r:id="rId13" o:title=""/>
          </v:shape>
          <o:OLEObject Type="Embed" ProgID="Equation.3" ShapeID="_x0000_i1028" DrawAspect="Content" ObjectID="_1476268272" r:id="rId14"/>
        </w:object>
      </w:r>
      <w:r w:rsidR="007719D8">
        <w:rPr>
          <w:rFonts w:ascii="Times New Roman" w:hAnsi="Times New Roman"/>
          <w:sz w:val="28"/>
          <w:szCs w:val="28"/>
          <w:lang w:val="uk-UA"/>
        </w:rPr>
        <w:t xml:space="preserve"> </w:t>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t>(2)</w:t>
      </w:r>
    </w:p>
    <w:p w:rsidR="00736E7A" w:rsidRDefault="00736E7A" w:rsidP="007719D8">
      <w:pPr>
        <w:widowControl w:val="0"/>
        <w:spacing w:line="360" w:lineRule="auto"/>
        <w:ind w:firstLine="709"/>
        <w:jc w:val="both"/>
        <w:rPr>
          <w:rFonts w:ascii="Times New Roman" w:hAnsi="Times New Roman"/>
          <w:sz w:val="28"/>
          <w:szCs w:val="28"/>
          <w:lang w:val="uk-UA"/>
        </w:rPr>
      </w:pPr>
    </w:p>
    <w:p w:rsidR="00653DA4" w:rsidRPr="007719D8" w:rsidRDefault="00653DA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NOPLAT — чистий прибуток та сплачені відсотки за довгостроковими кредитами та емітованими компанією облігаціями.</w:t>
      </w:r>
    </w:p>
    <w:p w:rsidR="00653DA4" w:rsidRPr="007719D8" w:rsidRDefault="00653DA4" w:rsidP="007719D8">
      <w:pPr>
        <w:widowControl w:val="0"/>
        <w:spacing w:line="360" w:lineRule="auto"/>
        <w:ind w:firstLine="709"/>
        <w:jc w:val="both"/>
        <w:rPr>
          <w:rFonts w:ascii="Times New Roman" w:hAnsi="Times New Roman"/>
          <w:sz w:val="28"/>
          <w:szCs w:val="28"/>
          <w:lang w:val="uk-UA"/>
        </w:rPr>
      </w:pPr>
    </w:p>
    <w:p w:rsidR="00B90552" w:rsidRPr="007719D8" w:rsidRDefault="001B25F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2680" w:dyaOrig="660">
          <v:shape id="_x0000_i1029" type="#_x0000_t75" style="width:136.5pt;height:33.75pt" o:ole="">
            <v:imagedata r:id="rId15" o:title=""/>
          </v:shape>
          <o:OLEObject Type="Embed" ProgID="Equation.3" ShapeID="_x0000_i1029" DrawAspect="Content" ObjectID="_1476268273" r:id="rId16"/>
        </w:object>
      </w:r>
      <w:r w:rsidR="007719D8">
        <w:rPr>
          <w:rFonts w:ascii="Times New Roman" w:hAnsi="Times New Roman"/>
          <w:sz w:val="28"/>
          <w:szCs w:val="28"/>
          <w:lang w:val="uk-UA"/>
        </w:rPr>
        <w:t xml:space="preserve"> </w:t>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B90552" w:rsidRPr="007719D8">
        <w:rPr>
          <w:rFonts w:ascii="Times New Roman" w:hAnsi="Times New Roman"/>
          <w:sz w:val="28"/>
          <w:szCs w:val="28"/>
          <w:lang w:val="uk-UA"/>
        </w:rPr>
        <w:t>(</w:t>
      </w:r>
      <w:r w:rsidR="00F40493" w:rsidRPr="007719D8">
        <w:rPr>
          <w:rFonts w:ascii="Times New Roman" w:hAnsi="Times New Roman"/>
          <w:sz w:val="28"/>
          <w:szCs w:val="28"/>
          <w:lang w:val="uk-UA"/>
        </w:rPr>
        <w:t>3</w:t>
      </w:r>
      <w:r w:rsidR="00B90552" w:rsidRPr="007719D8">
        <w:rPr>
          <w:rFonts w:ascii="Times New Roman" w:hAnsi="Times New Roman"/>
          <w:sz w:val="28"/>
          <w:szCs w:val="28"/>
          <w:lang w:val="uk-UA"/>
        </w:rPr>
        <w:t>)</w:t>
      </w:r>
    </w:p>
    <w:p w:rsidR="00653DA4" w:rsidRPr="007719D8" w:rsidRDefault="00653DA4" w:rsidP="007719D8">
      <w:pPr>
        <w:widowControl w:val="0"/>
        <w:spacing w:line="360" w:lineRule="auto"/>
        <w:ind w:firstLine="709"/>
        <w:jc w:val="both"/>
        <w:rPr>
          <w:rFonts w:ascii="Times New Roman" w:hAnsi="Times New Roman"/>
          <w:sz w:val="28"/>
          <w:szCs w:val="28"/>
          <w:lang w:val="uk-UA"/>
        </w:rPr>
      </w:pPr>
    </w:p>
    <w:p w:rsidR="00F40493" w:rsidRPr="007719D8" w:rsidRDefault="003C05D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Для деталізації показників корисним буде структурування їх на окремі компоненти, що безпосередньо формують показники ROIC та ROE</w:t>
      </w:r>
      <w:r w:rsidR="000C2324" w:rsidRPr="007719D8">
        <w:rPr>
          <w:rFonts w:ascii="Times New Roman" w:hAnsi="Times New Roman"/>
          <w:sz w:val="28"/>
          <w:szCs w:val="28"/>
          <w:lang w:val="uk-UA"/>
        </w:rPr>
        <w:t xml:space="preserve"> та показують їх безпосередню участь у створенні вартості компанії</w:t>
      </w:r>
      <w:r w:rsidR="005B1AAC" w:rsidRPr="007719D8">
        <w:rPr>
          <w:rFonts w:ascii="Times New Roman" w:hAnsi="Times New Roman"/>
          <w:sz w:val="28"/>
          <w:szCs w:val="28"/>
          <w:lang w:val="uk-UA"/>
        </w:rPr>
        <w:t>. П</w:t>
      </w:r>
      <w:r w:rsidRPr="007719D8">
        <w:rPr>
          <w:rFonts w:ascii="Times New Roman" w:hAnsi="Times New Roman"/>
          <w:sz w:val="28"/>
          <w:szCs w:val="28"/>
          <w:lang w:val="uk-UA"/>
        </w:rPr>
        <w:t>рик</w:t>
      </w:r>
      <w:r w:rsidR="00D15118" w:rsidRPr="007719D8">
        <w:rPr>
          <w:rFonts w:ascii="Times New Roman" w:hAnsi="Times New Roman"/>
          <w:sz w:val="28"/>
          <w:szCs w:val="28"/>
          <w:lang w:val="uk-UA"/>
        </w:rPr>
        <w:t>лад для ROIC наведено нижче на м</w:t>
      </w:r>
      <w:r w:rsidRPr="007719D8">
        <w:rPr>
          <w:rFonts w:ascii="Times New Roman" w:hAnsi="Times New Roman"/>
          <w:sz w:val="28"/>
          <w:szCs w:val="28"/>
          <w:lang w:val="uk-UA"/>
        </w:rPr>
        <w:t>алюнку 2.1.:</w:t>
      </w:r>
    </w:p>
    <w:p w:rsidR="005B1AAC" w:rsidRDefault="005B1AAC" w:rsidP="007719D8">
      <w:pPr>
        <w:widowControl w:val="0"/>
        <w:spacing w:line="360" w:lineRule="auto"/>
        <w:ind w:firstLine="709"/>
        <w:jc w:val="both"/>
        <w:rPr>
          <w:rFonts w:ascii="Times New Roman" w:hAnsi="Times New Roman"/>
          <w:sz w:val="28"/>
          <w:szCs w:val="28"/>
          <w:lang w:val="uk-UA"/>
        </w:rPr>
      </w:pPr>
    </w:p>
    <w:p w:rsidR="00736E7A" w:rsidRDefault="00736E7A">
      <w:pPr>
        <w:spacing w:line="240" w:lineRule="auto"/>
        <w:rPr>
          <w:rFonts w:ascii="Times New Roman" w:hAnsi="Times New Roman"/>
          <w:sz w:val="28"/>
          <w:szCs w:val="28"/>
          <w:lang w:val="uk-UA"/>
        </w:rPr>
      </w:pPr>
      <w:r>
        <w:rPr>
          <w:rFonts w:ascii="Times New Roman" w:hAnsi="Times New Roman"/>
          <w:sz w:val="28"/>
          <w:szCs w:val="28"/>
          <w:lang w:val="uk-UA"/>
        </w:rPr>
        <w:br w:type="page"/>
      </w:r>
    </w:p>
    <w:p w:rsidR="00D15118" w:rsidRPr="007719D8" w:rsidRDefault="000C00DE"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rPr>
        <w:object w:dxaOrig="8758" w:dyaOrig="3967">
          <v:shape id="_x0000_i1030" type="#_x0000_t75" style="width:433.5pt;height:196.5pt" o:ole="">
            <v:imagedata r:id="rId17" o:title=""/>
          </v:shape>
          <o:OLEObject Type="Embed" ProgID="Visio.Drawing.11" ShapeID="_x0000_i1030" DrawAspect="Content" ObjectID="_1476268274" r:id="rId18"/>
        </w:object>
      </w:r>
    </w:p>
    <w:p w:rsidR="009C1AF5" w:rsidRPr="007719D8" w:rsidRDefault="003C6A3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Рис. 2.1 — </w:t>
      </w:r>
      <w:r w:rsidR="009C1AF5" w:rsidRPr="007719D8">
        <w:rPr>
          <w:rFonts w:ascii="Times New Roman" w:hAnsi="Times New Roman"/>
          <w:sz w:val="28"/>
          <w:szCs w:val="28"/>
          <w:lang w:val="uk-UA"/>
        </w:rPr>
        <w:t>Дерево вартості компанії</w:t>
      </w:r>
    </w:p>
    <w:p w:rsidR="001B25F1" w:rsidRPr="007719D8" w:rsidRDefault="001B25F1" w:rsidP="007719D8">
      <w:pPr>
        <w:widowControl w:val="0"/>
        <w:spacing w:line="360" w:lineRule="auto"/>
        <w:ind w:firstLine="709"/>
        <w:jc w:val="both"/>
        <w:rPr>
          <w:rFonts w:ascii="Times New Roman" w:hAnsi="Times New Roman"/>
          <w:sz w:val="28"/>
          <w:szCs w:val="28"/>
          <w:lang w:val="uk-UA"/>
        </w:rPr>
      </w:pPr>
    </w:p>
    <w:p w:rsidR="00150D27" w:rsidRPr="007719D8" w:rsidRDefault="002860C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Як бачимо, кожна наступна гілка дерева вартості виділяє у кожному окремому факторі, що формує вартість, декілька факторів, що фор</w:t>
      </w:r>
      <w:r w:rsidR="001B25F1" w:rsidRPr="007719D8">
        <w:rPr>
          <w:rFonts w:ascii="Times New Roman" w:hAnsi="Times New Roman"/>
          <w:sz w:val="28"/>
          <w:szCs w:val="28"/>
          <w:lang w:val="uk-UA"/>
        </w:rPr>
        <w:t>м</w:t>
      </w:r>
      <w:r w:rsidRPr="007719D8">
        <w:rPr>
          <w:rFonts w:ascii="Times New Roman" w:hAnsi="Times New Roman"/>
          <w:sz w:val="28"/>
          <w:szCs w:val="28"/>
          <w:lang w:val="uk-UA"/>
        </w:rPr>
        <w:t>ують останній</w:t>
      </w:r>
      <w:r w:rsidR="009175D3" w:rsidRPr="007719D8">
        <w:rPr>
          <w:rFonts w:ascii="Times New Roman" w:hAnsi="Times New Roman"/>
          <w:sz w:val="28"/>
          <w:szCs w:val="28"/>
          <w:lang w:val="uk-UA"/>
        </w:rPr>
        <w:t>. Відповідно, кожний показник має бути закріплений за одним чи декількома підрозділами</w:t>
      </w:r>
      <w:r w:rsidRPr="007719D8">
        <w:rPr>
          <w:rFonts w:ascii="Times New Roman" w:hAnsi="Times New Roman"/>
          <w:sz w:val="28"/>
          <w:szCs w:val="28"/>
          <w:lang w:val="uk-UA"/>
        </w:rPr>
        <w:t xml:space="preserve">. </w:t>
      </w:r>
      <w:r w:rsidR="00913C2B" w:rsidRPr="007719D8">
        <w:rPr>
          <w:rFonts w:ascii="Times New Roman" w:hAnsi="Times New Roman"/>
          <w:sz w:val="28"/>
          <w:szCs w:val="28"/>
          <w:lang w:val="uk-UA"/>
        </w:rPr>
        <w:t>У процесі формування набору нормативів слід використовувати не тільки фінансові показники, але і набір операційних індикаторів, що є характерними для того чи іншого підрозділу компанії. Це необхідно через відсутність у операційних менеджерів та рядових співробітників важелів безпосереднього впливу на фінансові показники діяльності, але наявність операційних показників дозволяє менеджерам управляти саме ними. Операційні показники впливають на фінансові, що узгоджує процес управління вартістю компанією. Кількість показників має бути невеликою – оптимальним є 10-14 показників-індикаторів.</w:t>
      </w:r>
    </w:p>
    <w:p w:rsidR="00150D27" w:rsidRPr="007719D8" w:rsidRDefault="00150D2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Ще однією категорією показників, які дозволяють оцінити роботу менеджменту компанії, є група показників, що засновані на ринкових цінах акцій компанії</w:t>
      </w:r>
      <w:r w:rsidR="00A03F68" w:rsidRPr="007719D8">
        <w:rPr>
          <w:rFonts w:ascii="Times New Roman" w:hAnsi="Times New Roman"/>
          <w:sz w:val="28"/>
          <w:szCs w:val="28"/>
          <w:lang w:val="uk-UA"/>
        </w:rPr>
        <w:t xml:space="preserve">. Найбільш уживаними є показники MVA (market </w:t>
      </w:r>
      <w:r w:rsidR="00293A28" w:rsidRPr="007719D8">
        <w:rPr>
          <w:rFonts w:ascii="Times New Roman" w:hAnsi="Times New Roman"/>
          <w:sz w:val="28"/>
          <w:szCs w:val="28"/>
          <w:lang w:val="uk-UA"/>
        </w:rPr>
        <w:t>value added, ринкова додана вартість</w:t>
      </w:r>
      <w:r w:rsidR="00A03F68" w:rsidRPr="007719D8">
        <w:rPr>
          <w:rFonts w:ascii="Times New Roman" w:hAnsi="Times New Roman"/>
          <w:sz w:val="28"/>
          <w:szCs w:val="28"/>
          <w:lang w:val="uk-UA"/>
        </w:rPr>
        <w:t xml:space="preserve">) </w:t>
      </w:r>
      <w:r w:rsidR="009175D3" w:rsidRPr="007719D8">
        <w:rPr>
          <w:rFonts w:ascii="Times New Roman" w:hAnsi="Times New Roman"/>
          <w:sz w:val="28"/>
          <w:szCs w:val="28"/>
          <w:lang w:val="uk-UA"/>
        </w:rPr>
        <w:t xml:space="preserve">та </w:t>
      </w:r>
      <w:r w:rsidR="00A03F68" w:rsidRPr="007719D8">
        <w:rPr>
          <w:rFonts w:ascii="Times New Roman" w:hAnsi="Times New Roman"/>
          <w:sz w:val="28"/>
          <w:szCs w:val="28"/>
          <w:lang w:val="uk-UA"/>
        </w:rPr>
        <w:t>TRS</w:t>
      </w:r>
      <w:r w:rsidR="00293A28" w:rsidRPr="007719D8">
        <w:rPr>
          <w:rFonts w:ascii="Times New Roman" w:hAnsi="Times New Roman"/>
          <w:sz w:val="28"/>
          <w:szCs w:val="28"/>
          <w:lang w:val="uk-UA"/>
        </w:rPr>
        <w:t xml:space="preserve"> (total return for shareholders, загальна дохідність для акціонерів). Розрахунок показників проводиться наступним чином:</w:t>
      </w:r>
    </w:p>
    <w:p w:rsidR="00736E7A" w:rsidRDefault="00736E7A">
      <w:pPr>
        <w:spacing w:line="240" w:lineRule="auto"/>
        <w:rPr>
          <w:rFonts w:ascii="Times New Roman" w:hAnsi="Times New Roman"/>
          <w:sz w:val="28"/>
          <w:szCs w:val="28"/>
          <w:lang w:val="uk-UA"/>
        </w:rPr>
      </w:pPr>
      <w:r>
        <w:rPr>
          <w:rFonts w:ascii="Times New Roman" w:hAnsi="Times New Roman"/>
          <w:sz w:val="28"/>
          <w:szCs w:val="28"/>
          <w:lang w:val="uk-UA"/>
        </w:rPr>
        <w:br w:type="page"/>
      </w:r>
    </w:p>
    <w:p w:rsidR="00921D2F" w:rsidRPr="007719D8" w:rsidRDefault="00DE176D"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7060" w:dyaOrig="320">
          <v:shape id="_x0000_i1031" type="#_x0000_t75" style="width:328.5pt;height:15pt" o:ole="">
            <v:imagedata r:id="rId19" o:title=""/>
          </v:shape>
          <o:OLEObject Type="Embed" ProgID="Equation.3" ShapeID="_x0000_i1031" DrawAspect="Content" ObjectID="_1476268275" r:id="rId20"/>
        </w:object>
      </w:r>
      <w:r w:rsidR="007719D8">
        <w:rPr>
          <w:rFonts w:ascii="Times New Roman" w:hAnsi="Times New Roman"/>
          <w:sz w:val="28"/>
          <w:szCs w:val="28"/>
          <w:lang w:val="uk-UA"/>
        </w:rPr>
        <w:t xml:space="preserve"> </w:t>
      </w:r>
      <w:r w:rsidR="00736E7A">
        <w:rPr>
          <w:rFonts w:ascii="Times New Roman" w:hAnsi="Times New Roman"/>
          <w:sz w:val="28"/>
          <w:szCs w:val="28"/>
          <w:lang w:val="uk-UA"/>
        </w:rPr>
        <w:tab/>
      </w:r>
      <w:r w:rsidR="00736E7A">
        <w:rPr>
          <w:rFonts w:ascii="Times New Roman" w:hAnsi="Times New Roman"/>
          <w:sz w:val="28"/>
          <w:szCs w:val="28"/>
          <w:lang w:val="uk-UA"/>
        </w:rPr>
        <w:tab/>
      </w:r>
      <w:r w:rsidR="00293A28" w:rsidRPr="007719D8">
        <w:rPr>
          <w:rFonts w:ascii="Times New Roman" w:hAnsi="Times New Roman"/>
          <w:sz w:val="28"/>
          <w:szCs w:val="28"/>
          <w:lang w:val="uk-UA"/>
        </w:rPr>
        <w:t>(4)</w:t>
      </w:r>
    </w:p>
    <w:p w:rsidR="00293A28" w:rsidRPr="007719D8" w:rsidRDefault="00921D2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2040" w:dyaOrig="700">
          <v:shape id="_x0000_i1032" type="#_x0000_t75" style="width:104.25pt;height:34.5pt" o:ole="">
            <v:imagedata r:id="rId21" o:title=""/>
          </v:shape>
          <o:OLEObject Type="Embed" ProgID="Equation.3" ShapeID="_x0000_i1032" DrawAspect="Content" ObjectID="_1476268276" r:id="rId22"/>
        </w:object>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736E7A">
        <w:rPr>
          <w:rFonts w:ascii="Times New Roman" w:hAnsi="Times New Roman"/>
          <w:sz w:val="28"/>
          <w:szCs w:val="28"/>
          <w:lang w:val="uk-UA"/>
        </w:rPr>
        <w:tab/>
      </w:r>
      <w:r w:rsidR="00293A28" w:rsidRPr="007719D8">
        <w:rPr>
          <w:rFonts w:ascii="Times New Roman" w:hAnsi="Times New Roman"/>
          <w:sz w:val="28"/>
          <w:szCs w:val="28"/>
          <w:lang w:val="uk-UA"/>
        </w:rPr>
        <w:t>(</w:t>
      </w:r>
      <w:r w:rsidR="00E84DFE" w:rsidRPr="007719D8">
        <w:rPr>
          <w:rFonts w:ascii="Times New Roman" w:hAnsi="Times New Roman"/>
          <w:sz w:val="28"/>
          <w:szCs w:val="28"/>
          <w:lang w:val="uk-UA"/>
        </w:rPr>
        <w:t>5</w:t>
      </w:r>
      <w:r w:rsidR="00293A28" w:rsidRPr="007719D8">
        <w:rPr>
          <w:rFonts w:ascii="Times New Roman" w:hAnsi="Times New Roman"/>
          <w:sz w:val="28"/>
          <w:szCs w:val="28"/>
          <w:lang w:val="uk-UA"/>
        </w:rPr>
        <w:t>)</w:t>
      </w:r>
    </w:p>
    <w:p w:rsidR="00736E7A" w:rsidRDefault="00736E7A" w:rsidP="007719D8">
      <w:pPr>
        <w:widowControl w:val="0"/>
        <w:spacing w:line="360" w:lineRule="auto"/>
        <w:ind w:firstLine="709"/>
        <w:jc w:val="both"/>
        <w:rPr>
          <w:rFonts w:ascii="Times New Roman" w:hAnsi="Times New Roman"/>
          <w:sz w:val="28"/>
          <w:szCs w:val="28"/>
          <w:lang w:val="uk-UA"/>
        </w:rPr>
      </w:pPr>
    </w:p>
    <w:p w:rsidR="00921D2F" w:rsidRPr="007719D8" w:rsidRDefault="00921D2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P</w:t>
      </w:r>
      <w:r w:rsidRPr="007719D8">
        <w:rPr>
          <w:rFonts w:ascii="Times New Roman" w:hAnsi="Times New Roman"/>
          <w:sz w:val="28"/>
          <w:szCs w:val="28"/>
          <w:vertAlign w:val="subscript"/>
          <w:lang w:val="en-US"/>
        </w:rPr>
        <w:t>t</w:t>
      </w:r>
      <w:r w:rsidRPr="007719D8">
        <w:rPr>
          <w:rFonts w:ascii="Times New Roman" w:hAnsi="Times New Roman"/>
          <w:sz w:val="28"/>
          <w:szCs w:val="28"/>
          <w:lang w:val="uk-UA"/>
        </w:rPr>
        <w:t xml:space="preserve"> та P</w:t>
      </w:r>
      <w:r w:rsidRPr="007719D8">
        <w:rPr>
          <w:rFonts w:ascii="Times New Roman" w:hAnsi="Times New Roman"/>
          <w:sz w:val="28"/>
          <w:szCs w:val="28"/>
          <w:vertAlign w:val="subscript"/>
          <w:lang w:val="en-US"/>
        </w:rPr>
        <w:t>t</w:t>
      </w:r>
      <w:r w:rsidRPr="007719D8">
        <w:rPr>
          <w:rFonts w:ascii="Times New Roman" w:hAnsi="Times New Roman"/>
          <w:sz w:val="28"/>
          <w:szCs w:val="28"/>
          <w:vertAlign w:val="subscript"/>
        </w:rPr>
        <w:t>-1</w:t>
      </w:r>
      <w:r w:rsidR="007719D8">
        <w:rPr>
          <w:rFonts w:ascii="Times New Roman" w:hAnsi="Times New Roman"/>
          <w:sz w:val="28"/>
          <w:szCs w:val="28"/>
        </w:rPr>
        <w:t xml:space="preserve"> </w:t>
      </w:r>
      <w:r w:rsidRPr="007719D8">
        <w:rPr>
          <w:rFonts w:ascii="Times New Roman" w:hAnsi="Times New Roman"/>
          <w:sz w:val="28"/>
          <w:szCs w:val="28"/>
        </w:rPr>
        <w:t>—</w:t>
      </w:r>
      <w:r w:rsidRPr="007719D8">
        <w:rPr>
          <w:rFonts w:ascii="Times New Roman" w:hAnsi="Times New Roman"/>
          <w:sz w:val="28"/>
          <w:szCs w:val="28"/>
          <w:lang w:val="uk-UA"/>
        </w:rPr>
        <w:t xml:space="preserve"> ринкова ціна акції компанії у поточному та базисному періоді відповідно;</w:t>
      </w:r>
    </w:p>
    <w:p w:rsidR="00921D2F" w:rsidRPr="007719D8" w:rsidRDefault="00921D2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D — дивіденди, що було сплачені за період.</w:t>
      </w:r>
    </w:p>
    <w:p w:rsidR="00293A28" w:rsidRPr="007719D8" w:rsidRDefault="00E84DF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TRS, таким чином, показує, який приріст цінності змогли отримати акціонери компанії за той чи інший період. Звичайно для оцінки цього показника беруть період у 1 рік, а для виявлення тенденцій по показнику – інтервал у 3 роки. Щодо MVA, цей показник є аналогом коефіцієнта Р/В (price/book, ринкова ціна акції/номінальна вартість акції).</w:t>
      </w:r>
    </w:p>
    <w:p w:rsidR="003C05D6" w:rsidRPr="007719D8" w:rsidRDefault="00E84DF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Особливістю MVA є те, що він показує очікування ринку стосовно перспектив компанії, дає змогу оцінити здатність менеджменту компанії оправдати ці очікування. Всі більш-менш значні зміни у менеджменті компанії, структурі доходів та витрат, інформація про інвестиції у той чи інший проект та зміни у зовнішній сфері факторів знаходять відображення у коливанні ринкової вартості акцій компанії. Незважаючи на те, що фондовий ринок не обов’язково є абсолютно ефективним</w:t>
      </w:r>
      <w:r w:rsidR="00653DA4" w:rsidRPr="007719D8">
        <w:rPr>
          <w:rFonts w:ascii="Times New Roman" w:hAnsi="Times New Roman"/>
          <w:sz w:val="28"/>
          <w:szCs w:val="28"/>
          <w:lang w:val="uk-UA"/>
        </w:rPr>
        <w:t>, він здатний у повній мірі оцінити реальну вартість компанії та передбачити її перспективи, вносячи корективи у ціну акції компанії.</w:t>
      </w:r>
    </w:p>
    <w:p w:rsidR="0088710B" w:rsidRPr="007719D8" w:rsidRDefault="00E50F9F"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Розглянемо тепер процес інтеграції вартісного мислення у загальну систему цінностей організації. </w:t>
      </w:r>
      <w:r w:rsidR="0088710B" w:rsidRPr="007719D8">
        <w:rPr>
          <w:rFonts w:ascii="Times New Roman" w:hAnsi="Times New Roman"/>
          <w:sz w:val="28"/>
          <w:szCs w:val="28"/>
          <w:lang w:val="uk-UA"/>
        </w:rPr>
        <w:t xml:space="preserve">Зміна параметрів стратегічних пріоритетів компанії у процесі переходу на вартісне управління є першим, що має зробити компанія для цього переходу. Для </w:t>
      </w:r>
      <w:r w:rsidR="00921D2F" w:rsidRPr="007719D8">
        <w:rPr>
          <w:rFonts w:ascii="Times New Roman" w:hAnsi="Times New Roman"/>
          <w:sz w:val="28"/>
          <w:szCs w:val="28"/>
          <w:lang w:val="uk-UA"/>
        </w:rPr>
        <w:t>нормального</w:t>
      </w:r>
      <w:r w:rsidR="0088710B" w:rsidRPr="007719D8">
        <w:rPr>
          <w:rFonts w:ascii="Times New Roman" w:hAnsi="Times New Roman"/>
          <w:sz w:val="28"/>
          <w:szCs w:val="28"/>
          <w:lang w:val="uk-UA"/>
        </w:rPr>
        <w:t xml:space="preserve"> просунення змін у компанії безпосередньо менеджмент компанії має показати прикладом свою віру у нові пріоритети та не уклонятись від корекції своїх рішень, що призведуть </w:t>
      </w:r>
      <w:r w:rsidR="009175D3" w:rsidRPr="007719D8">
        <w:rPr>
          <w:rFonts w:ascii="Times New Roman" w:hAnsi="Times New Roman"/>
          <w:sz w:val="28"/>
          <w:szCs w:val="28"/>
          <w:lang w:val="uk-UA"/>
        </w:rPr>
        <w:t>д</w:t>
      </w:r>
      <w:r w:rsidR="0088710B" w:rsidRPr="007719D8">
        <w:rPr>
          <w:rFonts w:ascii="Times New Roman" w:hAnsi="Times New Roman"/>
          <w:sz w:val="28"/>
          <w:szCs w:val="28"/>
          <w:lang w:val="uk-UA"/>
        </w:rPr>
        <w:t>о створення більшої вартості, у разі непопулярності таких рішень або їх негативного впливу на короткострокові результати діяльності компанії. Прикладом таких рішень може бути збільшення видатків на НДОКР чи відмову від партнерства з контрагентами, у разі якщо зміна зв’язків приведе до додаткової економії та покращенню діяльності компанії.</w:t>
      </w:r>
      <w:r w:rsidR="007719D8">
        <w:rPr>
          <w:rFonts w:ascii="Times New Roman" w:hAnsi="Times New Roman"/>
          <w:sz w:val="28"/>
          <w:szCs w:val="28"/>
          <w:lang w:val="uk-UA"/>
        </w:rPr>
        <w:t xml:space="preserve"> </w:t>
      </w:r>
      <w:r w:rsidR="005E553E" w:rsidRPr="007719D8">
        <w:rPr>
          <w:rFonts w:ascii="Times New Roman" w:hAnsi="Times New Roman"/>
          <w:sz w:val="28"/>
          <w:szCs w:val="28"/>
          <w:lang w:val="uk-UA"/>
        </w:rPr>
        <w:t>Слід зауважити, що у</w:t>
      </w:r>
      <w:r w:rsidR="0088710B" w:rsidRPr="007719D8">
        <w:rPr>
          <w:rFonts w:ascii="Times New Roman" w:hAnsi="Times New Roman"/>
          <w:sz w:val="28"/>
          <w:szCs w:val="28"/>
          <w:lang w:val="uk-UA"/>
        </w:rPr>
        <w:t xml:space="preserve"> процесі управління менеджмент може зробити для себе деякі допуски, які дозволять не </w:t>
      </w:r>
      <w:r w:rsidR="005E553E" w:rsidRPr="007719D8">
        <w:rPr>
          <w:rFonts w:ascii="Times New Roman" w:hAnsi="Times New Roman"/>
          <w:sz w:val="28"/>
          <w:szCs w:val="28"/>
          <w:lang w:val="uk-UA"/>
        </w:rPr>
        <w:t xml:space="preserve">одразу </w:t>
      </w:r>
      <w:r w:rsidR="0088710B" w:rsidRPr="007719D8">
        <w:rPr>
          <w:rFonts w:ascii="Times New Roman" w:hAnsi="Times New Roman"/>
          <w:sz w:val="28"/>
          <w:szCs w:val="28"/>
          <w:lang w:val="uk-UA"/>
        </w:rPr>
        <w:t>кардин</w:t>
      </w:r>
      <w:r w:rsidR="005E553E" w:rsidRPr="007719D8">
        <w:rPr>
          <w:rFonts w:ascii="Times New Roman" w:hAnsi="Times New Roman"/>
          <w:sz w:val="28"/>
          <w:szCs w:val="28"/>
          <w:lang w:val="uk-UA"/>
        </w:rPr>
        <w:t>ально змінювати ситуацію</w:t>
      </w:r>
      <w:r w:rsidR="0088710B" w:rsidRPr="007719D8">
        <w:rPr>
          <w:rFonts w:ascii="Times New Roman" w:hAnsi="Times New Roman"/>
          <w:sz w:val="28"/>
          <w:szCs w:val="28"/>
          <w:lang w:val="uk-UA"/>
        </w:rPr>
        <w:t xml:space="preserve">, але діяти у контексті нових </w:t>
      </w:r>
      <w:r w:rsidR="005E553E" w:rsidRPr="007719D8">
        <w:rPr>
          <w:rFonts w:ascii="Times New Roman" w:hAnsi="Times New Roman"/>
          <w:sz w:val="28"/>
          <w:szCs w:val="28"/>
          <w:lang w:val="uk-UA"/>
        </w:rPr>
        <w:t>цінностей. Це дозволить уникнути зайвої турбулентності для компанії та не створювати стресових ситуації.</w:t>
      </w:r>
    </w:p>
    <w:p w:rsidR="005E553E" w:rsidRPr="007719D8" w:rsidRDefault="005E553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Ще одним із необхідним факторів, який має враховувати менеджмент компанії у процесі внесення змін до стратегічних пріоритетів, це особливості організаційної структури компанії. </w:t>
      </w:r>
      <w:r w:rsidR="006943CC" w:rsidRPr="007719D8">
        <w:rPr>
          <w:rFonts w:ascii="Times New Roman" w:hAnsi="Times New Roman"/>
          <w:sz w:val="28"/>
          <w:szCs w:val="28"/>
          <w:lang w:val="uk-UA"/>
        </w:rPr>
        <w:t>Не існує однієї універсальної організаційної структури, реструктуризація старої ме</w:t>
      </w:r>
      <w:r w:rsidR="00921D2F" w:rsidRPr="007719D8">
        <w:rPr>
          <w:rFonts w:ascii="Times New Roman" w:hAnsi="Times New Roman"/>
          <w:sz w:val="28"/>
          <w:szCs w:val="28"/>
          <w:lang w:val="uk-UA"/>
        </w:rPr>
        <w:t>ханістичної структури до органі</w:t>
      </w:r>
      <w:r w:rsidR="006943CC" w:rsidRPr="007719D8">
        <w:rPr>
          <w:rFonts w:ascii="Times New Roman" w:hAnsi="Times New Roman"/>
          <w:sz w:val="28"/>
          <w:szCs w:val="28"/>
          <w:lang w:val="uk-UA"/>
        </w:rPr>
        <w:t xml:space="preserve">стичної також не буде панацеєю у розвитку компанії. </w:t>
      </w:r>
      <w:r w:rsidR="00E65685" w:rsidRPr="007719D8">
        <w:rPr>
          <w:rFonts w:ascii="Times New Roman" w:hAnsi="Times New Roman"/>
          <w:sz w:val="28"/>
          <w:szCs w:val="28"/>
          <w:lang w:val="uk-UA"/>
        </w:rPr>
        <w:t xml:space="preserve">Необов’язковою буде </w:t>
      </w:r>
      <w:r w:rsidR="006943CC" w:rsidRPr="007719D8">
        <w:rPr>
          <w:rFonts w:ascii="Times New Roman" w:hAnsi="Times New Roman"/>
          <w:sz w:val="28"/>
          <w:szCs w:val="28"/>
          <w:lang w:val="uk-UA"/>
        </w:rPr>
        <w:t>глибока</w:t>
      </w:r>
      <w:r w:rsidR="00E65685" w:rsidRPr="007719D8">
        <w:rPr>
          <w:rFonts w:ascii="Times New Roman" w:hAnsi="Times New Roman"/>
          <w:sz w:val="28"/>
          <w:szCs w:val="28"/>
          <w:lang w:val="uk-UA"/>
        </w:rPr>
        <w:t xml:space="preserve"> реструктуризація компанії, але необхідним буде урегулювання деяких важливих характеристик організаційної структури компанії, що переходить на вартісну орієнтацію. </w:t>
      </w:r>
      <w:r w:rsidR="005C04AD" w:rsidRPr="007719D8">
        <w:rPr>
          <w:rFonts w:ascii="Times New Roman" w:hAnsi="Times New Roman"/>
          <w:sz w:val="28"/>
          <w:szCs w:val="28"/>
          <w:lang w:val="uk-UA"/>
        </w:rPr>
        <w:t>Першою з характеристик</w:t>
      </w:r>
      <w:r w:rsidR="00E65685" w:rsidRPr="007719D8">
        <w:rPr>
          <w:rFonts w:ascii="Times New Roman" w:hAnsi="Times New Roman"/>
          <w:sz w:val="28"/>
          <w:szCs w:val="28"/>
          <w:lang w:val="uk-UA"/>
        </w:rPr>
        <w:t xml:space="preserve"> є розподіл відповідальності між виконавцями того</w:t>
      </w:r>
      <w:r w:rsidR="00CB134C" w:rsidRPr="007719D8">
        <w:rPr>
          <w:rFonts w:ascii="Times New Roman" w:hAnsi="Times New Roman"/>
          <w:sz w:val="28"/>
          <w:szCs w:val="28"/>
          <w:lang w:val="uk-UA"/>
        </w:rPr>
        <w:t xml:space="preserve"> чи іншого проекту або завдання. Відсутність такого розподілу унеможливлює контроль за виконанням нормативів, вкладом кожного підрозділу до кінцевих результатів діяльності компанії. </w:t>
      </w:r>
      <w:r w:rsidR="005C04AD" w:rsidRPr="007719D8">
        <w:rPr>
          <w:rFonts w:ascii="Times New Roman" w:hAnsi="Times New Roman"/>
          <w:sz w:val="28"/>
          <w:szCs w:val="28"/>
          <w:lang w:val="uk-UA"/>
        </w:rPr>
        <w:t xml:space="preserve">Також важливим є урегулювання координації дій елементів організаційної структури у відповідності до загальних для фірми цінностей та цілей компанії, це є необхідних для направлення всіх векторів діяльності до одного напрямку — мети організації та усунення можливих конфліктів міжгрупового типу між окремими ланками структури. </w:t>
      </w:r>
    </w:p>
    <w:p w:rsidR="00EE1DA8" w:rsidRDefault="00CB134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Переорієнтація компанія до зміни пріоритетів, оновлення системи ключових показників діяльності, перерозподіл у організаційній структурі — все це потребує досить довгою роботи. Перші позитивні результаті у вигляді випередження</w:t>
      </w:r>
      <w:r w:rsidR="007719D8">
        <w:rPr>
          <w:rFonts w:ascii="Times New Roman" w:hAnsi="Times New Roman"/>
          <w:sz w:val="28"/>
          <w:szCs w:val="28"/>
          <w:lang w:val="uk-UA"/>
        </w:rPr>
        <w:t xml:space="preserve"> </w:t>
      </w:r>
      <w:r w:rsidRPr="007719D8">
        <w:rPr>
          <w:rFonts w:ascii="Times New Roman" w:hAnsi="Times New Roman"/>
          <w:sz w:val="28"/>
          <w:szCs w:val="28"/>
          <w:lang w:val="uk-UA"/>
        </w:rPr>
        <w:t>росту компанії у порівняні із зростанням ринку чи значного росту</w:t>
      </w:r>
      <w:r w:rsidR="007719D8">
        <w:rPr>
          <w:rFonts w:ascii="Times New Roman" w:hAnsi="Times New Roman"/>
          <w:sz w:val="28"/>
          <w:szCs w:val="28"/>
          <w:lang w:val="uk-UA"/>
        </w:rPr>
        <w:t xml:space="preserve"> </w:t>
      </w:r>
      <w:r w:rsidRPr="007719D8">
        <w:rPr>
          <w:rFonts w:ascii="Times New Roman" w:hAnsi="Times New Roman"/>
          <w:sz w:val="28"/>
          <w:szCs w:val="28"/>
          <w:lang w:val="uk-UA"/>
        </w:rPr>
        <w:t>курсу акції (знову ж таки – потрібний для компанії результат є функцією від мети, яку вона обрала із самого початку), з’являться не одразу. Орієнтовний період адоптацій компанії – 2-3 роки, тобто середньостроковий часовий інтервал</w:t>
      </w:r>
      <w:r w:rsidR="00D15118" w:rsidRPr="007719D8">
        <w:rPr>
          <w:rFonts w:ascii="Times New Roman" w:hAnsi="Times New Roman"/>
          <w:sz w:val="28"/>
          <w:szCs w:val="28"/>
          <w:lang w:val="uk-UA"/>
        </w:rPr>
        <w:t>.</w:t>
      </w:r>
    </w:p>
    <w:p w:rsidR="00661790" w:rsidRPr="007719D8" w:rsidRDefault="000D3FE6" w:rsidP="007719D8">
      <w:pPr>
        <w:widowControl w:val="0"/>
        <w:spacing w:line="360" w:lineRule="auto"/>
        <w:ind w:firstLine="709"/>
        <w:jc w:val="both"/>
        <w:rPr>
          <w:rFonts w:ascii="Times New Roman" w:hAnsi="Times New Roman"/>
          <w:sz w:val="28"/>
          <w:szCs w:val="30"/>
        </w:rPr>
      </w:pPr>
      <w:r w:rsidRPr="007719D8">
        <w:rPr>
          <w:rFonts w:ascii="Times New Roman" w:hAnsi="Times New Roman"/>
          <w:sz w:val="28"/>
          <w:szCs w:val="30"/>
          <w:lang w:val="uk-UA"/>
        </w:rPr>
        <w:t>2.2</w:t>
      </w:r>
      <w:r w:rsidR="00661790" w:rsidRPr="007719D8">
        <w:rPr>
          <w:rFonts w:ascii="Times New Roman" w:hAnsi="Times New Roman"/>
          <w:sz w:val="28"/>
          <w:szCs w:val="30"/>
          <w:lang w:val="uk-UA"/>
        </w:rPr>
        <w:t xml:space="preserve"> Стратегічне управління вартістю </w:t>
      </w:r>
      <w:r w:rsidR="000C7700" w:rsidRPr="007719D8">
        <w:rPr>
          <w:rFonts w:ascii="Times New Roman" w:hAnsi="Times New Roman"/>
          <w:sz w:val="28"/>
          <w:szCs w:val="30"/>
          <w:lang w:val="uk-UA"/>
        </w:rPr>
        <w:t>ПАТ</w:t>
      </w:r>
      <w:r w:rsidR="008B7C03" w:rsidRPr="007719D8">
        <w:rPr>
          <w:rFonts w:ascii="Times New Roman" w:hAnsi="Times New Roman"/>
          <w:sz w:val="28"/>
          <w:szCs w:val="30"/>
          <w:lang w:val="uk-UA"/>
        </w:rPr>
        <w:t xml:space="preserve"> «Райффайзен Банк Аваль» </w:t>
      </w:r>
      <w:r w:rsidR="00661790" w:rsidRPr="007719D8">
        <w:rPr>
          <w:rFonts w:ascii="Times New Roman" w:hAnsi="Times New Roman"/>
          <w:sz w:val="28"/>
          <w:szCs w:val="30"/>
          <w:lang w:val="uk-UA"/>
        </w:rPr>
        <w:t>та приклад проведення оцінки банку</w:t>
      </w:r>
    </w:p>
    <w:p w:rsidR="00661790" w:rsidRPr="007719D8" w:rsidRDefault="00661790" w:rsidP="007719D8">
      <w:pPr>
        <w:widowControl w:val="0"/>
        <w:spacing w:line="360" w:lineRule="auto"/>
        <w:ind w:firstLine="709"/>
        <w:jc w:val="both"/>
        <w:rPr>
          <w:rFonts w:ascii="Times New Roman" w:hAnsi="Times New Roman"/>
          <w:sz w:val="28"/>
          <w:szCs w:val="28"/>
          <w:lang w:val="uk-UA"/>
        </w:rPr>
      </w:pPr>
    </w:p>
    <w:p w:rsidR="00E50F9F" w:rsidRPr="007719D8" w:rsidRDefault="00887AF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Спрямованість рішень та дій менеджменту групи Райффайзен Інтернаціональ</w:t>
      </w:r>
      <w:r w:rsidR="007719D8">
        <w:rPr>
          <w:rFonts w:ascii="Times New Roman" w:hAnsi="Times New Roman"/>
          <w:sz w:val="28"/>
          <w:szCs w:val="28"/>
          <w:lang w:val="uk-UA"/>
        </w:rPr>
        <w:t xml:space="preserve"> </w:t>
      </w:r>
      <w:r w:rsidRPr="007719D8">
        <w:rPr>
          <w:rFonts w:ascii="Times New Roman" w:hAnsi="Times New Roman"/>
          <w:sz w:val="28"/>
          <w:szCs w:val="28"/>
          <w:lang w:val="uk-UA"/>
        </w:rPr>
        <w:t>до максимізації вартості, що формує дохід акціонерів, є одним із головних пріоритетів у розвитку</w:t>
      </w:r>
      <w:r w:rsidR="007719D8">
        <w:rPr>
          <w:rFonts w:ascii="Times New Roman" w:hAnsi="Times New Roman"/>
          <w:sz w:val="28"/>
          <w:szCs w:val="28"/>
          <w:lang w:val="uk-UA"/>
        </w:rPr>
        <w:t xml:space="preserve"> </w:t>
      </w:r>
      <w:r w:rsidRPr="007719D8">
        <w:rPr>
          <w:rFonts w:ascii="Times New Roman" w:hAnsi="Times New Roman"/>
          <w:sz w:val="28"/>
          <w:szCs w:val="28"/>
          <w:lang w:val="uk-UA"/>
        </w:rPr>
        <w:t xml:space="preserve">компанії. </w:t>
      </w:r>
      <w:r w:rsidR="00455FAA" w:rsidRPr="007719D8">
        <w:rPr>
          <w:rFonts w:ascii="Times New Roman" w:hAnsi="Times New Roman"/>
          <w:sz w:val="28"/>
          <w:szCs w:val="28"/>
          <w:lang w:val="uk-UA"/>
        </w:rPr>
        <w:t xml:space="preserve">Зміна стратегічних планів компанії, що відбулася у 2001 році та інтенсивне проникнення на нові ринки Східної Європи, було зумовлено переважно мотивами максимізації дохідності для акціонерів. Головним </w:t>
      </w:r>
      <w:r w:rsidR="00292E6F" w:rsidRPr="007719D8">
        <w:rPr>
          <w:rFonts w:ascii="Times New Roman" w:hAnsi="Times New Roman"/>
          <w:sz w:val="28"/>
          <w:szCs w:val="28"/>
          <w:lang w:val="uk-UA"/>
        </w:rPr>
        <w:t xml:space="preserve">економічним </w:t>
      </w:r>
      <w:r w:rsidR="00455FAA" w:rsidRPr="007719D8">
        <w:rPr>
          <w:rFonts w:ascii="Times New Roman" w:hAnsi="Times New Roman"/>
          <w:sz w:val="28"/>
          <w:szCs w:val="28"/>
          <w:lang w:val="uk-UA"/>
        </w:rPr>
        <w:t xml:space="preserve">фактором формування інтересу </w:t>
      </w:r>
      <w:r w:rsidR="00EE55C5" w:rsidRPr="007719D8">
        <w:rPr>
          <w:rFonts w:ascii="Times New Roman" w:hAnsi="Times New Roman"/>
          <w:sz w:val="28"/>
          <w:szCs w:val="28"/>
          <w:lang w:val="uk-UA"/>
        </w:rPr>
        <w:t xml:space="preserve">інвесторів із Західної та Центральної Європи до банківського ринку Східної Європи та України є більш висока рентабельність капіталу, </w:t>
      </w:r>
      <w:r w:rsidR="009175D3" w:rsidRPr="007719D8">
        <w:rPr>
          <w:rFonts w:ascii="Times New Roman" w:hAnsi="Times New Roman"/>
          <w:sz w:val="28"/>
          <w:szCs w:val="28"/>
          <w:lang w:val="uk-UA"/>
        </w:rPr>
        <w:t>наприклад:</w:t>
      </w:r>
      <w:r w:rsidR="00EE55C5" w:rsidRPr="007719D8">
        <w:rPr>
          <w:rFonts w:ascii="Times New Roman" w:hAnsi="Times New Roman"/>
          <w:sz w:val="28"/>
          <w:szCs w:val="28"/>
          <w:lang w:val="uk-UA"/>
        </w:rPr>
        <w:t xml:space="preserve"> у Європ</w:t>
      </w:r>
      <w:r w:rsidR="005A2404" w:rsidRPr="007719D8">
        <w:rPr>
          <w:rFonts w:ascii="Times New Roman" w:hAnsi="Times New Roman"/>
          <w:sz w:val="28"/>
          <w:szCs w:val="28"/>
          <w:lang w:val="uk-UA"/>
        </w:rPr>
        <w:t>і цей показник не перевищує 7-8</w:t>
      </w:r>
      <w:r w:rsidR="00EE55C5" w:rsidRPr="007719D8">
        <w:rPr>
          <w:rFonts w:ascii="Times New Roman" w:hAnsi="Times New Roman"/>
          <w:sz w:val="28"/>
          <w:szCs w:val="28"/>
          <w:lang w:val="uk-UA"/>
        </w:rPr>
        <w:t xml:space="preserve"> </w:t>
      </w:r>
      <w:r w:rsidR="00E50F9F" w:rsidRPr="007719D8">
        <w:rPr>
          <w:rFonts w:ascii="Times New Roman" w:hAnsi="Times New Roman"/>
          <w:sz w:val="28"/>
          <w:szCs w:val="28"/>
          <w:lang w:val="uk-UA"/>
        </w:rPr>
        <w:t>% (2006-2008 роки), в Україні середня величина ROE — 13,10</w:t>
      </w:r>
      <w:r w:rsidR="00EE55C5" w:rsidRPr="007719D8">
        <w:rPr>
          <w:rFonts w:ascii="Times New Roman" w:hAnsi="Times New Roman"/>
          <w:sz w:val="28"/>
          <w:szCs w:val="28"/>
          <w:lang w:val="uk-UA"/>
        </w:rPr>
        <w:t>% (2007-2008 роки)</w:t>
      </w:r>
      <w:r w:rsidR="00292E6F" w:rsidRPr="007719D8">
        <w:rPr>
          <w:rFonts w:ascii="Times New Roman" w:hAnsi="Times New Roman"/>
          <w:sz w:val="28"/>
          <w:szCs w:val="28"/>
          <w:lang w:val="uk-UA"/>
        </w:rPr>
        <w:t>, та значні показники зростання, які показував ринок у 2005-2008 роках — близько</w:t>
      </w:r>
      <w:r w:rsidR="007719D8">
        <w:rPr>
          <w:rFonts w:ascii="Times New Roman" w:hAnsi="Times New Roman"/>
          <w:sz w:val="28"/>
          <w:szCs w:val="28"/>
          <w:lang w:val="uk-UA"/>
        </w:rPr>
        <w:t xml:space="preserve"> </w:t>
      </w:r>
      <w:r w:rsidR="00292E6F" w:rsidRPr="007719D8">
        <w:rPr>
          <w:rFonts w:ascii="Times New Roman" w:hAnsi="Times New Roman"/>
          <w:sz w:val="28"/>
          <w:szCs w:val="28"/>
          <w:lang w:val="uk-UA"/>
        </w:rPr>
        <w:t xml:space="preserve">47,70% приросту кредитного портфелю системи. </w:t>
      </w:r>
      <w:r w:rsidR="005A2404" w:rsidRPr="007719D8">
        <w:rPr>
          <w:rFonts w:ascii="Times New Roman" w:hAnsi="Times New Roman"/>
          <w:sz w:val="28"/>
          <w:szCs w:val="28"/>
          <w:lang w:val="uk-UA"/>
        </w:rPr>
        <w:t xml:space="preserve">Звичайно, значна частина операцій у період найбільшої експансії банків з </w:t>
      </w:r>
      <w:r w:rsidR="00E50F9F" w:rsidRPr="007719D8">
        <w:rPr>
          <w:rFonts w:ascii="Times New Roman" w:hAnsi="Times New Roman"/>
          <w:sz w:val="28"/>
          <w:szCs w:val="28"/>
          <w:lang w:val="uk-UA"/>
        </w:rPr>
        <w:t>іноземним капіталом мала високо</w:t>
      </w:r>
      <w:r w:rsidR="005A2404" w:rsidRPr="007719D8">
        <w:rPr>
          <w:rFonts w:ascii="Times New Roman" w:hAnsi="Times New Roman"/>
          <w:sz w:val="28"/>
          <w:szCs w:val="28"/>
          <w:lang w:val="uk-UA"/>
        </w:rPr>
        <w:t xml:space="preserve">ризиковий характер, що характерно для ринку України в цілому та через недостатньо високу економічну грамотність учасників економічних відносин. Однак, на 01.01.2010 року </w:t>
      </w:r>
      <w:r w:rsidR="00E50F9F" w:rsidRPr="007719D8">
        <w:rPr>
          <w:rFonts w:ascii="Times New Roman" w:hAnsi="Times New Roman"/>
          <w:sz w:val="28"/>
          <w:szCs w:val="28"/>
          <w:lang w:val="uk-UA"/>
        </w:rPr>
        <w:t xml:space="preserve">іноземна </w:t>
      </w:r>
      <w:r w:rsidR="005A2404" w:rsidRPr="007719D8">
        <w:rPr>
          <w:rFonts w:ascii="Times New Roman" w:hAnsi="Times New Roman"/>
          <w:sz w:val="28"/>
          <w:szCs w:val="28"/>
          <w:lang w:val="uk-UA"/>
        </w:rPr>
        <w:t>частка у 35,80% у сукупному банківському капіталі</w:t>
      </w:r>
      <w:r w:rsidR="00E50F9F" w:rsidRPr="007719D8">
        <w:rPr>
          <w:rFonts w:ascii="Times New Roman" w:hAnsi="Times New Roman"/>
          <w:sz w:val="28"/>
          <w:szCs w:val="28"/>
          <w:lang w:val="uk-UA"/>
        </w:rPr>
        <w:t xml:space="preserve"> вказала</w:t>
      </w:r>
      <w:r w:rsidR="005A2404" w:rsidRPr="007719D8">
        <w:rPr>
          <w:rFonts w:ascii="Times New Roman" w:hAnsi="Times New Roman"/>
          <w:sz w:val="28"/>
          <w:szCs w:val="28"/>
          <w:lang w:val="uk-UA"/>
        </w:rPr>
        <w:t xml:space="preserve">, </w:t>
      </w:r>
      <w:r w:rsidR="00E50F9F" w:rsidRPr="007719D8">
        <w:rPr>
          <w:rFonts w:ascii="Times New Roman" w:hAnsi="Times New Roman"/>
          <w:sz w:val="28"/>
          <w:szCs w:val="28"/>
          <w:lang w:val="uk-UA"/>
        </w:rPr>
        <w:t>що менеджмент іноземних банків не бачить специфічних</w:t>
      </w:r>
      <w:r w:rsidR="007719D8">
        <w:rPr>
          <w:rFonts w:ascii="Times New Roman" w:hAnsi="Times New Roman"/>
          <w:sz w:val="28"/>
          <w:szCs w:val="28"/>
          <w:lang w:val="uk-UA"/>
        </w:rPr>
        <w:t xml:space="preserve"> </w:t>
      </w:r>
      <w:r w:rsidR="00E50F9F" w:rsidRPr="007719D8">
        <w:rPr>
          <w:rFonts w:ascii="Times New Roman" w:hAnsi="Times New Roman"/>
          <w:sz w:val="28"/>
          <w:szCs w:val="28"/>
          <w:lang w:val="uk-UA"/>
        </w:rPr>
        <w:t xml:space="preserve">передумов до </w:t>
      </w:r>
      <w:r w:rsidR="005A2404" w:rsidRPr="007719D8">
        <w:rPr>
          <w:rFonts w:ascii="Times New Roman" w:hAnsi="Times New Roman"/>
          <w:sz w:val="28"/>
          <w:szCs w:val="28"/>
          <w:lang w:val="uk-UA"/>
        </w:rPr>
        <w:t>скорочення</w:t>
      </w:r>
      <w:r w:rsidR="00E50F9F" w:rsidRPr="007719D8">
        <w:rPr>
          <w:rFonts w:ascii="Times New Roman" w:hAnsi="Times New Roman"/>
          <w:sz w:val="28"/>
          <w:szCs w:val="28"/>
          <w:lang w:val="uk-UA"/>
        </w:rPr>
        <w:t xml:space="preserve"> своєї присутності на ринку.</w:t>
      </w:r>
    </w:p>
    <w:p w:rsidR="005A2404" w:rsidRPr="007719D8" w:rsidRDefault="005A240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Вплив керівництва західних материнських компаній на рішення, що приймаються менеджментом українських банків із іноземним капіталом, формує систему цінностей та </w:t>
      </w:r>
      <w:r w:rsidR="009D40BE" w:rsidRPr="007719D8">
        <w:rPr>
          <w:rFonts w:ascii="Times New Roman" w:hAnsi="Times New Roman"/>
          <w:sz w:val="28"/>
          <w:szCs w:val="28"/>
          <w:lang w:val="uk-UA"/>
        </w:rPr>
        <w:t>загалом підвищує культуру ведення бізнесу. Більшість банків поряд із офіційно задекларованими цілями у вигляді установок типу «залишатись лідером ринк</w:t>
      </w:r>
      <w:r w:rsidR="00D15118" w:rsidRPr="007719D8">
        <w:rPr>
          <w:rFonts w:ascii="Times New Roman" w:hAnsi="Times New Roman"/>
          <w:sz w:val="28"/>
          <w:szCs w:val="28"/>
          <w:lang w:val="uk-UA"/>
        </w:rPr>
        <w:t xml:space="preserve">у банківських послуг в Україні», </w:t>
      </w:r>
      <w:r w:rsidR="009D40BE" w:rsidRPr="007719D8">
        <w:rPr>
          <w:rFonts w:ascii="Times New Roman" w:hAnsi="Times New Roman"/>
          <w:sz w:val="28"/>
          <w:szCs w:val="28"/>
          <w:lang w:val="uk-UA"/>
        </w:rPr>
        <w:t>основною своєю стратегічною метою ставлять саме максимізацію своєї вартості як інтегральний показник, що одночасно є результатом високих показників сплачених дивідендів для акціонерів, інтенсивного зростання експансивного типу та зміцнення структури організації та її стійкості до дестабілізуючих зовнішніх факторів.</w:t>
      </w:r>
    </w:p>
    <w:p w:rsidR="00E50F9F" w:rsidRPr="007719D8" w:rsidRDefault="00DF08EE"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Основними перевагами стратегії банку є грамотна політика у спрямуванні основних вкладень у найбільш прибуткові напрями бізнесу. </w:t>
      </w:r>
      <w:r w:rsidR="00DC5866" w:rsidRPr="007719D8">
        <w:rPr>
          <w:rFonts w:ascii="Times New Roman" w:hAnsi="Times New Roman"/>
          <w:sz w:val="28"/>
          <w:szCs w:val="28"/>
          <w:lang w:val="uk-UA"/>
        </w:rPr>
        <w:t xml:space="preserve">Основним та найбільш притаманним для банківської установи активом з позиції відношення «дохідність/ризик» є кредитування своїх клієнтів шляхом фінансування їх діяльності чи потреб за допомогою акумульованих ресурсів. </w:t>
      </w:r>
      <w:r w:rsidR="000C7700" w:rsidRPr="007719D8">
        <w:rPr>
          <w:rFonts w:ascii="Times New Roman" w:hAnsi="Times New Roman"/>
          <w:sz w:val="28"/>
          <w:szCs w:val="28"/>
          <w:lang w:val="uk-UA"/>
        </w:rPr>
        <w:t>ПАТ</w:t>
      </w:r>
      <w:r w:rsidR="003C6A39" w:rsidRPr="007719D8">
        <w:rPr>
          <w:rFonts w:ascii="Times New Roman" w:hAnsi="Times New Roman"/>
          <w:sz w:val="28"/>
          <w:szCs w:val="28"/>
          <w:lang w:val="uk-UA"/>
        </w:rPr>
        <w:t xml:space="preserve"> «Райффайзен Банк Аваль»</w:t>
      </w:r>
      <w:r w:rsidR="00DC5866" w:rsidRPr="007719D8">
        <w:rPr>
          <w:rFonts w:ascii="Times New Roman" w:hAnsi="Times New Roman"/>
          <w:sz w:val="28"/>
          <w:szCs w:val="28"/>
          <w:lang w:val="uk-UA"/>
        </w:rPr>
        <w:t xml:space="preserve"> упродовж 2006-2009 років намагався балансувати розподіл вкладень одночасну і у корпоративний сегмент, (частка кредитів корпоративним клієнтам у загальних – 43%) і у приватний сегмент, на кредитування споживчих потреб. </w:t>
      </w:r>
      <w:r w:rsidR="000F3A5E" w:rsidRPr="007719D8">
        <w:rPr>
          <w:rFonts w:ascii="Times New Roman" w:hAnsi="Times New Roman"/>
          <w:sz w:val="28"/>
          <w:szCs w:val="28"/>
          <w:lang w:val="uk-UA"/>
        </w:rPr>
        <w:t>Необхідність ведення діяльності на цілком полярних один до одного за характером потреб сегментах ринку призводить до збільшення видатків на кожний вкладений долар банку через неможливість поглиблення спеціалізації банку. Однак,</w:t>
      </w:r>
      <w:r w:rsidR="007719D8">
        <w:rPr>
          <w:rFonts w:ascii="Times New Roman" w:hAnsi="Times New Roman"/>
          <w:sz w:val="28"/>
          <w:szCs w:val="28"/>
          <w:lang w:val="uk-UA"/>
        </w:rPr>
        <w:t xml:space="preserve"> </w:t>
      </w:r>
      <w:r w:rsidR="000F3A5E" w:rsidRPr="007719D8">
        <w:rPr>
          <w:rFonts w:ascii="Times New Roman" w:hAnsi="Times New Roman"/>
          <w:sz w:val="28"/>
          <w:szCs w:val="28"/>
          <w:lang w:val="uk-UA"/>
        </w:rPr>
        <w:t xml:space="preserve">повний перехід на </w:t>
      </w:r>
      <w:r w:rsidR="00E50F9F" w:rsidRPr="007719D8">
        <w:rPr>
          <w:rFonts w:ascii="Times New Roman" w:hAnsi="Times New Roman"/>
          <w:sz w:val="28"/>
          <w:szCs w:val="28"/>
          <w:lang w:val="uk-UA"/>
        </w:rPr>
        <w:t xml:space="preserve">вузьку сегменту </w:t>
      </w:r>
      <w:r w:rsidR="000F3A5E" w:rsidRPr="007719D8">
        <w:rPr>
          <w:rFonts w:ascii="Times New Roman" w:hAnsi="Times New Roman"/>
          <w:sz w:val="28"/>
          <w:szCs w:val="28"/>
          <w:lang w:val="uk-UA"/>
        </w:rPr>
        <w:t>спеціалізацію не є рішенням проблеми пошуку найбільш вигідного вкладе</w:t>
      </w:r>
      <w:r w:rsidR="007E0D6D" w:rsidRPr="007719D8">
        <w:rPr>
          <w:rFonts w:ascii="Times New Roman" w:hAnsi="Times New Roman"/>
          <w:sz w:val="28"/>
          <w:szCs w:val="28"/>
          <w:lang w:val="uk-UA"/>
        </w:rPr>
        <w:t xml:space="preserve">ння коштів: через досить низьку концентрацію на ринку банківських послуг для розширення у бізнес портфелі частки клієнтів одного сегменту необхідно застосовувати стратегію проникнення на ринок, що може супроводжуватися жорсткими «війнами» із конкурентами задля відбивання додаткової частини ринку. Описані вище дії не завжди є корисними для банку як з економічної, так і з маркетингової точки зору. Диверсифікація є більш компромісним варіантом, таким шляхом йде більшість великих (вартість активів з урахуванням резервів – більше 10 млн. грн.) банків, </w:t>
      </w:r>
      <w:r w:rsidR="00E50F9F" w:rsidRPr="007719D8">
        <w:rPr>
          <w:rFonts w:ascii="Times New Roman" w:hAnsi="Times New Roman"/>
          <w:sz w:val="28"/>
          <w:szCs w:val="28"/>
          <w:lang w:val="uk-UA"/>
        </w:rPr>
        <w:t xml:space="preserve">серед них і </w:t>
      </w:r>
      <w:r w:rsidR="000C7700" w:rsidRPr="007719D8">
        <w:rPr>
          <w:rFonts w:ascii="Times New Roman" w:hAnsi="Times New Roman"/>
          <w:sz w:val="28"/>
          <w:szCs w:val="28"/>
          <w:lang w:val="uk-UA"/>
        </w:rPr>
        <w:t>ПАТ</w:t>
      </w:r>
      <w:r w:rsidR="003C6A39" w:rsidRPr="007719D8">
        <w:rPr>
          <w:rFonts w:ascii="Times New Roman" w:hAnsi="Times New Roman"/>
          <w:sz w:val="28"/>
          <w:szCs w:val="28"/>
          <w:lang w:val="uk-UA"/>
        </w:rPr>
        <w:t xml:space="preserve"> «Райффайзен Банк Аваль»</w:t>
      </w:r>
      <w:r w:rsidR="007E0D6D" w:rsidRPr="007719D8">
        <w:rPr>
          <w:rFonts w:ascii="Times New Roman" w:hAnsi="Times New Roman"/>
          <w:sz w:val="28"/>
          <w:szCs w:val="28"/>
          <w:lang w:val="uk-UA"/>
        </w:rPr>
        <w:t xml:space="preserve">. </w:t>
      </w:r>
    </w:p>
    <w:p w:rsidR="007E0D6D" w:rsidRPr="007719D8" w:rsidRDefault="00591D5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Структура кредитного портфелю банку є достатньо урівноваженою, в ній практично відсутні бланкові кредити населенню (2,023% від вартості кредитів, станом на 31.12.2010р.) та юридичним особам (3,59% від загальною вартості кредитів, станом на 31.12.2010р.), що є найбільш ризикованими. В цілому, враховуючи інертність (у питанні просунення нових продуктів та послуг) банківського ринку, особливо посилену кризовими процесами 2008-2010 років, структура бізнес портфелю може вважатися задовільною. Банк своєчасно впроваджує </w:t>
      </w:r>
      <w:r w:rsidR="007E48BF" w:rsidRPr="007719D8">
        <w:rPr>
          <w:rFonts w:ascii="Times New Roman" w:hAnsi="Times New Roman"/>
          <w:sz w:val="28"/>
          <w:szCs w:val="28"/>
          <w:lang w:val="uk-UA"/>
        </w:rPr>
        <w:t>для своїх клієнтів нові сучасні послуги</w:t>
      </w:r>
      <w:r w:rsidRPr="007719D8">
        <w:rPr>
          <w:rFonts w:ascii="Times New Roman" w:hAnsi="Times New Roman"/>
          <w:sz w:val="28"/>
          <w:szCs w:val="28"/>
          <w:lang w:val="uk-UA"/>
        </w:rPr>
        <w:t xml:space="preserve"> (</w:t>
      </w:r>
      <w:r w:rsidR="00C10561" w:rsidRPr="007719D8">
        <w:rPr>
          <w:rFonts w:ascii="Times New Roman" w:hAnsi="Times New Roman"/>
          <w:sz w:val="28"/>
          <w:szCs w:val="28"/>
          <w:lang w:val="uk-UA"/>
        </w:rPr>
        <w:t>безліч «приємних» послуг для приватних клієнтів типу інтернет-банкінг, надання безкоштовних фінансових консультацій та небанківських фінансових послуг, всі види фінансування бізнесу та безкоштовна допомога у фінансовому управлінні підприємством – для корпоративних клієнтів</w:t>
      </w:r>
      <w:r w:rsidRPr="007719D8">
        <w:rPr>
          <w:rFonts w:ascii="Times New Roman" w:hAnsi="Times New Roman"/>
          <w:sz w:val="28"/>
          <w:szCs w:val="28"/>
          <w:lang w:val="uk-UA"/>
        </w:rPr>
        <w:t>)</w:t>
      </w:r>
      <w:r w:rsidR="00C10561" w:rsidRPr="007719D8">
        <w:rPr>
          <w:rFonts w:ascii="Times New Roman" w:hAnsi="Times New Roman"/>
          <w:sz w:val="28"/>
          <w:szCs w:val="28"/>
          <w:lang w:val="uk-UA"/>
        </w:rPr>
        <w:t>, постійно розвиває старі продукти, підтримуючи таким чином оптимальність кредитного портфелю у відношенні необхідно</w:t>
      </w:r>
      <w:r w:rsidR="007E48BF" w:rsidRPr="007719D8">
        <w:rPr>
          <w:rFonts w:ascii="Times New Roman" w:hAnsi="Times New Roman"/>
          <w:sz w:val="28"/>
          <w:szCs w:val="28"/>
          <w:lang w:val="uk-UA"/>
        </w:rPr>
        <w:t>г</w:t>
      </w:r>
      <w:r w:rsidR="00C10561" w:rsidRPr="007719D8">
        <w:rPr>
          <w:rFonts w:ascii="Times New Roman" w:hAnsi="Times New Roman"/>
          <w:sz w:val="28"/>
          <w:szCs w:val="28"/>
          <w:lang w:val="uk-UA"/>
        </w:rPr>
        <w:t>о рівня дохідності та притаманного для нього ризику.</w:t>
      </w:r>
    </w:p>
    <w:p w:rsidR="009D40BE" w:rsidRPr="007719D8" w:rsidRDefault="0071460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Основою мотивації вартісної стратегії управління банком є система винагородження керівників організації та її відокремлених підрозділів. Оцінка результатів роботи базується на таких показниках діяльності, як ROE, дохідність акцій та темпи приросту пасивів та активів по відповідним бізнес-напрямкам. Система є досить зрозумілою та прийнятною для керівників вищих ешелонів. Однак для керівництва відокремлених відділень банку, керівників функціональних підрозділів територіальних управлінь банку ця система є не досить зрозумілою через недостатню інформаційну підтримку та неможливість прослідити зв’язок між кінцевими результатами діяльності банку та рішеннями керівників цих підрозділів.</w:t>
      </w:r>
      <w:r w:rsidR="00BF2FA2" w:rsidRPr="007719D8">
        <w:rPr>
          <w:rFonts w:ascii="Times New Roman" w:hAnsi="Times New Roman"/>
          <w:sz w:val="28"/>
          <w:szCs w:val="28"/>
          <w:lang w:val="uk-UA"/>
        </w:rPr>
        <w:t xml:space="preserve"> Нездатність зрозуміти мету своїх дій у процесі є одним з найсильніших демотивуючих факторів, що призводить до падіння оптимальності рішень керівника та його нездатності виконувати свої обов’язки. Цей момент потребує вирішення</w:t>
      </w:r>
      <w:r w:rsidR="007719D8">
        <w:rPr>
          <w:rFonts w:ascii="Times New Roman" w:hAnsi="Times New Roman"/>
          <w:sz w:val="28"/>
          <w:szCs w:val="28"/>
          <w:lang w:val="uk-UA"/>
        </w:rPr>
        <w:t xml:space="preserve"> </w:t>
      </w:r>
      <w:r w:rsidR="00BF2FA2" w:rsidRPr="007719D8">
        <w:rPr>
          <w:rFonts w:ascii="Times New Roman" w:hAnsi="Times New Roman"/>
          <w:sz w:val="28"/>
          <w:szCs w:val="28"/>
          <w:lang w:val="uk-UA"/>
        </w:rPr>
        <w:t>у найближчому майбутньому, адже незлагодженість у діях лінійних</w:t>
      </w:r>
      <w:r w:rsidR="007719D8">
        <w:rPr>
          <w:rFonts w:ascii="Times New Roman" w:hAnsi="Times New Roman"/>
          <w:sz w:val="28"/>
          <w:szCs w:val="28"/>
          <w:lang w:val="uk-UA"/>
        </w:rPr>
        <w:t xml:space="preserve"> </w:t>
      </w:r>
      <w:r w:rsidR="00BF2FA2" w:rsidRPr="007719D8">
        <w:rPr>
          <w:rFonts w:ascii="Times New Roman" w:hAnsi="Times New Roman"/>
          <w:sz w:val="28"/>
          <w:szCs w:val="28"/>
          <w:lang w:val="uk-UA"/>
        </w:rPr>
        <w:t xml:space="preserve">і функціональних підрозділів із рішеннями вищого керівництва не буде сприяти досягненню цілей, які ставить організація перед собою. </w:t>
      </w:r>
    </w:p>
    <w:p w:rsidR="007E48BF" w:rsidRPr="007719D8" w:rsidRDefault="003B573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Після формулювання основних </w:t>
      </w:r>
      <w:r w:rsidR="007E48BF" w:rsidRPr="007719D8">
        <w:rPr>
          <w:rFonts w:ascii="Times New Roman" w:hAnsi="Times New Roman"/>
          <w:sz w:val="28"/>
          <w:szCs w:val="28"/>
          <w:lang w:val="uk-UA"/>
        </w:rPr>
        <w:t xml:space="preserve">переваг та </w:t>
      </w:r>
      <w:r w:rsidRPr="007719D8">
        <w:rPr>
          <w:rFonts w:ascii="Times New Roman" w:hAnsi="Times New Roman"/>
          <w:sz w:val="28"/>
          <w:szCs w:val="28"/>
          <w:lang w:val="uk-UA"/>
        </w:rPr>
        <w:t xml:space="preserve">недоліків стратегічної вартісної орієнтації </w:t>
      </w:r>
      <w:r w:rsidR="000C7700" w:rsidRPr="007719D8">
        <w:rPr>
          <w:rFonts w:ascii="Times New Roman" w:hAnsi="Times New Roman"/>
          <w:sz w:val="28"/>
          <w:szCs w:val="28"/>
          <w:lang w:val="uk-UA"/>
        </w:rPr>
        <w:t>ПАТ</w:t>
      </w:r>
      <w:r w:rsidR="003C6A39" w:rsidRPr="007719D8">
        <w:rPr>
          <w:rFonts w:ascii="Times New Roman" w:hAnsi="Times New Roman"/>
          <w:sz w:val="28"/>
          <w:szCs w:val="28"/>
          <w:lang w:val="uk-UA"/>
        </w:rPr>
        <w:t xml:space="preserve"> «Райффайзен Банк Аваль»</w:t>
      </w:r>
      <w:r w:rsidRPr="007719D8">
        <w:rPr>
          <w:rFonts w:ascii="Times New Roman" w:hAnsi="Times New Roman"/>
          <w:sz w:val="28"/>
          <w:szCs w:val="28"/>
          <w:lang w:val="uk-UA"/>
        </w:rPr>
        <w:t xml:space="preserve">, ми переходимо до аналізу вартості банку на конкретному прикладі. </w:t>
      </w:r>
      <w:r w:rsidR="00DB753C" w:rsidRPr="007719D8">
        <w:rPr>
          <w:rFonts w:ascii="Times New Roman" w:hAnsi="Times New Roman"/>
          <w:sz w:val="28"/>
          <w:szCs w:val="28"/>
          <w:lang w:val="uk-UA"/>
        </w:rPr>
        <w:t xml:space="preserve">Перед проведенням оцінки вартості комерційного банку необхідно навести короткий опис позицій акцій банку на фондовому ринку України. </w:t>
      </w:r>
    </w:p>
    <w:p w:rsidR="009D40BE" w:rsidRPr="007719D8" w:rsidRDefault="00DB753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Основною торгівельною площадкою в Україні є </w:t>
      </w:r>
      <w:r w:rsidR="004B108D" w:rsidRPr="007719D8">
        <w:rPr>
          <w:rFonts w:ascii="Times New Roman" w:hAnsi="Times New Roman"/>
          <w:sz w:val="28"/>
          <w:szCs w:val="28"/>
          <w:lang w:val="uk-UA"/>
        </w:rPr>
        <w:t xml:space="preserve">ПФТС – Перша Фондова Торгівельна Система. Річний обсяг капіталізації (середній торговий обіг) </w:t>
      </w:r>
      <w:r w:rsidR="004B108D" w:rsidRPr="007719D8">
        <w:rPr>
          <w:rFonts w:ascii="Times New Roman" w:hAnsi="Times New Roman"/>
          <w:iCs/>
          <w:sz w:val="28"/>
          <w:szCs w:val="28"/>
          <w:lang w:val="uk-UA"/>
        </w:rPr>
        <w:t>цієї фондової біржі складає</w:t>
      </w:r>
      <w:r w:rsidR="004B108D" w:rsidRPr="007719D8">
        <w:rPr>
          <w:rStyle w:val="af6"/>
          <w:rFonts w:ascii="Times New Roman" w:hAnsi="Times New Roman"/>
          <w:i w:val="0"/>
          <w:sz w:val="28"/>
          <w:szCs w:val="28"/>
          <w:lang w:val="uk-UA"/>
        </w:rPr>
        <w:t xml:space="preserve"> </w:t>
      </w:r>
      <w:r w:rsidR="00B61830" w:rsidRPr="007719D8">
        <w:rPr>
          <w:rFonts w:ascii="Times New Roman" w:hAnsi="Times New Roman"/>
          <w:sz w:val="28"/>
          <w:szCs w:val="28"/>
          <w:lang w:val="uk-UA"/>
        </w:rPr>
        <w:t>44,13 млрд</w:t>
      </w:r>
      <w:r w:rsidR="004B108D" w:rsidRPr="007719D8">
        <w:rPr>
          <w:rFonts w:ascii="Times New Roman" w:hAnsi="Times New Roman"/>
          <w:sz w:val="28"/>
          <w:szCs w:val="28"/>
          <w:lang w:val="uk-UA"/>
        </w:rPr>
        <w:t>. долл</w:t>
      </w:r>
      <w:r w:rsidR="00164D26" w:rsidRPr="007719D8">
        <w:rPr>
          <w:rFonts w:ascii="Times New Roman" w:hAnsi="Times New Roman"/>
          <w:sz w:val="28"/>
          <w:szCs w:val="28"/>
          <w:lang w:val="uk-UA"/>
        </w:rPr>
        <w:t>.</w:t>
      </w:r>
      <w:r w:rsidR="004B108D" w:rsidRPr="007719D8">
        <w:rPr>
          <w:rFonts w:ascii="Times New Roman" w:hAnsi="Times New Roman"/>
          <w:sz w:val="28"/>
          <w:szCs w:val="28"/>
          <w:lang w:val="uk-UA"/>
        </w:rPr>
        <w:t xml:space="preserve"> США, що дорівнює 90% торгів на фондових біржах України. У порівнянні із NYSE цей показник складе 0,17% — річний обіг ПФТС буде досягнуто за півгодини. Однак, незважаючи на технічну та економічну недосконалість, ПФТС є досить важливим елементом у фінансовій системі України, адже основним індикатором фондового рику України є саме індекс ПФТС — інтегральний показник динаміки вартості акцій українських компанії, цінні папери яких включені до кошику індексу. </w:t>
      </w:r>
    </w:p>
    <w:p w:rsidR="005A2404" w:rsidRDefault="004B108D" w:rsidP="007719D8">
      <w:pPr>
        <w:widowControl w:val="0"/>
        <w:spacing w:line="360" w:lineRule="auto"/>
        <w:ind w:firstLine="709"/>
        <w:jc w:val="both"/>
        <w:rPr>
          <w:rFonts w:ascii="Times New Roman" w:hAnsi="Times New Roman"/>
          <w:bCs/>
          <w:sz w:val="28"/>
          <w:szCs w:val="28"/>
          <w:lang w:val="uk-UA"/>
        </w:rPr>
      </w:pPr>
      <w:r w:rsidRPr="007719D8">
        <w:rPr>
          <w:rFonts w:ascii="Times New Roman" w:hAnsi="Times New Roman"/>
          <w:sz w:val="28"/>
          <w:szCs w:val="28"/>
          <w:lang w:val="uk-UA"/>
        </w:rPr>
        <w:t xml:space="preserve">Щодо </w:t>
      </w:r>
      <w:r w:rsidR="000C7700" w:rsidRPr="007719D8">
        <w:rPr>
          <w:rFonts w:ascii="Times New Roman" w:hAnsi="Times New Roman"/>
          <w:sz w:val="28"/>
          <w:szCs w:val="28"/>
          <w:lang w:val="uk-UA"/>
        </w:rPr>
        <w:t>ПАТ</w:t>
      </w:r>
      <w:r w:rsidR="003C6A39" w:rsidRPr="007719D8">
        <w:rPr>
          <w:rFonts w:ascii="Times New Roman" w:hAnsi="Times New Roman"/>
          <w:sz w:val="28"/>
          <w:szCs w:val="28"/>
          <w:lang w:val="uk-UA"/>
        </w:rPr>
        <w:t xml:space="preserve"> «Райффайзен Банк Аваль»</w:t>
      </w:r>
      <w:r w:rsidRPr="007719D8">
        <w:rPr>
          <w:rFonts w:ascii="Times New Roman" w:hAnsi="Times New Roman"/>
          <w:sz w:val="28"/>
          <w:szCs w:val="28"/>
          <w:lang w:val="uk-UA"/>
        </w:rPr>
        <w:t xml:space="preserve">, то у </w:t>
      </w:r>
      <w:r w:rsidRPr="007719D8">
        <w:rPr>
          <w:rFonts w:ascii="Times New Roman" w:hAnsi="Times New Roman"/>
          <w:sz w:val="28"/>
          <w:szCs w:val="28"/>
          <w:lang w:val="en-US"/>
        </w:rPr>
        <w:t>free</w:t>
      </w:r>
      <w:r w:rsidRPr="007719D8">
        <w:rPr>
          <w:rFonts w:ascii="Times New Roman" w:hAnsi="Times New Roman"/>
          <w:sz w:val="28"/>
          <w:szCs w:val="28"/>
        </w:rPr>
        <w:t>-</w:t>
      </w:r>
      <w:r w:rsidRPr="007719D8">
        <w:rPr>
          <w:rFonts w:ascii="Times New Roman" w:hAnsi="Times New Roman"/>
          <w:sz w:val="28"/>
          <w:szCs w:val="28"/>
          <w:lang w:val="en-US"/>
        </w:rPr>
        <w:t>float</w:t>
      </w:r>
      <w:r w:rsidRPr="007719D8">
        <w:rPr>
          <w:rFonts w:ascii="Times New Roman" w:hAnsi="Times New Roman"/>
          <w:sz w:val="28"/>
          <w:szCs w:val="28"/>
          <w:lang w:val="uk-UA"/>
        </w:rPr>
        <w:t xml:space="preserve"> компанії на фондовому ринку знаходяться </w:t>
      </w:r>
      <w:r w:rsidR="004B1B0E" w:rsidRPr="007719D8">
        <w:rPr>
          <w:rFonts w:ascii="Times New Roman" w:hAnsi="Times New Roman"/>
          <w:bCs/>
          <w:sz w:val="28"/>
          <w:szCs w:val="28"/>
        </w:rPr>
        <w:t>4,04%</w:t>
      </w:r>
      <w:r w:rsidR="007202B2" w:rsidRPr="007719D8">
        <w:rPr>
          <w:rFonts w:ascii="Times New Roman" w:hAnsi="Times New Roman"/>
          <w:bCs/>
          <w:sz w:val="28"/>
          <w:szCs w:val="28"/>
          <w:lang w:val="uk-UA"/>
        </w:rPr>
        <w:t xml:space="preserve"> акцій компанії, початок публічного р</w:t>
      </w:r>
      <w:r w:rsidR="00BF2FA2" w:rsidRPr="007719D8">
        <w:rPr>
          <w:rFonts w:ascii="Times New Roman" w:hAnsi="Times New Roman"/>
          <w:bCs/>
          <w:sz w:val="28"/>
          <w:szCs w:val="28"/>
          <w:lang w:val="uk-UA"/>
        </w:rPr>
        <w:t>озміщення – березень 2007 року.</w:t>
      </w:r>
      <w:r w:rsidR="007202B2" w:rsidRPr="007719D8">
        <w:rPr>
          <w:rFonts w:ascii="Times New Roman" w:hAnsi="Times New Roman"/>
          <w:bCs/>
          <w:sz w:val="28"/>
          <w:szCs w:val="28"/>
          <w:lang w:val="uk-UA"/>
        </w:rPr>
        <w:t xml:space="preserve"> Динаміку акці</w:t>
      </w:r>
      <w:r w:rsidR="009175D3" w:rsidRPr="007719D8">
        <w:rPr>
          <w:rFonts w:ascii="Times New Roman" w:hAnsi="Times New Roman"/>
          <w:bCs/>
          <w:sz w:val="28"/>
          <w:szCs w:val="28"/>
          <w:lang w:val="uk-UA"/>
        </w:rPr>
        <w:t>й можна вивчити, скориставшись м</w:t>
      </w:r>
      <w:r w:rsidR="007202B2" w:rsidRPr="007719D8">
        <w:rPr>
          <w:rFonts w:ascii="Times New Roman" w:hAnsi="Times New Roman"/>
          <w:bCs/>
          <w:sz w:val="28"/>
          <w:szCs w:val="28"/>
          <w:lang w:val="uk-UA"/>
        </w:rPr>
        <w:t>алюнком 2.1.:</w:t>
      </w:r>
    </w:p>
    <w:p w:rsidR="00736E7A" w:rsidRPr="007719D8" w:rsidRDefault="00736E7A" w:rsidP="007719D8">
      <w:pPr>
        <w:widowControl w:val="0"/>
        <w:spacing w:line="360" w:lineRule="auto"/>
        <w:ind w:firstLine="709"/>
        <w:jc w:val="both"/>
        <w:rPr>
          <w:rFonts w:ascii="Times New Roman" w:hAnsi="Times New Roman"/>
          <w:bCs/>
          <w:sz w:val="28"/>
          <w:szCs w:val="28"/>
          <w:lang w:val="uk-UA"/>
        </w:rPr>
      </w:pPr>
    </w:p>
    <w:p w:rsidR="007202B2" w:rsidRPr="007719D8" w:rsidRDefault="00C8796C" w:rsidP="007719D8">
      <w:pPr>
        <w:widowControl w:val="0"/>
        <w:spacing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pict>
          <v:shape id="Диаграмма 1" o:spid="_x0000_i1033" type="#_x0000_t75" style="width:405.75pt;height:215.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">
            <v:imagedata r:id="rId23" o:title="" cropbottom="-61f" cropright="-24f"/>
            <o:lock v:ext="edit" aspectratio="f"/>
          </v:shape>
        </w:pict>
      </w:r>
    </w:p>
    <w:p w:rsidR="00995E84" w:rsidRPr="007719D8" w:rsidRDefault="00995E84" w:rsidP="007719D8">
      <w:pPr>
        <w:widowControl w:val="0"/>
        <w:spacing w:line="360" w:lineRule="auto"/>
        <w:ind w:firstLine="709"/>
        <w:jc w:val="both"/>
        <w:rPr>
          <w:rFonts w:ascii="Times New Roman" w:hAnsi="Times New Roman"/>
          <w:sz w:val="28"/>
          <w:szCs w:val="28"/>
          <w:lang w:val="uk-UA"/>
        </w:rPr>
      </w:pPr>
    </w:p>
    <w:p w:rsidR="0050647C" w:rsidRPr="007719D8" w:rsidRDefault="007202B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Як бачимо, до серпня 2008 року акції досить добре котирувались на ринку: показник P/B у середньому складав 9,7. Новий виток зростання ціни акції можна спостерігати, починаючи з травня 2009, у період пожвавлення фондового ринку.</w:t>
      </w:r>
      <w:r w:rsidR="00C37117" w:rsidRPr="007719D8">
        <w:rPr>
          <w:rFonts w:ascii="Times New Roman" w:hAnsi="Times New Roman"/>
          <w:sz w:val="28"/>
          <w:szCs w:val="28"/>
          <w:lang w:val="uk-UA"/>
        </w:rPr>
        <w:t xml:space="preserve"> Станом на 9 квітня 2010 року акція </w:t>
      </w:r>
      <w:r w:rsidR="000C7700" w:rsidRPr="007719D8">
        <w:rPr>
          <w:rFonts w:ascii="Times New Roman" w:hAnsi="Times New Roman"/>
          <w:sz w:val="28"/>
          <w:szCs w:val="28"/>
          <w:lang w:val="uk-UA"/>
        </w:rPr>
        <w:t>ПАТ</w:t>
      </w:r>
      <w:r w:rsidR="00EE7868" w:rsidRPr="007719D8">
        <w:rPr>
          <w:rFonts w:ascii="Times New Roman" w:hAnsi="Times New Roman"/>
          <w:sz w:val="28"/>
          <w:szCs w:val="28"/>
          <w:lang w:val="uk-UA"/>
        </w:rPr>
        <w:t xml:space="preserve"> «Райффайзен Банк Аваль»</w:t>
      </w:r>
      <w:r w:rsidR="00C37117" w:rsidRPr="007719D8">
        <w:rPr>
          <w:rFonts w:ascii="Times New Roman" w:hAnsi="Times New Roman"/>
          <w:sz w:val="28"/>
          <w:szCs w:val="28"/>
          <w:lang w:val="uk-UA"/>
        </w:rPr>
        <w:t xml:space="preserve"> котирувалася на ПФТС за ціною 0,4140 грн.</w:t>
      </w:r>
    </w:p>
    <w:p w:rsidR="007202B2" w:rsidRPr="007719D8" w:rsidRDefault="00557B0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Для оцінки вартості банку у подальшому необхідним буде використання </w:t>
      </w:r>
      <w:r w:rsidR="00995E84" w:rsidRPr="007719D8">
        <w:rPr>
          <w:rFonts w:ascii="Times New Roman" w:hAnsi="Times New Roman"/>
          <w:sz w:val="28"/>
          <w:szCs w:val="28"/>
          <w:lang w:val="uk-UA"/>
        </w:rPr>
        <w:t xml:space="preserve">конкретного значення показника очікуваної дохідності банку. Найбільш доцільним методом розрахунку очікуваної дохідності буде використання моделі </w:t>
      </w:r>
      <w:r w:rsidR="008243B9" w:rsidRPr="007719D8">
        <w:rPr>
          <w:rFonts w:ascii="Times New Roman" w:hAnsi="Times New Roman"/>
          <w:sz w:val="28"/>
          <w:szCs w:val="28"/>
          <w:lang w:val="uk-UA"/>
        </w:rPr>
        <w:t>CAPM. Згідно неї, дохідність власного капіталу для даних умов ринку може бути виражена наступним виразом:</w:t>
      </w:r>
    </w:p>
    <w:p w:rsidR="008243B9" w:rsidRPr="007719D8" w:rsidRDefault="008243B9" w:rsidP="007719D8">
      <w:pPr>
        <w:widowControl w:val="0"/>
        <w:spacing w:line="360" w:lineRule="auto"/>
        <w:ind w:firstLine="709"/>
        <w:jc w:val="both"/>
        <w:rPr>
          <w:rFonts w:ascii="Times New Roman" w:hAnsi="Times New Roman"/>
          <w:sz w:val="28"/>
          <w:szCs w:val="28"/>
          <w:lang w:val="uk-UA"/>
        </w:rPr>
      </w:pPr>
    </w:p>
    <w:p w:rsidR="008243B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5679" w:dyaOrig="360">
          <v:shape id="_x0000_i1034" type="#_x0000_t75" style="width:289.5pt;height:18.75pt" o:ole="">
            <v:imagedata r:id="rId24" o:title=""/>
          </v:shape>
          <o:OLEObject Type="Embed" ProgID="Equation.3" ShapeID="_x0000_i1034" DrawAspect="Content" ObjectID="_1476268277" r:id="rId25"/>
        </w:object>
      </w:r>
    </w:p>
    <w:p w:rsidR="00894286" w:rsidRPr="007719D8" w:rsidRDefault="00894286" w:rsidP="007719D8">
      <w:pPr>
        <w:widowControl w:val="0"/>
        <w:spacing w:line="360" w:lineRule="auto"/>
        <w:ind w:firstLine="709"/>
        <w:jc w:val="both"/>
        <w:rPr>
          <w:rFonts w:ascii="Times New Roman" w:hAnsi="Times New Roman"/>
          <w:sz w:val="28"/>
          <w:szCs w:val="28"/>
          <w:lang w:val="uk-UA"/>
        </w:rPr>
      </w:pPr>
    </w:p>
    <w:p w:rsidR="00C37117" w:rsidRPr="007719D8" w:rsidRDefault="00C371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k</w:t>
      </w:r>
      <w:r w:rsidRPr="007719D8">
        <w:rPr>
          <w:rFonts w:ascii="Times New Roman" w:hAnsi="Times New Roman"/>
          <w:sz w:val="28"/>
          <w:szCs w:val="28"/>
          <w:vertAlign w:val="subscript"/>
          <w:lang w:val="uk-UA"/>
        </w:rPr>
        <w:t>RF</w:t>
      </w:r>
      <w:r w:rsidRPr="007719D8">
        <w:rPr>
          <w:rFonts w:ascii="Times New Roman" w:hAnsi="Times New Roman"/>
          <w:sz w:val="28"/>
          <w:szCs w:val="28"/>
          <w:lang w:val="uk-UA"/>
        </w:rPr>
        <w:t xml:space="preserve"> — ставка безризикової дохідності для ринку;</w:t>
      </w:r>
    </w:p>
    <w:p w:rsidR="00C37117" w:rsidRPr="007719D8" w:rsidRDefault="00C371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k</w:t>
      </w:r>
      <w:r w:rsidRPr="007719D8">
        <w:rPr>
          <w:rFonts w:ascii="Times New Roman" w:hAnsi="Times New Roman"/>
          <w:sz w:val="28"/>
          <w:szCs w:val="28"/>
          <w:vertAlign w:val="subscript"/>
          <w:lang w:val="uk-UA"/>
        </w:rPr>
        <w:t>S</w:t>
      </w:r>
      <w:r w:rsidRPr="007719D8">
        <w:rPr>
          <w:rFonts w:ascii="Times New Roman" w:hAnsi="Times New Roman"/>
          <w:sz w:val="28"/>
          <w:szCs w:val="28"/>
          <w:lang w:val="uk-UA"/>
        </w:rPr>
        <w:t xml:space="preserve"> — очікувана ставка дохідності для власного капіталу;</w:t>
      </w:r>
    </w:p>
    <w:p w:rsidR="00C37117" w:rsidRPr="007719D8" w:rsidRDefault="00C371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k</w:t>
      </w:r>
      <w:r w:rsidRPr="007719D8">
        <w:rPr>
          <w:rFonts w:ascii="Times New Roman" w:hAnsi="Times New Roman"/>
          <w:sz w:val="28"/>
          <w:szCs w:val="28"/>
          <w:vertAlign w:val="subscript"/>
          <w:lang w:val="uk-UA"/>
        </w:rPr>
        <w:t>M</w:t>
      </w:r>
      <w:r w:rsidRPr="007719D8">
        <w:rPr>
          <w:rFonts w:ascii="Times New Roman" w:hAnsi="Times New Roman"/>
          <w:sz w:val="28"/>
          <w:szCs w:val="28"/>
          <w:lang w:val="uk-UA"/>
        </w:rPr>
        <w:t xml:space="preserve"> — середня ринкова дохідність;</w:t>
      </w:r>
    </w:p>
    <w:p w:rsidR="00C37117" w:rsidRPr="007719D8" w:rsidRDefault="00C371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β — коефіцієнт, що відображає зв’язок дохідності ринку та власного капіталу конкретного банку.</w:t>
      </w:r>
    </w:p>
    <w:p w:rsidR="00293876" w:rsidRPr="007719D8" w:rsidRDefault="0029387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Зазвичай у розвинених країнах є прийнятним для визначення </w:t>
      </w:r>
      <w:r w:rsidR="00573336" w:rsidRPr="007719D8">
        <w:rPr>
          <w:rFonts w:ascii="Times New Roman" w:hAnsi="Times New Roman"/>
          <w:sz w:val="28"/>
          <w:szCs w:val="28"/>
          <w:lang w:val="uk-UA"/>
        </w:rPr>
        <w:t>без</w:t>
      </w:r>
      <w:r w:rsidRPr="007719D8">
        <w:rPr>
          <w:rFonts w:ascii="Times New Roman" w:hAnsi="Times New Roman"/>
          <w:sz w:val="28"/>
          <w:szCs w:val="28"/>
          <w:lang w:val="uk-UA"/>
        </w:rPr>
        <w:t>ризикової дохідності орієнтуватися на дохідність фінансових інструментів, що емітовані Урядом держави або покриваються його гарантіями. Отже, тоді можемо прийняти k</w:t>
      </w:r>
      <w:r w:rsidRPr="007719D8">
        <w:rPr>
          <w:rFonts w:ascii="Times New Roman" w:hAnsi="Times New Roman"/>
          <w:sz w:val="28"/>
          <w:szCs w:val="28"/>
          <w:vertAlign w:val="subscript"/>
          <w:lang w:val="uk-UA"/>
        </w:rPr>
        <w:t>RF</w:t>
      </w:r>
      <w:r w:rsidR="007719D8">
        <w:rPr>
          <w:rFonts w:ascii="Times New Roman" w:hAnsi="Times New Roman"/>
          <w:sz w:val="28"/>
          <w:szCs w:val="28"/>
          <w:vertAlign w:val="subscript"/>
          <w:lang w:val="uk-UA"/>
        </w:rPr>
        <w:t xml:space="preserve"> </w:t>
      </w:r>
      <w:r w:rsidR="009175D3" w:rsidRPr="007719D8">
        <w:rPr>
          <w:rFonts w:ascii="Times New Roman" w:hAnsi="Times New Roman"/>
          <w:sz w:val="28"/>
          <w:szCs w:val="28"/>
          <w:lang w:val="uk-UA"/>
        </w:rPr>
        <w:t>тотожною річній</w:t>
      </w:r>
      <w:r w:rsidRPr="007719D8">
        <w:rPr>
          <w:rFonts w:ascii="Times New Roman" w:hAnsi="Times New Roman"/>
          <w:sz w:val="28"/>
          <w:szCs w:val="28"/>
          <w:lang w:val="uk-UA"/>
        </w:rPr>
        <w:t xml:space="preserve"> дохідності </w:t>
      </w:r>
      <w:r w:rsidR="00573336" w:rsidRPr="007719D8">
        <w:rPr>
          <w:rFonts w:ascii="Times New Roman" w:hAnsi="Times New Roman"/>
          <w:sz w:val="28"/>
          <w:szCs w:val="28"/>
          <w:lang w:val="uk-UA"/>
        </w:rPr>
        <w:t>довгострокових ОВДЗ, що є у обігу в Україн</w:t>
      </w:r>
      <w:r w:rsidR="009175D3" w:rsidRPr="007719D8">
        <w:rPr>
          <w:rFonts w:ascii="Times New Roman" w:hAnsi="Times New Roman"/>
          <w:sz w:val="28"/>
          <w:szCs w:val="28"/>
          <w:lang w:val="uk-UA"/>
        </w:rPr>
        <w:t>і. На даний момент для 13-річних</w:t>
      </w:r>
      <w:r w:rsidR="00573336" w:rsidRPr="007719D8">
        <w:rPr>
          <w:rFonts w:ascii="Times New Roman" w:hAnsi="Times New Roman"/>
          <w:sz w:val="28"/>
          <w:szCs w:val="28"/>
          <w:lang w:val="uk-UA"/>
        </w:rPr>
        <w:t xml:space="preserve"> облігацій номінальна ставка дохідності складає 9,5% річних. </w:t>
      </w:r>
    </w:p>
    <w:p w:rsidR="00573336" w:rsidRPr="007719D8" w:rsidRDefault="0057333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Для визначення </w:t>
      </w:r>
      <w:r w:rsidR="00D63105" w:rsidRPr="007719D8">
        <w:rPr>
          <w:rFonts w:ascii="Times New Roman" w:hAnsi="Times New Roman"/>
          <w:sz w:val="28"/>
          <w:szCs w:val="28"/>
          <w:lang w:val="uk-UA"/>
        </w:rPr>
        <w:t xml:space="preserve">значення </w:t>
      </w:r>
      <w:r w:rsidR="0092338A" w:rsidRPr="007719D8">
        <w:rPr>
          <w:rFonts w:ascii="Times New Roman" w:hAnsi="Times New Roman"/>
          <w:sz w:val="28"/>
          <w:szCs w:val="28"/>
          <w:lang w:val="uk-UA"/>
        </w:rPr>
        <w:t>коефіцієнту</w:t>
      </w:r>
      <w:r w:rsidR="00D63105" w:rsidRPr="007719D8">
        <w:rPr>
          <w:rFonts w:ascii="Times New Roman" w:hAnsi="Times New Roman"/>
          <w:sz w:val="28"/>
          <w:szCs w:val="28"/>
          <w:lang w:val="uk-UA"/>
        </w:rPr>
        <w:t xml:space="preserve"> β для банку необхідним буде знайти коефіцієнт однофакторної лінійної регресії при факторній змінній, тобто:</w:t>
      </w:r>
    </w:p>
    <w:p w:rsidR="0092338A" w:rsidRPr="007719D8" w:rsidRDefault="0092338A" w:rsidP="007719D8">
      <w:pPr>
        <w:widowControl w:val="0"/>
        <w:spacing w:line="360" w:lineRule="auto"/>
        <w:ind w:firstLine="709"/>
        <w:jc w:val="both"/>
        <w:rPr>
          <w:rFonts w:ascii="Times New Roman" w:hAnsi="Times New Roman"/>
          <w:sz w:val="28"/>
          <w:szCs w:val="28"/>
          <w:lang w:val="uk-UA"/>
        </w:rPr>
      </w:pPr>
    </w:p>
    <w:p w:rsidR="00D63105"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6740" w:dyaOrig="1460">
          <v:shape id="_x0000_i1035" type="#_x0000_t75" style="width:323.25pt;height:69.75pt" o:ole="">
            <v:imagedata r:id="rId26" o:title=""/>
          </v:shape>
          <o:OLEObject Type="Embed" ProgID="Equation.3" ShapeID="_x0000_i1035" DrawAspect="Content" ObjectID="_1476268278" r:id="rId27"/>
        </w:object>
      </w:r>
    </w:p>
    <w:p w:rsidR="0092338A" w:rsidRPr="007719D8" w:rsidRDefault="0092338A" w:rsidP="007719D8">
      <w:pPr>
        <w:widowControl w:val="0"/>
        <w:spacing w:line="360" w:lineRule="auto"/>
        <w:ind w:firstLine="709"/>
        <w:jc w:val="both"/>
        <w:rPr>
          <w:rFonts w:ascii="Times New Roman" w:hAnsi="Times New Roman"/>
          <w:sz w:val="28"/>
          <w:szCs w:val="28"/>
          <w:lang w:val="uk-UA"/>
        </w:rPr>
      </w:pPr>
    </w:p>
    <w:p w:rsidR="0092338A" w:rsidRPr="007719D8" w:rsidRDefault="0092338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k</w:t>
      </w:r>
      <w:r w:rsidRPr="007719D8">
        <w:rPr>
          <w:rFonts w:ascii="Times New Roman" w:hAnsi="Times New Roman"/>
          <w:sz w:val="28"/>
          <w:szCs w:val="28"/>
          <w:vertAlign w:val="subscript"/>
          <w:lang w:val="uk-UA"/>
        </w:rPr>
        <w:t>Аі</w:t>
      </w:r>
      <w:r w:rsidRPr="007719D8">
        <w:rPr>
          <w:rFonts w:ascii="Times New Roman" w:hAnsi="Times New Roman"/>
          <w:sz w:val="28"/>
          <w:szCs w:val="28"/>
          <w:lang w:val="uk-UA"/>
        </w:rPr>
        <w:t xml:space="preserve"> — ставка дохідності для активу А у і-тий період;</w:t>
      </w:r>
    </w:p>
    <w:p w:rsidR="0092338A" w:rsidRPr="007719D8" w:rsidRDefault="0092338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 — кількість спостережень (періодів спостереження) за дохідністю активу;</w:t>
      </w:r>
    </w:p>
    <w:p w:rsidR="0092338A" w:rsidRPr="007719D8" w:rsidRDefault="0092338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σ</w:t>
      </w:r>
      <w:r w:rsidRPr="007719D8">
        <w:rPr>
          <w:rFonts w:ascii="Times New Roman" w:hAnsi="Times New Roman"/>
          <w:sz w:val="28"/>
          <w:szCs w:val="28"/>
          <w:vertAlign w:val="superscript"/>
          <w:lang w:val="uk-UA"/>
        </w:rPr>
        <w:t>2</w:t>
      </w:r>
      <w:r w:rsidRPr="007719D8">
        <w:rPr>
          <w:rFonts w:ascii="Times New Roman" w:hAnsi="Times New Roman"/>
          <w:sz w:val="28"/>
          <w:szCs w:val="28"/>
          <w:lang w:val="uk-UA"/>
        </w:rPr>
        <w:t xml:space="preserve"> </w:t>
      </w:r>
      <w:r w:rsidRPr="007719D8">
        <w:rPr>
          <w:rFonts w:ascii="Times New Roman" w:hAnsi="Times New Roman"/>
          <w:sz w:val="28"/>
          <w:szCs w:val="28"/>
          <w:vertAlign w:val="subscript"/>
          <w:lang w:val="uk-UA"/>
        </w:rPr>
        <w:t>А</w:t>
      </w:r>
      <w:r w:rsidR="007719D8">
        <w:rPr>
          <w:rFonts w:ascii="Times New Roman" w:hAnsi="Times New Roman"/>
          <w:sz w:val="28"/>
          <w:szCs w:val="28"/>
          <w:lang w:val="uk-UA"/>
        </w:rPr>
        <w:t xml:space="preserve"> </w:t>
      </w:r>
      <w:r w:rsidRPr="007719D8">
        <w:rPr>
          <w:rFonts w:ascii="Times New Roman" w:hAnsi="Times New Roman"/>
          <w:sz w:val="28"/>
          <w:szCs w:val="28"/>
          <w:lang w:val="uk-UA"/>
        </w:rPr>
        <w:t>— дисперсія дохідності для активу А;</w:t>
      </w:r>
    </w:p>
    <w:p w:rsidR="0092338A" w:rsidRPr="007719D8" w:rsidRDefault="0092338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верхнє підкреслення над позначенням — серед</w:t>
      </w:r>
      <w:r w:rsidR="00706394" w:rsidRPr="007719D8">
        <w:rPr>
          <w:rFonts w:ascii="Times New Roman" w:hAnsi="Times New Roman"/>
          <w:sz w:val="28"/>
          <w:szCs w:val="28"/>
          <w:lang w:val="uk-UA"/>
        </w:rPr>
        <w:t>н</w:t>
      </w:r>
      <w:r w:rsidRPr="007719D8">
        <w:rPr>
          <w:rFonts w:ascii="Times New Roman" w:hAnsi="Times New Roman"/>
          <w:sz w:val="28"/>
          <w:szCs w:val="28"/>
          <w:lang w:val="uk-UA"/>
        </w:rPr>
        <w:t>я величина для змінної.</w:t>
      </w:r>
    </w:p>
    <w:p w:rsidR="0092338A" w:rsidRPr="007719D8" w:rsidRDefault="0092338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додатку В наведено вибірку для розрахунку коефіцієнту β та параметри статистичної значущості для коефіцієнту. Для ринку банківських послуг України значення коефіцієнту β</w:t>
      </w:r>
      <w:r w:rsidR="00F5535E" w:rsidRPr="007719D8">
        <w:rPr>
          <w:rFonts w:ascii="Times New Roman" w:hAnsi="Times New Roman"/>
          <w:sz w:val="28"/>
          <w:szCs w:val="28"/>
          <w:lang w:val="uk-UA"/>
        </w:rPr>
        <w:t xml:space="preserve"> буд</w:t>
      </w:r>
      <w:r w:rsidR="002A7A36" w:rsidRPr="007719D8">
        <w:rPr>
          <w:rFonts w:ascii="Times New Roman" w:hAnsi="Times New Roman"/>
          <w:sz w:val="28"/>
          <w:szCs w:val="28"/>
          <w:lang w:val="uk-UA"/>
        </w:rPr>
        <w:t>е</w:t>
      </w:r>
      <w:r w:rsidR="00F5535E" w:rsidRPr="007719D8">
        <w:rPr>
          <w:rFonts w:ascii="Times New Roman" w:hAnsi="Times New Roman"/>
          <w:sz w:val="28"/>
          <w:szCs w:val="28"/>
          <w:lang w:val="uk-UA"/>
        </w:rPr>
        <w:t xml:space="preserve"> дорівнювати 1,05, що вказує на деяку незначну премію дохідності понад середню для ринку в цілому, що притаманна конкретно для вкладення у капітал </w:t>
      </w:r>
      <w:r w:rsidR="000C7700" w:rsidRPr="007719D8">
        <w:rPr>
          <w:rFonts w:ascii="Times New Roman" w:hAnsi="Times New Roman"/>
          <w:sz w:val="28"/>
          <w:szCs w:val="28"/>
          <w:lang w:val="uk-UA"/>
        </w:rPr>
        <w:t>ПАТ</w:t>
      </w:r>
      <w:r w:rsidR="00EE7868" w:rsidRPr="007719D8">
        <w:rPr>
          <w:rFonts w:ascii="Times New Roman" w:hAnsi="Times New Roman"/>
          <w:sz w:val="28"/>
          <w:szCs w:val="28"/>
          <w:lang w:val="uk-UA"/>
        </w:rPr>
        <w:t xml:space="preserve"> «Райффайзен Банк Аваль»</w:t>
      </w:r>
      <w:r w:rsidR="00F5535E" w:rsidRPr="007719D8">
        <w:rPr>
          <w:rFonts w:ascii="Times New Roman" w:hAnsi="Times New Roman"/>
          <w:sz w:val="28"/>
          <w:szCs w:val="28"/>
          <w:lang w:val="uk-UA"/>
        </w:rPr>
        <w:t xml:space="preserve">. </w:t>
      </w:r>
    </w:p>
    <w:p w:rsidR="00706394" w:rsidRPr="007719D8" w:rsidRDefault="0070639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Маючи всі необхідні дані, ми можемо розрахувати очікувану дохідність для капіталу банку на наступі періоди (при аналізі ми умовно приймаємо, що середня дохідність ринку у </w:t>
      </w:r>
      <w:r w:rsidR="0089009A" w:rsidRPr="007719D8">
        <w:rPr>
          <w:rFonts w:ascii="Times New Roman" w:hAnsi="Times New Roman"/>
          <w:sz w:val="28"/>
          <w:szCs w:val="28"/>
          <w:lang w:val="uk-UA"/>
        </w:rPr>
        <w:t>період 2010-2013 рр.</w:t>
      </w:r>
      <w:r w:rsidRPr="007719D8">
        <w:rPr>
          <w:rFonts w:ascii="Times New Roman" w:hAnsi="Times New Roman"/>
          <w:sz w:val="28"/>
          <w:szCs w:val="28"/>
          <w:lang w:val="uk-UA"/>
        </w:rPr>
        <w:t xml:space="preserve"> буде дорівнювати дохідності станом на 2007 рік, як відносно стабільний, із позитивним зростанням економіки, період, ROE у середньому по </w:t>
      </w:r>
      <w:r w:rsidR="00187887" w:rsidRPr="007719D8">
        <w:rPr>
          <w:rFonts w:ascii="Times New Roman" w:hAnsi="Times New Roman"/>
          <w:sz w:val="28"/>
          <w:szCs w:val="28"/>
          <w:lang w:val="uk-UA"/>
        </w:rPr>
        <w:t xml:space="preserve">банківській </w:t>
      </w:r>
      <w:r w:rsidRPr="007719D8">
        <w:rPr>
          <w:rFonts w:ascii="Times New Roman" w:hAnsi="Times New Roman"/>
          <w:sz w:val="28"/>
          <w:szCs w:val="28"/>
          <w:lang w:val="uk-UA"/>
        </w:rPr>
        <w:t xml:space="preserve">системі </w:t>
      </w:r>
      <w:r w:rsidR="00187887" w:rsidRPr="007719D8">
        <w:rPr>
          <w:rFonts w:ascii="Times New Roman" w:hAnsi="Times New Roman"/>
          <w:sz w:val="28"/>
          <w:szCs w:val="28"/>
          <w:lang w:val="uk-UA"/>
        </w:rPr>
        <w:t>тоді дорівнювало 13,52%</w:t>
      </w:r>
      <w:r w:rsidR="00807FE8" w:rsidRPr="007719D8">
        <w:rPr>
          <w:rFonts w:ascii="Times New Roman" w:hAnsi="Times New Roman"/>
          <w:sz w:val="28"/>
          <w:szCs w:val="28"/>
          <w:lang w:val="uk-UA"/>
        </w:rPr>
        <w:t xml:space="preserve">; </w:t>
      </w:r>
      <w:r w:rsidR="00FF59A6" w:rsidRPr="007719D8">
        <w:rPr>
          <w:rFonts w:ascii="Times New Roman" w:hAnsi="Times New Roman"/>
          <w:sz w:val="28"/>
          <w:szCs w:val="28"/>
          <w:lang w:val="uk-UA"/>
        </w:rPr>
        <w:t xml:space="preserve">у </w:t>
      </w:r>
      <w:r w:rsidR="00807FE8" w:rsidRPr="007719D8">
        <w:rPr>
          <w:rFonts w:ascii="Times New Roman" w:hAnsi="Times New Roman"/>
          <w:sz w:val="28"/>
          <w:szCs w:val="28"/>
          <w:lang w:val="uk-UA"/>
        </w:rPr>
        <w:t>подальшому</w:t>
      </w:r>
      <w:r w:rsidR="007719D8">
        <w:rPr>
          <w:rFonts w:ascii="Times New Roman" w:hAnsi="Times New Roman"/>
          <w:sz w:val="28"/>
          <w:szCs w:val="28"/>
          <w:lang w:val="uk-UA"/>
        </w:rPr>
        <w:t xml:space="preserve"> </w:t>
      </w:r>
      <w:r w:rsidR="002A7A36" w:rsidRPr="007719D8">
        <w:rPr>
          <w:rFonts w:ascii="Times New Roman" w:hAnsi="Times New Roman"/>
          <w:sz w:val="28"/>
          <w:szCs w:val="28"/>
          <w:lang w:val="uk-UA"/>
        </w:rPr>
        <w:t xml:space="preserve">по прогнозу </w:t>
      </w:r>
      <w:r w:rsidR="00807FE8" w:rsidRPr="007719D8">
        <w:rPr>
          <w:rFonts w:ascii="Times New Roman" w:hAnsi="Times New Roman"/>
          <w:sz w:val="28"/>
          <w:szCs w:val="28"/>
          <w:lang w:val="uk-UA"/>
        </w:rPr>
        <w:t>дохідність буде знижуватись</w:t>
      </w:r>
      <w:r w:rsidRPr="007719D8">
        <w:rPr>
          <w:rFonts w:ascii="Times New Roman" w:hAnsi="Times New Roman"/>
          <w:sz w:val="28"/>
          <w:szCs w:val="28"/>
          <w:lang w:val="uk-UA"/>
        </w:rPr>
        <w:t>)</w:t>
      </w:r>
      <w:r w:rsidR="00187887" w:rsidRPr="007719D8">
        <w:rPr>
          <w:rFonts w:ascii="Times New Roman" w:hAnsi="Times New Roman"/>
          <w:sz w:val="28"/>
          <w:szCs w:val="28"/>
          <w:lang w:val="uk-UA"/>
        </w:rPr>
        <w:t xml:space="preserve">. </w:t>
      </w:r>
    </w:p>
    <w:p w:rsidR="00187887" w:rsidRPr="007719D8" w:rsidRDefault="00187887" w:rsidP="007719D8">
      <w:pPr>
        <w:widowControl w:val="0"/>
        <w:spacing w:line="360" w:lineRule="auto"/>
        <w:ind w:firstLine="709"/>
        <w:jc w:val="both"/>
        <w:rPr>
          <w:rFonts w:ascii="Times New Roman" w:hAnsi="Times New Roman"/>
          <w:sz w:val="28"/>
          <w:szCs w:val="28"/>
          <w:lang w:val="uk-UA"/>
        </w:rPr>
      </w:pPr>
    </w:p>
    <w:p w:rsidR="0092338A" w:rsidRPr="007719D8" w:rsidRDefault="002B1FD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4580" w:dyaOrig="360">
          <v:shape id="_x0000_i1036" type="#_x0000_t75" style="width:233.25pt;height:18.75pt" o:ole="">
            <v:imagedata r:id="rId28" o:title=""/>
          </v:shape>
          <o:OLEObject Type="Embed" ProgID="Equation.3" ShapeID="_x0000_i1036" DrawAspect="Content" ObjectID="_1476268279" r:id="rId29"/>
        </w:object>
      </w:r>
    </w:p>
    <w:p w:rsidR="00187887" w:rsidRPr="007719D8" w:rsidRDefault="00187887" w:rsidP="007719D8">
      <w:pPr>
        <w:widowControl w:val="0"/>
        <w:spacing w:line="360" w:lineRule="auto"/>
        <w:ind w:firstLine="709"/>
        <w:jc w:val="both"/>
        <w:rPr>
          <w:rFonts w:ascii="Times New Roman" w:hAnsi="Times New Roman"/>
          <w:sz w:val="28"/>
          <w:szCs w:val="28"/>
          <w:lang w:val="uk-UA"/>
        </w:rPr>
      </w:pPr>
    </w:p>
    <w:p w:rsidR="00187887" w:rsidRPr="007719D8" w:rsidRDefault="0018788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Тепер ми можемо на базі прогнозованої фінансової звітност</w:t>
      </w:r>
      <w:r w:rsidR="002A7A36" w:rsidRPr="007719D8">
        <w:rPr>
          <w:rFonts w:ascii="Times New Roman" w:hAnsi="Times New Roman"/>
          <w:sz w:val="28"/>
          <w:szCs w:val="28"/>
          <w:lang w:val="uk-UA"/>
        </w:rPr>
        <w:t>і банку на період 2010-2017 рік</w:t>
      </w:r>
      <w:r w:rsidRPr="007719D8">
        <w:rPr>
          <w:rFonts w:ascii="Times New Roman" w:hAnsi="Times New Roman"/>
          <w:sz w:val="28"/>
          <w:szCs w:val="28"/>
          <w:lang w:val="uk-UA"/>
        </w:rPr>
        <w:t xml:space="preserve"> </w:t>
      </w:r>
      <w:r w:rsidR="007E48BF" w:rsidRPr="007719D8">
        <w:rPr>
          <w:rFonts w:ascii="Times New Roman" w:hAnsi="Times New Roman"/>
          <w:sz w:val="28"/>
          <w:szCs w:val="28"/>
          <w:lang w:val="uk-UA"/>
        </w:rPr>
        <w:t>визначити</w:t>
      </w:r>
      <w:r w:rsidRPr="007719D8">
        <w:rPr>
          <w:rFonts w:ascii="Times New Roman" w:hAnsi="Times New Roman"/>
          <w:sz w:val="28"/>
          <w:szCs w:val="28"/>
          <w:lang w:val="uk-UA"/>
        </w:rPr>
        <w:t xml:space="preserve"> результати діяльності банку, а саме: </w:t>
      </w:r>
      <w:r w:rsidR="0065528B" w:rsidRPr="007719D8">
        <w:rPr>
          <w:rFonts w:ascii="Times New Roman" w:hAnsi="Times New Roman"/>
          <w:sz w:val="28"/>
          <w:szCs w:val="28"/>
          <w:lang w:val="uk-UA"/>
        </w:rPr>
        <w:t>прибутковість банку на наступні періоди, очікувані дивіденд та чистий грошовий потік. У додатку Г наведено методику склад</w:t>
      </w:r>
      <w:r w:rsidR="002A7A36" w:rsidRPr="007719D8">
        <w:rPr>
          <w:rFonts w:ascii="Times New Roman" w:hAnsi="Times New Roman"/>
          <w:sz w:val="28"/>
          <w:szCs w:val="28"/>
          <w:lang w:val="uk-UA"/>
        </w:rPr>
        <w:t>ення</w:t>
      </w:r>
      <w:r w:rsidR="0065528B" w:rsidRPr="007719D8">
        <w:rPr>
          <w:rFonts w:ascii="Times New Roman" w:hAnsi="Times New Roman"/>
          <w:sz w:val="28"/>
          <w:szCs w:val="28"/>
          <w:lang w:val="uk-UA"/>
        </w:rPr>
        <w:t xml:space="preserve"> прогнозної фінансової звітності для комерційного банку.</w:t>
      </w:r>
    </w:p>
    <w:p w:rsidR="0065528B" w:rsidRPr="007719D8" w:rsidRDefault="002C4BA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таблиці 2.1</w:t>
      </w:r>
      <w:r w:rsidR="002B1FD6" w:rsidRPr="007719D8">
        <w:rPr>
          <w:rFonts w:ascii="Times New Roman" w:hAnsi="Times New Roman"/>
          <w:sz w:val="28"/>
          <w:szCs w:val="28"/>
          <w:lang w:val="uk-UA"/>
        </w:rPr>
        <w:t xml:space="preserve"> </w:t>
      </w:r>
      <w:r w:rsidR="00A07DAC" w:rsidRPr="007719D8">
        <w:rPr>
          <w:rFonts w:ascii="Times New Roman" w:hAnsi="Times New Roman"/>
          <w:sz w:val="28"/>
          <w:szCs w:val="28"/>
          <w:lang w:val="uk-UA"/>
        </w:rPr>
        <w:t>наведений аналіз формування грошов</w:t>
      </w:r>
      <w:r w:rsidR="009C1AF5" w:rsidRPr="007719D8">
        <w:rPr>
          <w:rFonts w:ascii="Times New Roman" w:hAnsi="Times New Roman"/>
          <w:sz w:val="28"/>
          <w:szCs w:val="28"/>
          <w:lang w:val="uk-UA"/>
        </w:rPr>
        <w:t>их потоків для акціонерів банку:</w:t>
      </w:r>
    </w:p>
    <w:p w:rsidR="00714606" w:rsidRPr="007719D8" w:rsidRDefault="00714606" w:rsidP="007719D8">
      <w:pPr>
        <w:widowControl w:val="0"/>
        <w:spacing w:line="360" w:lineRule="auto"/>
        <w:ind w:firstLine="709"/>
        <w:jc w:val="both"/>
        <w:rPr>
          <w:rFonts w:ascii="Times New Roman" w:hAnsi="Times New Roman"/>
          <w:sz w:val="28"/>
          <w:szCs w:val="28"/>
          <w:lang w:val="uk-UA"/>
        </w:rPr>
      </w:pPr>
    </w:p>
    <w:p w:rsidR="00736E7A" w:rsidRDefault="00736E7A">
      <w:pPr>
        <w:spacing w:line="240" w:lineRule="auto"/>
        <w:rPr>
          <w:rFonts w:ascii="Times New Roman" w:hAnsi="Times New Roman"/>
          <w:sz w:val="28"/>
          <w:szCs w:val="28"/>
          <w:lang w:val="uk-UA"/>
        </w:rPr>
      </w:pPr>
      <w:r>
        <w:rPr>
          <w:rFonts w:ascii="Times New Roman" w:hAnsi="Times New Roman"/>
          <w:sz w:val="28"/>
          <w:szCs w:val="28"/>
          <w:lang w:val="uk-UA"/>
        </w:rPr>
        <w:br w:type="page"/>
      </w:r>
    </w:p>
    <w:p w:rsidR="009C1AF5" w:rsidRPr="007719D8" w:rsidRDefault="00EE786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2.1</w:t>
      </w:r>
    </w:p>
    <w:p w:rsidR="009C1AF5" w:rsidRPr="007719D8" w:rsidRDefault="009C1AF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Прогнозний план прибутків та дивідендів </w:t>
      </w:r>
      <w:r w:rsidR="000C7700" w:rsidRPr="007719D8">
        <w:rPr>
          <w:rFonts w:ascii="Times New Roman" w:hAnsi="Times New Roman"/>
          <w:sz w:val="28"/>
          <w:szCs w:val="28"/>
          <w:lang w:val="uk-UA"/>
        </w:rPr>
        <w:t>ПАТ</w:t>
      </w:r>
      <w:r w:rsidR="00EE7868" w:rsidRPr="007719D8">
        <w:rPr>
          <w:rFonts w:ascii="Times New Roman" w:hAnsi="Times New Roman"/>
          <w:sz w:val="28"/>
          <w:szCs w:val="28"/>
          <w:lang w:val="uk-UA"/>
        </w:rPr>
        <w:t xml:space="preserve"> «Райффайзен Банк Аваль»</w:t>
      </w:r>
      <w:r w:rsidR="00736E7A">
        <w:rPr>
          <w:rFonts w:ascii="Times New Roman" w:hAnsi="Times New Roman"/>
          <w:sz w:val="28"/>
          <w:szCs w:val="28"/>
          <w:lang w:val="uk-UA"/>
        </w:rPr>
        <w:t xml:space="preserve"> </w:t>
      </w:r>
      <w:r w:rsidRPr="007719D8">
        <w:rPr>
          <w:rFonts w:ascii="Times New Roman" w:hAnsi="Times New Roman"/>
          <w:sz w:val="28"/>
          <w:szCs w:val="28"/>
          <w:lang w:val="uk-UA"/>
        </w:rPr>
        <w:t>на 2010-2017 роки та оцінка вартості акцій та банку в цілому</w:t>
      </w:r>
    </w:p>
    <w:tbl>
      <w:tblPr>
        <w:tblW w:w="9654"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12"/>
        <w:gridCol w:w="236"/>
        <w:gridCol w:w="556"/>
        <w:gridCol w:w="295"/>
        <w:gridCol w:w="17"/>
        <w:gridCol w:w="219"/>
        <w:gridCol w:w="861"/>
        <w:gridCol w:w="832"/>
        <w:gridCol w:w="832"/>
        <w:gridCol w:w="832"/>
        <w:gridCol w:w="832"/>
        <w:gridCol w:w="832"/>
        <w:gridCol w:w="832"/>
        <w:gridCol w:w="832"/>
        <w:gridCol w:w="1034"/>
      </w:tblGrid>
      <w:tr w:rsidR="009C1AF5" w:rsidRPr="00736E7A" w:rsidTr="00736E7A">
        <w:trPr>
          <w:trHeight w:val="255"/>
        </w:trPr>
        <w:tc>
          <w:tcPr>
            <w:tcW w:w="612"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236"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556"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295"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236" w:type="dxa"/>
            <w:gridSpan w:val="2"/>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61"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09</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11</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12</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15</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w:t>
            </w:r>
            <w:r w:rsidR="00807FE8" w:rsidRPr="00736E7A">
              <w:rPr>
                <w:rFonts w:ascii="Times New Roman" w:hAnsi="Times New Roman"/>
                <w:sz w:val="20"/>
                <w:szCs w:val="20"/>
                <w:lang w:val="uk-UA" w:eastAsia="uk-UA"/>
              </w:rPr>
              <w:t>16</w:t>
            </w:r>
          </w:p>
        </w:tc>
        <w:tc>
          <w:tcPr>
            <w:tcW w:w="1034" w:type="dxa"/>
            <w:vAlign w:val="center"/>
            <w:hideMark/>
          </w:tcPr>
          <w:p w:rsidR="009C1AF5" w:rsidRPr="00736E7A" w:rsidRDefault="0023646B"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термінальний період</w:t>
            </w: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Прибуток банку за рік,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551,52</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627,87</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916,20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932,73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1 149,36</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1 237,99</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1 318,63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1 400,52</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 виплат,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0,42</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0,46</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0,50</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Сума дивідендів,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183,00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208,34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304,01</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309,50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381,38</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515,83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604,37</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700,26</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Вартість власного капіталу, %</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13,70%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13,70%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13,70%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13,70%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12,51%</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11,67%</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10,84%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10,00%</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10,00%</w:t>
            </w:r>
          </w:p>
        </w:tc>
      </w:tr>
      <w:tr w:rsidR="009C1AF5" w:rsidRPr="00736E7A" w:rsidTr="00736E7A">
        <w:trPr>
          <w:trHeight w:val="540"/>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Приведена вартість дивідендів, що будуть сплачені</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160,95</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161,16</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206,83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185,19</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202,83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247,50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259,68</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273,52</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25 979,64</w:t>
            </w: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Зростання прибутку на акцію</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6,50%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6,00%</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6,00%</w:t>
            </w:r>
          </w:p>
        </w:tc>
      </w:tr>
      <w:tr w:rsidR="009C1AF5" w:rsidRPr="00736E7A" w:rsidTr="00736E7A">
        <w:trPr>
          <w:trHeight w:val="49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Чистий грошовий потік за період,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-3 226,03</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253,14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864,99</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791,50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878,84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768,10</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763,34</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837,98</w:t>
            </w: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510"/>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Вартість дивідендів у осяжному періоді,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1 697,65</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540"/>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Термінальна вартість банку,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9 225,16</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1034"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Вартість банку, млн. 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10 922,82</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noWrap/>
            <w:vAlign w:val="bottom"/>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r w:rsidR="009C1AF5" w:rsidRPr="00736E7A" w:rsidTr="00736E7A">
        <w:trPr>
          <w:trHeight w:val="255"/>
        </w:trPr>
        <w:tc>
          <w:tcPr>
            <w:tcW w:w="1716" w:type="dxa"/>
            <w:gridSpan w:val="5"/>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Вартіст</w:t>
            </w:r>
            <w:r w:rsidR="003B5731" w:rsidRPr="00736E7A">
              <w:rPr>
                <w:rFonts w:ascii="Times New Roman" w:hAnsi="Times New Roman"/>
                <w:sz w:val="20"/>
                <w:szCs w:val="20"/>
                <w:lang w:val="uk-UA" w:eastAsia="uk-UA"/>
              </w:rPr>
              <w:t xml:space="preserve">ь акції, </w:t>
            </w:r>
            <w:r w:rsidRPr="00736E7A">
              <w:rPr>
                <w:rFonts w:ascii="Times New Roman" w:hAnsi="Times New Roman"/>
                <w:sz w:val="20"/>
                <w:szCs w:val="20"/>
                <w:lang w:val="uk-UA" w:eastAsia="uk-UA"/>
              </w:rPr>
              <w:t>грн</w:t>
            </w:r>
            <w:r w:rsidR="00164D26" w:rsidRPr="00736E7A">
              <w:rPr>
                <w:rFonts w:ascii="Times New Roman" w:hAnsi="Times New Roman"/>
                <w:sz w:val="20"/>
                <w:szCs w:val="20"/>
                <w:lang w:val="uk-UA" w:eastAsia="uk-UA"/>
              </w:rPr>
              <w:t>.</w:t>
            </w:r>
          </w:p>
        </w:tc>
        <w:tc>
          <w:tcPr>
            <w:tcW w:w="1080" w:type="dxa"/>
            <w:gridSpan w:val="2"/>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0,38</w:t>
            </w: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832"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c>
          <w:tcPr>
            <w:tcW w:w="1034" w:type="dxa"/>
            <w:vAlign w:val="center"/>
            <w:hideMark/>
          </w:tcPr>
          <w:p w:rsidR="009C1AF5" w:rsidRPr="00736E7A" w:rsidRDefault="009C1AF5" w:rsidP="00736E7A">
            <w:pPr>
              <w:widowControl w:val="0"/>
              <w:spacing w:line="360" w:lineRule="auto"/>
              <w:jc w:val="both"/>
              <w:rPr>
                <w:rFonts w:ascii="Times New Roman" w:hAnsi="Times New Roman"/>
                <w:sz w:val="20"/>
                <w:szCs w:val="20"/>
                <w:lang w:val="uk-UA" w:eastAsia="uk-UA"/>
              </w:rPr>
            </w:pPr>
          </w:p>
        </w:tc>
      </w:tr>
    </w:tbl>
    <w:p w:rsidR="00CD41F9" w:rsidRPr="007719D8" w:rsidRDefault="00CD41F9" w:rsidP="007719D8">
      <w:pPr>
        <w:widowControl w:val="0"/>
        <w:spacing w:line="360" w:lineRule="auto"/>
        <w:ind w:firstLine="709"/>
        <w:jc w:val="both"/>
        <w:rPr>
          <w:rFonts w:ascii="Times New Roman" w:hAnsi="Times New Roman"/>
          <w:sz w:val="28"/>
          <w:szCs w:val="28"/>
          <w:lang w:val="uk-UA"/>
        </w:rPr>
      </w:pPr>
    </w:p>
    <w:p w:rsidR="00A07DAC" w:rsidRPr="007719D8" w:rsidRDefault="009C1AF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Наведемо деякі пояснення до таблиці 2.1. </w:t>
      </w:r>
    </w:p>
    <w:p w:rsidR="00807FE8" w:rsidRDefault="00807FE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Упродовж 2010-2012 років очікувана дохідність буде рівною 13,70%; у подальшому у період 2013-2016 років вона буде лінійно знижуватись до 10%, це пов’язано із прогнозованою стабілізацією банківського ринку України, та зниженням дохідності рину загалом, у термінальному періоді очікувана дохідність буде прийнятою за 10%.</w:t>
      </w:r>
      <w:r w:rsidR="00714606" w:rsidRPr="007719D8">
        <w:rPr>
          <w:rFonts w:ascii="Times New Roman" w:hAnsi="Times New Roman"/>
          <w:sz w:val="28"/>
          <w:szCs w:val="28"/>
          <w:lang w:val="uk-UA"/>
        </w:rPr>
        <w:t xml:space="preserve"> Приведена вартість дивідендів знаходиться як приведена вартість їх величини згідно очікуваної дохідності, обраною як коефіцієнт дисконтування. </w:t>
      </w:r>
      <w:r w:rsidR="00BF2FA2" w:rsidRPr="007719D8">
        <w:rPr>
          <w:rFonts w:ascii="Times New Roman" w:hAnsi="Times New Roman"/>
          <w:sz w:val="28"/>
          <w:szCs w:val="28"/>
          <w:lang w:val="uk-UA"/>
        </w:rPr>
        <w:t>Для оцінки вартості банки як цілісного активу, необхідно використати наступну формулу:</w:t>
      </w:r>
    </w:p>
    <w:p w:rsidR="00736E7A" w:rsidRPr="007719D8" w:rsidRDefault="00736E7A" w:rsidP="007719D8">
      <w:pPr>
        <w:widowControl w:val="0"/>
        <w:spacing w:line="360" w:lineRule="auto"/>
        <w:ind w:firstLine="709"/>
        <w:jc w:val="both"/>
        <w:rPr>
          <w:rFonts w:ascii="Times New Roman" w:hAnsi="Times New Roman"/>
          <w:sz w:val="28"/>
          <w:szCs w:val="28"/>
          <w:lang w:val="uk-UA"/>
        </w:rPr>
      </w:pPr>
    </w:p>
    <w:p w:rsidR="00BF2FA2" w:rsidRPr="007719D8" w:rsidRDefault="009B074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object w:dxaOrig="6680" w:dyaOrig="720">
          <v:shape id="_x0000_i1037" type="#_x0000_t75" style="width:321pt;height:34.5pt" o:ole="">
            <v:imagedata r:id="rId30" o:title=""/>
          </v:shape>
          <o:OLEObject Type="Embed" ProgID="Equation.3" ShapeID="_x0000_i1037" DrawAspect="Content" ObjectID="_1476268280" r:id="rId31"/>
        </w:object>
      </w:r>
    </w:p>
    <w:p w:rsidR="00642079" w:rsidRPr="007719D8" w:rsidRDefault="00642079" w:rsidP="007719D8">
      <w:pPr>
        <w:widowControl w:val="0"/>
        <w:spacing w:line="360" w:lineRule="auto"/>
        <w:ind w:firstLine="709"/>
        <w:jc w:val="both"/>
        <w:rPr>
          <w:rFonts w:ascii="Times New Roman" w:hAnsi="Times New Roman"/>
          <w:sz w:val="28"/>
          <w:szCs w:val="28"/>
          <w:lang w:val="uk-UA"/>
        </w:rPr>
      </w:pPr>
    </w:p>
    <w:p w:rsidR="0064207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де V — вартість активу;</w:t>
      </w:r>
    </w:p>
    <w:p w:rsidR="0064207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п — кількість періодів для осяжного горизонту;</w:t>
      </w:r>
    </w:p>
    <w:p w:rsidR="0064207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k</w:t>
      </w:r>
      <w:r w:rsidRPr="007719D8">
        <w:rPr>
          <w:rFonts w:ascii="Times New Roman" w:hAnsi="Times New Roman"/>
          <w:sz w:val="28"/>
          <w:szCs w:val="28"/>
          <w:vertAlign w:val="subscript"/>
          <w:lang w:val="uk-UA"/>
        </w:rPr>
        <w:t>S</w:t>
      </w:r>
      <w:r w:rsidRPr="007719D8">
        <w:rPr>
          <w:rFonts w:ascii="Times New Roman" w:hAnsi="Times New Roman"/>
          <w:sz w:val="28"/>
          <w:szCs w:val="28"/>
          <w:lang w:val="uk-UA"/>
        </w:rPr>
        <w:t xml:space="preserve"> — очікувана дохідність для активу;</w:t>
      </w:r>
    </w:p>
    <w:p w:rsidR="0064207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en-US"/>
        </w:rPr>
        <w:t>D</w:t>
      </w:r>
      <w:r w:rsidRPr="007719D8">
        <w:rPr>
          <w:rFonts w:ascii="Times New Roman" w:hAnsi="Times New Roman"/>
          <w:sz w:val="28"/>
          <w:szCs w:val="28"/>
          <w:lang w:val="uk-UA"/>
        </w:rPr>
        <w:t xml:space="preserve"> — величина дивідендів, що будуть сплачені;</w:t>
      </w:r>
    </w:p>
    <w:p w:rsidR="00642079" w:rsidRPr="007719D8" w:rsidRDefault="00642079"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en-US"/>
        </w:rPr>
        <w:t>g</w:t>
      </w:r>
      <w:r w:rsidRPr="007719D8">
        <w:rPr>
          <w:rFonts w:ascii="Times New Roman" w:hAnsi="Times New Roman"/>
          <w:sz w:val="28"/>
          <w:szCs w:val="28"/>
        </w:rPr>
        <w:t xml:space="preserve"> </w:t>
      </w:r>
      <w:r w:rsidRPr="007719D8">
        <w:rPr>
          <w:rFonts w:ascii="Times New Roman" w:hAnsi="Times New Roman"/>
          <w:sz w:val="28"/>
          <w:szCs w:val="28"/>
          <w:lang w:val="uk-UA"/>
        </w:rPr>
        <w:t>— темпи зростання дивідендів та прибутків.</w:t>
      </w:r>
    </w:p>
    <w:p w:rsidR="00642079" w:rsidRPr="007719D8" w:rsidRDefault="003B573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Після усіх розрахунків ми бачимо, що внутрішня вартість банку </w:t>
      </w:r>
      <w:r w:rsidR="000C7700" w:rsidRPr="007719D8">
        <w:rPr>
          <w:rFonts w:ascii="Times New Roman" w:hAnsi="Times New Roman"/>
          <w:sz w:val="28"/>
          <w:szCs w:val="28"/>
          <w:lang w:val="uk-UA"/>
        </w:rPr>
        <w:t>ПАТ</w:t>
      </w:r>
      <w:r w:rsidR="00EE7868" w:rsidRPr="007719D8">
        <w:rPr>
          <w:rFonts w:ascii="Times New Roman" w:hAnsi="Times New Roman"/>
          <w:sz w:val="28"/>
          <w:szCs w:val="28"/>
          <w:lang w:val="uk-UA"/>
        </w:rPr>
        <w:t xml:space="preserve"> «Райффайзен Банк Аваль» </w:t>
      </w:r>
      <w:r w:rsidRPr="007719D8">
        <w:rPr>
          <w:rFonts w:ascii="Times New Roman" w:hAnsi="Times New Roman"/>
          <w:sz w:val="28"/>
          <w:szCs w:val="28"/>
          <w:lang w:val="uk-UA"/>
        </w:rPr>
        <w:t>дорівнює 10922,82 млн. грн. У перерахунку на вартість звичайної акції компанії це буде дорівнювати 0,38 грн. Станом на 09.04.2010р. акція банку котирувалася на ПФТС за ціною 0,414 грн</w:t>
      </w:r>
      <w:r w:rsidR="002D19F2" w:rsidRPr="007719D8">
        <w:rPr>
          <w:rFonts w:ascii="Times New Roman" w:hAnsi="Times New Roman"/>
          <w:sz w:val="28"/>
          <w:szCs w:val="28"/>
          <w:lang w:val="uk-UA"/>
        </w:rPr>
        <w:t>.</w:t>
      </w:r>
      <w:r w:rsidRPr="007719D8">
        <w:rPr>
          <w:rFonts w:ascii="Times New Roman" w:hAnsi="Times New Roman"/>
          <w:sz w:val="28"/>
          <w:szCs w:val="28"/>
          <w:lang w:val="uk-UA"/>
        </w:rPr>
        <w:t xml:space="preserve"> за акцію. Отже, ми можемо побачити, що наша оцінка близька до ринкової оцінки прогнозованих грошових потоків, що будуть формуватися банком і що будуть сплачені а</w:t>
      </w:r>
      <w:r w:rsidR="007E48BF" w:rsidRPr="007719D8">
        <w:rPr>
          <w:rFonts w:ascii="Times New Roman" w:hAnsi="Times New Roman"/>
          <w:sz w:val="28"/>
          <w:szCs w:val="28"/>
          <w:lang w:val="uk-UA"/>
        </w:rPr>
        <w:t>кціонерам у вигляді дивідендів. Зважаючи на деякі умовності нашого аналізу, все ж можна зробити висновок, що ринок дещо переоцінює акції банку: їх внутрішня вартість є меншою за ринкову через недостатність очікуваних до сплати дивідендів та недостатні темпи їх росту. Однак, треба зауважити, що модель не включає до уваги багато некількісних параметрів, що також формують уявлення рику про вартість того чи іншого активу.</w:t>
      </w:r>
    </w:p>
    <w:p w:rsidR="003B5731" w:rsidRPr="007719D8" w:rsidRDefault="000D3FE6" w:rsidP="007719D8">
      <w:pPr>
        <w:widowControl w:val="0"/>
        <w:tabs>
          <w:tab w:val="right" w:leader="dot" w:pos="9354"/>
        </w:tabs>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2.3</w:t>
      </w:r>
      <w:r w:rsidR="000C300D" w:rsidRPr="007719D8">
        <w:rPr>
          <w:rFonts w:ascii="Times New Roman" w:hAnsi="Times New Roman"/>
          <w:sz w:val="28"/>
          <w:szCs w:val="30"/>
          <w:lang w:val="uk-UA"/>
        </w:rPr>
        <w:t xml:space="preserve"> Пропозиції щодо стратегічного управління вартістю </w:t>
      </w:r>
      <w:r w:rsidR="000C7700" w:rsidRPr="007719D8">
        <w:rPr>
          <w:rFonts w:ascii="Times New Roman" w:hAnsi="Times New Roman"/>
          <w:sz w:val="28"/>
          <w:szCs w:val="30"/>
          <w:lang w:val="uk-UA"/>
        </w:rPr>
        <w:t>ПАТ</w:t>
      </w:r>
      <w:r w:rsidR="008B7C03" w:rsidRPr="007719D8">
        <w:rPr>
          <w:rFonts w:ascii="Times New Roman" w:hAnsi="Times New Roman"/>
          <w:sz w:val="28"/>
          <w:szCs w:val="30"/>
          <w:lang w:val="uk-UA"/>
        </w:rPr>
        <w:t xml:space="preserve"> «Райффайзен Банк Аваль»</w:t>
      </w:r>
    </w:p>
    <w:p w:rsidR="003B5731" w:rsidRPr="007719D8" w:rsidRDefault="003B5731" w:rsidP="007719D8">
      <w:pPr>
        <w:widowControl w:val="0"/>
        <w:spacing w:line="360" w:lineRule="auto"/>
        <w:ind w:firstLine="709"/>
        <w:jc w:val="both"/>
        <w:rPr>
          <w:rFonts w:ascii="Times New Roman" w:hAnsi="Times New Roman"/>
          <w:sz w:val="28"/>
          <w:szCs w:val="28"/>
          <w:lang w:val="uk-UA"/>
        </w:rPr>
      </w:pPr>
    </w:p>
    <w:p w:rsidR="003B5731" w:rsidRPr="007719D8" w:rsidRDefault="006A7C52"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У попередньому розділі було виявлено, що банк </w:t>
      </w:r>
      <w:r w:rsidR="000C7700" w:rsidRPr="007719D8">
        <w:rPr>
          <w:rFonts w:ascii="Times New Roman" w:hAnsi="Times New Roman"/>
          <w:sz w:val="28"/>
          <w:szCs w:val="28"/>
          <w:lang w:val="uk-UA"/>
        </w:rPr>
        <w:t>ПАТ</w:t>
      </w:r>
      <w:r w:rsidR="008B7C03" w:rsidRPr="007719D8">
        <w:rPr>
          <w:rFonts w:ascii="Times New Roman" w:hAnsi="Times New Roman"/>
          <w:sz w:val="28"/>
          <w:szCs w:val="28"/>
          <w:lang w:val="uk-UA"/>
        </w:rPr>
        <w:t xml:space="preserve"> «Райффайзен Банк Аваль» </w:t>
      </w:r>
      <w:r w:rsidRPr="007719D8">
        <w:rPr>
          <w:rFonts w:ascii="Times New Roman" w:hAnsi="Times New Roman"/>
          <w:sz w:val="28"/>
          <w:szCs w:val="28"/>
          <w:lang w:val="uk-UA"/>
        </w:rPr>
        <w:t>має достатньо збалансований кредитно-інвестиційний портфель, яким він здатний управляти та змінювати відповідно до змін у своїх цілях та стратегіях. Діяльність банку добре сприймається ринком: це можна побачити у відновленні позитивної динаміки</w:t>
      </w:r>
      <w:r w:rsidR="00D27346" w:rsidRPr="007719D8">
        <w:rPr>
          <w:rFonts w:ascii="Times New Roman" w:hAnsi="Times New Roman"/>
          <w:sz w:val="28"/>
          <w:szCs w:val="28"/>
          <w:lang w:val="uk-UA"/>
        </w:rPr>
        <w:t xml:space="preserve"> росту курсу акцій, починаючи з початку 2010 року. Внутрішня та ринкова вартість банку є приблизно однаковими, хоча у деякій мірі акції </w:t>
      </w:r>
      <w:r w:rsidR="000C7700" w:rsidRPr="007719D8">
        <w:rPr>
          <w:rFonts w:ascii="Times New Roman" w:hAnsi="Times New Roman"/>
          <w:sz w:val="28"/>
          <w:szCs w:val="28"/>
          <w:lang w:val="uk-UA"/>
        </w:rPr>
        <w:t>ПАТ «Райффайзен Банк Аваль»</w:t>
      </w:r>
      <w:r w:rsidR="008B7C03" w:rsidRPr="007719D8">
        <w:rPr>
          <w:rFonts w:ascii="Times New Roman" w:hAnsi="Times New Roman"/>
          <w:sz w:val="28"/>
          <w:szCs w:val="28"/>
          <w:lang w:val="uk-UA"/>
        </w:rPr>
        <w:t xml:space="preserve"> </w:t>
      </w:r>
      <w:r w:rsidR="00D27346" w:rsidRPr="007719D8">
        <w:rPr>
          <w:rFonts w:ascii="Times New Roman" w:hAnsi="Times New Roman"/>
          <w:sz w:val="28"/>
          <w:szCs w:val="28"/>
          <w:lang w:val="uk-UA"/>
        </w:rPr>
        <w:t>є переоціненими ринком. У процесі входження іноземного інвестора у банк у період 2006-2007 років всі стратегічні пріоритети, цілі та цінності банку було трансформовано із метою переорієнт</w:t>
      </w:r>
      <w:r w:rsidR="0023646B" w:rsidRPr="007719D8">
        <w:rPr>
          <w:rFonts w:ascii="Times New Roman" w:hAnsi="Times New Roman"/>
          <w:sz w:val="28"/>
          <w:szCs w:val="28"/>
          <w:lang w:val="uk-UA"/>
        </w:rPr>
        <w:t>ації їх на одну фундаментальну</w:t>
      </w:r>
      <w:r w:rsidR="00D27346" w:rsidRPr="007719D8">
        <w:rPr>
          <w:rFonts w:ascii="Times New Roman" w:hAnsi="Times New Roman"/>
          <w:sz w:val="28"/>
          <w:szCs w:val="28"/>
          <w:lang w:val="uk-UA"/>
        </w:rPr>
        <w:t xml:space="preserve"> мету – створення нової, максимальної вартості для акціонерів. Для реалізації цього були введені необхідні зміни у систему KPI та систему мотивації менеджменту. Однак єдиним негативним моментом у системі вартісного управління банком є недостатня </w:t>
      </w:r>
      <w:r w:rsidR="004D5807" w:rsidRPr="007719D8">
        <w:rPr>
          <w:rFonts w:ascii="Times New Roman" w:hAnsi="Times New Roman"/>
          <w:sz w:val="28"/>
          <w:szCs w:val="28"/>
          <w:lang w:val="uk-UA"/>
        </w:rPr>
        <w:t xml:space="preserve">інтеграція принципів вартісного управління у систему мотивації менеджерів низових функціональних підрозділів та відокремлених структурних підрозділів (ТБВ та Центрів розвитку напрямів бізнесу). Невизначеність для керівників згаданих ланок системи управління KPI, що визначають результативність їх діяльності, не сприяє формуванню нової вартості банку та його розвитку. Відсутність чіткого та зрозумілого орієнтиру, неможливість поглянути на проблеми та цілі банки у цілому знижує ефективність роботи керівника та його підлеглих, тому ця проблема потребує вирішення. </w:t>
      </w:r>
    </w:p>
    <w:p w:rsidR="00D648A2" w:rsidRPr="007719D8" w:rsidRDefault="00AE3894"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Одним з методів, що допоможе вдосконалити систему управління банком, є розробка чіткої схеми зв’язку оперативних показників, які виступають </w:t>
      </w:r>
      <w:r w:rsidR="0049452C" w:rsidRPr="007719D8">
        <w:rPr>
          <w:rFonts w:ascii="Times New Roman" w:hAnsi="Times New Roman"/>
          <w:sz w:val="28"/>
          <w:szCs w:val="28"/>
          <w:lang w:val="uk-UA"/>
        </w:rPr>
        <w:t>одночасно плановими показниками</w:t>
      </w:r>
      <w:r w:rsidRPr="007719D8">
        <w:rPr>
          <w:rFonts w:ascii="Times New Roman" w:hAnsi="Times New Roman"/>
          <w:sz w:val="28"/>
          <w:szCs w:val="28"/>
          <w:lang w:val="uk-UA"/>
        </w:rPr>
        <w:t xml:space="preserve"> </w:t>
      </w:r>
      <w:r w:rsidR="0049452C" w:rsidRPr="007719D8">
        <w:rPr>
          <w:rFonts w:ascii="Times New Roman" w:hAnsi="Times New Roman"/>
          <w:sz w:val="28"/>
          <w:szCs w:val="28"/>
          <w:lang w:val="uk-UA"/>
        </w:rPr>
        <w:t>(</w:t>
      </w:r>
      <w:r w:rsidR="0049452C" w:rsidRPr="007719D8">
        <w:rPr>
          <w:rFonts w:ascii="Times New Roman" w:hAnsi="Times New Roman"/>
          <w:sz w:val="28"/>
          <w:szCs w:val="28"/>
          <w:lang w:val="en-US"/>
        </w:rPr>
        <w:t>KPI</w:t>
      </w:r>
      <w:r w:rsidR="0049452C" w:rsidRPr="007719D8">
        <w:rPr>
          <w:rFonts w:ascii="Times New Roman" w:hAnsi="Times New Roman"/>
          <w:sz w:val="28"/>
          <w:szCs w:val="28"/>
          <w:lang w:val="uk-UA"/>
        </w:rPr>
        <w:t xml:space="preserve">) для лінійних керівників, із </w:t>
      </w:r>
      <w:r w:rsidRPr="007719D8">
        <w:rPr>
          <w:rFonts w:ascii="Times New Roman" w:hAnsi="Times New Roman"/>
          <w:sz w:val="28"/>
          <w:szCs w:val="28"/>
          <w:lang w:val="uk-UA"/>
        </w:rPr>
        <w:t xml:space="preserve">показниками </w:t>
      </w:r>
      <w:r w:rsidR="0049452C" w:rsidRPr="007719D8">
        <w:rPr>
          <w:rFonts w:ascii="Times New Roman" w:hAnsi="Times New Roman"/>
          <w:sz w:val="28"/>
          <w:szCs w:val="28"/>
          <w:lang w:val="uk-UA"/>
        </w:rPr>
        <w:t>, що показують рівень реалізації стратегії банку</w:t>
      </w:r>
      <w:r w:rsidRPr="007719D8">
        <w:rPr>
          <w:rFonts w:ascii="Times New Roman" w:hAnsi="Times New Roman"/>
          <w:sz w:val="28"/>
          <w:szCs w:val="28"/>
          <w:lang w:val="uk-UA"/>
        </w:rPr>
        <w:t>, такими, як ROE, ROIC чи RAROC. Останній показник є рентабельністю зважен</w:t>
      </w:r>
      <w:r w:rsidR="0023646B" w:rsidRPr="007719D8">
        <w:rPr>
          <w:rFonts w:ascii="Times New Roman" w:hAnsi="Times New Roman"/>
          <w:sz w:val="28"/>
          <w:szCs w:val="28"/>
          <w:lang w:val="uk-UA"/>
        </w:rPr>
        <w:t>ого за ризиками капіталу банку</w:t>
      </w:r>
      <w:r w:rsidRPr="007719D8">
        <w:rPr>
          <w:rFonts w:ascii="Times New Roman" w:hAnsi="Times New Roman"/>
          <w:sz w:val="28"/>
          <w:szCs w:val="28"/>
          <w:lang w:val="uk-UA"/>
        </w:rPr>
        <w:t>.</w:t>
      </w:r>
    </w:p>
    <w:p w:rsidR="00AE3894" w:rsidRPr="007719D8" w:rsidRDefault="0049452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Наведена ідея графічно зображена на малюнку 2.3. На ньому наведено адаптовану конкретно під лінійного керівника низового рівня банку (начальник ТБВ) структуру формування нової вартості банку</w:t>
      </w:r>
      <w:r w:rsidR="00C702EB" w:rsidRPr="007719D8">
        <w:rPr>
          <w:rFonts w:ascii="Times New Roman" w:hAnsi="Times New Roman"/>
          <w:sz w:val="28"/>
          <w:szCs w:val="28"/>
          <w:lang w:val="uk-UA"/>
        </w:rPr>
        <w:t xml:space="preserve"> на прикладі дерева вартості банку</w:t>
      </w:r>
      <w:r w:rsidRPr="007719D8">
        <w:rPr>
          <w:rFonts w:ascii="Times New Roman" w:hAnsi="Times New Roman"/>
          <w:sz w:val="28"/>
          <w:szCs w:val="28"/>
          <w:lang w:val="uk-UA"/>
        </w:rPr>
        <w:t xml:space="preserve">. Деталізація зображена у розрізі конкретизації двох показників, що формують вартість банку: доходів та витрат. Показник, що деталізується, виділено жирним. </w:t>
      </w:r>
    </w:p>
    <w:p w:rsidR="0049452C" w:rsidRPr="007719D8" w:rsidRDefault="0049452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Слід зауважити, що наведені показники не вичерпують загальний перелік, </w:t>
      </w:r>
      <w:r w:rsidR="0023646B" w:rsidRPr="007719D8">
        <w:rPr>
          <w:rFonts w:ascii="Times New Roman" w:hAnsi="Times New Roman"/>
          <w:sz w:val="28"/>
          <w:szCs w:val="28"/>
          <w:lang w:val="uk-UA"/>
        </w:rPr>
        <w:t>щ</w:t>
      </w:r>
      <w:r w:rsidRPr="007719D8">
        <w:rPr>
          <w:rFonts w:ascii="Times New Roman" w:hAnsi="Times New Roman"/>
          <w:sz w:val="28"/>
          <w:szCs w:val="28"/>
          <w:lang w:val="uk-UA"/>
        </w:rPr>
        <w:t>о може мати менеджер. Оптимальна кількість показників, на які має орієнтуватись менеджер, не має перевищувати 12-14 одиниць, подальше збільшення їх кількості може призвести до стресового для керівника стану через його перевантаження відповідальністю.</w:t>
      </w:r>
    </w:p>
    <w:p w:rsidR="0049452C" w:rsidRPr="007719D8" w:rsidRDefault="0049452C" w:rsidP="007719D8">
      <w:pPr>
        <w:widowControl w:val="0"/>
        <w:spacing w:line="360" w:lineRule="auto"/>
        <w:ind w:firstLine="709"/>
        <w:jc w:val="both"/>
        <w:rPr>
          <w:rFonts w:ascii="Times New Roman" w:hAnsi="Times New Roman"/>
          <w:sz w:val="28"/>
          <w:szCs w:val="28"/>
          <w:lang w:val="uk-UA"/>
        </w:rPr>
      </w:pPr>
    </w:p>
    <w:p w:rsidR="004D5807" w:rsidRPr="007719D8" w:rsidRDefault="00736E7A"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rPr>
        <w:object w:dxaOrig="9764" w:dyaOrig="7288">
          <v:shape id="_x0000_i1038" type="#_x0000_t75" style="width:429.75pt;height:346.5pt" o:ole="">
            <v:imagedata r:id="rId32" o:title=""/>
          </v:shape>
          <o:OLEObject Type="Embed" ProgID="Visio.Drawing.11" ShapeID="_x0000_i1038" DrawAspect="Content" ObjectID="_1476268281" r:id="rId33"/>
        </w:object>
      </w:r>
    </w:p>
    <w:p w:rsidR="0049452C" w:rsidRPr="007719D8" w:rsidRDefault="008B7C03"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Рис. 2.3 — </w:t>
      </w:r>
      <w:r w:rsidR="0049452C" w:rsidRPr="007719D8">
        <w:rPr>
          <w:rFonts w:ascii="Times New Roman" w:hAnsi="Times New Roman"/>
          <w:sz w:val="28"/>
          <w:szCs w:val="28"/>
          <w:lang w:val="uk-UA"/>
        </w:rPr>
        <w:t xml:space="preserve">Дерево вартості </w:t>
      </w:r>
      <w:r w:rsidR="00C702EB" w:rsidRPr="007719D8">
        <w:rPr>
          <w:rFonts w:ascii="Times New Roman" w:hAnsi="Times New Roman"/>
          <w:sz w:val="28"/>
          <w:szCs w:val="28"/>
          <w:lang w:val="uk-UA"/>
        </w:rPr>
        <w:t>для начальника відділення банку</w:t>
      </w:r>
    </w:p>
    <w:p w:rsidR="00736E7A" w:rsidRDefault="00736E7A">
      <w:pPr>
        <w:spacing w:line="240" w:lineRule="auto"/>
        <w:rPr>
          <w:rFonts w:ascii="Times New Roman" w:hAnsi="Times New Roman"/>
          <w:sz w:val="28"/>
          <w:szCs w:val="28"/>
          <w:lang w:val="uk-UA"/>
        </w:rPr>
      </w:pPr>
      <w:r>
        <w:rPr>
          <w:rFonts w:ascii="Times New Roman" w:hAnsi="Times New Roman"/>
          <w:sz w:val="28"/>
          <w:szCs w:val="28"/>
          <w:lang w:val="uk-UA"/>
        </w:rPr>
        <w:br w:type="page"/>
      </w:r>
    </w:p>
    <w:p w:rsidR="0049452C" w:rsidRPr="007719D8" w:rsidRDefault="00A30425"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За наведеною схемою можна прослідити, як результати роботи менеджеру та його команди, персоналу відділення, впливають на загальний результат банку. </w:t>
      </w:r>
      <w:r w:rsidR="005D2EF1" w:rsidRPr="007719D8">
        <w:rPr>
          <w:rFonts w:ascii="Times New Roman" w:hAnsi="Times New Roman"/>
          <w:sz w:val="28"/>
          <w:szCs w:val="28"/>
          <w:lang w:val="uk-UA"/>
        </w:rPr>
        <w:t>Кількість наданих позик по кожному банківському продукту формує валовий приріст кредитного портфелю відділення, з урахуванням погашеної частини кредитів ми можемо прослідити загальний чистий приріст чи зменшення портфелю. За обсягами наданих послуг, що формують комісійний дохід банку, та отриманими процентними доходами ми можемо побачити формування показника «Дохід». Після формування доходу ми можемо за подібною схемою прослідити формування витрат банку. Далі, після розрахунку фінансового результату банку з урахуванням параметрів, що не залежать від начальника відділення, ми можемо побачити, яким стане показник ROIC, тобто рентабельність інвестованого у банк капіталу.</w:t>
      </w:r>
    </w:p>
    <w:p w:rsidR="005D2EF1" w:rsidRPr="007719D8" w:rsidRDefault="005D2EF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Наведений приклад наглядно показує, якою може бути система KPI для кожної з ланок системи управління банком для того, щоб ця ланка мала прозорі та зрозумілі орієнтири для</w:t>
      </w:r>
      <w:r w:rsidR="007719D8">
        <w:rPr>
          <w:rFonts w:ascii="Times New Roman" w:hAnsi="Times New Roman"/>
          <w:sz w:val="28"/>
          <w:szCs w:val="28"/>
          <w:lang w:val="uk-UA"/>
        </w:rPr>
        <w:t xml:space="preserve"> </w:t>
      </w:r>
      <w:r w:rsidRPr="007719D8">
        <w:rPr>
          <w:rFonts w:ascii="Times New Roman" w:hAnsi="Times New Roman"/>
          <w:sz w:val="28"/>
          <w:szCs w:val="28"/>
          <w:lang w:val="uk-UA"/>
        </w:rPr>
        <w:t>ведення діяльності із урахування вартісної стратегії банку.</w:t>
      </w:r>
    </w:p>
    <w:p w:rsidR="005D2EF1" w:rsidRPr="007719D8" w:rsidRDefault="005D2EF1" w:rsidP="007719D8">
      <w:pPr>
        <w:widowControl w:val="0"/>
        <w:spacing w:line="360" w:lineRule="auto"/>
        <w:ind w:firstLine="709"/>
        <w:jc w:val="both"/>
        <w:rPr>
          <w:rFonts w:ascii="Times New Roman" w:hAnsi="Times New Roman"/>
          <w:sz w:val="28"/>
          <w:szCs w:val="28"/>
          <w:lang w:val="uk-UA"/>
        </w:rPr>
      </w:pPr>
    </w:p>
    <w:p w:rsidR="00736E7A" w:rsidRDefault="00736E7A">
      <w:pPr>
        <w:spacing w:line="240" w:lineRule="auto"/>
        <w:rPr>
          <w:rFonts w:ascii="Times New Roman" w:hAnsi="Times New Roman"/>
          <w:sz w:val="28"/>
          <w:szCs w:val="30"/>
          <w:lang w:val="uk-UA"/>
        </w:rPr>
      </w:pPr>
      <w:r>
        <w:rPr>
          <w:rFonts w:ascii="Times New Roman" w:hAnsi="Times New Roman"/>
          <w:sz w:val="28"/>
          <w:szCs w:val="30"/>
          <w:lang w:val="uk-UA"/>
        </w:rPr>
        <w:br w:type="page"/>
      </w:r>
    </w:p>
    <w:p w:rsidR="005D2EF1" w:rsidRPr="007719D8" w:rsidRDefault="00CD41F9"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ВИСНОВКИ</w:t>
      </w:r>
    </w:p>
    <w:p w:rsidR="005D2EF1" w:rsidRPr="007719D8" w:rsidRDefault="005D2EF1" w:rsidP="007719D8">
      <w:pPr>
        <w:widowControl w:val="0"/>
        <w:spacing w:line="360" w:lineRule="auto"/>
        <w:ind w:firstLine="709"/>
        <w:jc w:val="both"/>
        <w:rPr>
          <w:rFonts w:ascii="Times New Roman" w:hAnsi="Times New Roman"/>
          <w:sz w:val="28"/>
          <w:szCs w:val="28"/>
          <w:lang w:val="uk-UA"/>
        </w:rPr>
      </w:pPr>
    </w:p>
    <w:p w:rsidR="00863028" w:rsidRPr="007719D8" w:rsidRDefault="00863028"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У процесі реалізації курсового проекту були вирішені всі задачі, що стояли на його початку. Було виявлено наступне:</w:t>
      </w:r>
    </w:p>
    <w:p w:rsidR="00863028" w:rsidRPr="007719D8" w:rsidRDefault="000C7700"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ПАТ</w:t>
      </w:r>
      <w:r w:rsidR="00057401" w:rsidRPr="007719D8">
        <w:rPr>
          <w:rFonts w:ascii="Times New Roman" w:hAnsi="Times New Roman"/>
          <w:sz w:val="28"/>
          <w:szCs w:val="28"/>
          <w:lang w:val="uk-UA"/>
        </w:rPr>
        <w:t xml:space="preserve"> «Райффайзен Банк Аваль» </w:t>
      </w:r>
      <w:r w:rsidR="00863028" w:rsidRPr="007719D8">
        <w:rPr>
          <w:rFonts w:ascii="Times New Roman" w:hAnsi="Times New Roman"/>
          <w:sz w:val="28"/>
          <w:szCs w:val="28"/>
          <w:lang w:val="uk-UA"/>
        </w:rPr>
        <w:t>є провідним банком України, що посідає друге місце на ринку банківських послуг за вартістю активів, 7% системи; банк має мережеву структуру відділень, діє на усіх сегментах ринку банківських послуг;</w:t>
      </w:r>
    </w:p>
    <w:p w:rsidR="00863028" w:rsidRPr="007719D8" w:rsidRDefault="00863028"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на даний момент банківська система України знаходиться у стані очікування позитивних змін у динаміці економіки та поступово нарощує обсяги коштів, необхідні для відновлення кредитування; досить важливу роль на ринку відіграє Національний Банк України, який провадить ряд регулюючих заходів по посиленню стабільності системи;</w:t>
      </w:r>
    </w:p>
    <w:p w:rsidR="00863028" w:rsidRPr="007719D8" w:rsidRDefault="00863028"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фінансове положення банку </w:t>
      </w:r>
      <w:r w:rsidR="000C7700" w:rsidRPr="007719D8">
        <w:rPr>
          <w:rFonts w:ascii="Times New Roman" w:hAnsi="Times New Roman"/>
          <w:sz w:val="28"/>
          <w:szCs w:val="28"/>
          <w:lang w:val="uk-UA"/>
        </w:rPr>
        <w:t>ПАТ</w:t>
      </w:r>
      <w:r w:rsidR="00057401" w:rsidRPr="007719D8">
        <w:rPr>
          <w:rFonts w:ascii="Times New Roman" w:hAnsi="Times New Roman"/>
          <w:sz w:val="28"/>
          <w:szCs w:val="28"/>
          <w:lang w:val="uk-UA"/>
        </w:rPr>
        <w:t xml:space="preserve"> «Райффайзен Банк Аваль» </w:t>
      </w:r>
      <w:r w:rsidRPr="007719D8">
        <w:rPr>
          <w:rFonts w:ascii="Times New Roman" w:hAnsi="Times New Roman"/>
          <w:sz w:val="28"/>
          <w:szCs w:val="28"/>
          <w:lang w:val="uk-UA"/>
        </w:rPr>
        <w:t xml:space="preserve">є достатньо стабільним незважаючи на дуже поганий фінансовий результат за 2009 рік: аналіз показав, що банк має додатній чистий грошовий потік, відмінно виконує свої зобов’язання, від’ємний фінансовий результат </w:t>
      </w:r>
      <w:r w:rsidR="00784676" w:rsidRPr="007719D8">
        <w:rPr>
          <w:rFonts w:ascii="Times New Roman" w:hAnsi="Times New Roman"/>
          <w:sz w:val="28"/>
          <w:szCs w:val="28"/>
          <w:lang w:val="uk-UA"/>
        </w:rPr>
        <w:t>має місце через консервативну політику банку при формуванні резервів під можливі витрати за кредитними операціями;</w:t>
      </w:r>
    </w:p>
    <w:p w:rsidR="00784676" w:rsidRPr="007719D8" w:rsidRDefault="00784676"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теорія вартісного управління заснована на тезі про те, що компанія може розвиватися та існувати упродовж довгого періоду часу у разі здатності її менеджменту створити за допомогою її ресурсів позитивний чистий грошовий потік, який може бути сплачений акціонерам компанії; частка потоку, що реінвестується, також має бути досить значною, щоб компанія могла ефективно функціонувати;</w:t>
      </w:r>
    </w:p>
    <w:p w:rsidR="00784676" w:rsidRPr="007719D8" w:rsidRDefault="00784676"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основними засадами теорії вартісного управління є створення набору цільових нормативів та індикаторів для менеджменту компанії, узгодження управлінських рішень із завданням створення вартості, розробка програм матеріального та нематеріального стимулювання персоналу у процесі створення вартості, методика інтеграції принципів вартісного мислення у корпоративну культуру та цінності;</w:t>
      </w:r>
    </w:p>
    <w:p w:rsidR="00784676" w:rsidRPr="007719D8" w:rsidRDefault="00784676"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на даний момент основним недоліком системи управління банком </w:t>
      </w:r>
      <w:r w:rsidR="000C7700" w:rsidRPr="007719D8">
        <w:rPr>
          <w:rFonts w:ascii="Times New Roman" w:hAnsi="Times New Roman"/>
          <w:sz w:val="28"/>
          <w:szCs w:val="28"/>
          <w:lang w:val="uk-UA"/>
        </w:rPr>
        <w:t>ПАТ</w:t>
      </w:r>
      <w:r w:rsidR="00057401" w:rsidRPr="007719D8">
        <w:rPr>
          <w:rFonts w:ascii="Times New Roman" w:hAnsi="Times New Roman"/>
          <w:sz w:val="28"/>
          <w:szCs w:val="28"/>
          <w:lang w:val="uk-UA"/>
        </w:rPr>
        <w:t xml:space="preserve"> «Райффайзен Банк Аваль»</w:t>
      </w:r>
      <w:r w:rsidRPr="007719D8">
        <w:rPr>
          <w:rFonts w:ascii="Times New Roman" w:hAnsi="Times New Roman"/>
          <w:sz w:val="28"/>
          <w:szCs w:val="28"/>
          <w:lang w:val="uk-UA"/>
        </w:rPr>
        <w:t xml:space="preserve"> є складність системи показників, що формують уявлення низового менеджменту банку про результати їх діяльності та узгодження цих результатів із результатами діяльності банку в цілому;</w:t>
      </w:r>
      <w:r w:rsidR="0046589C" w:rsidRPr="007719D8">
        <w:rPr>
          <w:rFonts w:ascii="Times New Roman" w:hAnsi="Times New Roman"/>
          <w:sz w:val="28"/>
          <w:szCs w:val="28"/>
          <w:lang w:val="uk-UA"/>
        </w:rPr>
        <w:t xml:space="preserve"> цей недолік погіршує загальну мотивацію персоналу через поступову втрату керівниками відділень та відокремлених підрозділів їх ролі у загальний результатах та розвитку банку;</w:t>
      </w:r>
    </w:p>
    <w:p w:rsidR="00784676" w:rsidRPr="007719D8" w:rsidRDefault="00784676"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поточна вартість акції банку </w:t>
      </w:r>
      <w:r w:rsidR="000C7700" w:rsidRPr="007719D8">
        <w:rPr>
          <w:rFonts w:ascii="Times New Roman" w:hAnsi="Times New Roman"/>
          <w:sz w:val="28"/>
          <w:szCs w:val="28"/>
          <w:lang w:val="uk-UA"/>
        </w:rPr>
        <w:t>ПАТ</w:t>
      </w:r>
      <w:r w:rsidR="00057401" w:rsidRPr="007719D8">
        <w:rPr>
          <w:rFonts w:ascii="Times New Roman" w:hAnsi="Times New Roman"/>
          <w:sz w:val="28"/>
          <w:szCs w:val="28"/>
          <w:lang w:val="uk-UA"/>
        </w:rPr>
        <w:t xml:space="preserve"> «Райффайзен Банк Аваль» </w:t>
      </w:r>
      <w:r w:rsidRPr="007719D8">
        <w:rPr>
          <w:rFonts w:ascii="Times New Roman" w:hAnsi="Times New Roman"/>
          <w:sz w:val="28"/>
          <w:szCs w:val="28"/>
          <w:lang w:val="uk-UA"/>
        </w:rPr>
        <w:t>на ПФТС складає 0,414 грн</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за штуку; у процесі аналізу внутрішньої вартості банку ми розрахували результат у 0,38 грн</w:t>
      </w:r>
      <w:r w:rsidR="00164D26" w:rsidRPr="007719D8">
        <w:rPr>
          <w:rFonts w:ascii="Times New Roman" w:hAnsi="Times New Roman"/>
          <w:sz w:val="28"/>
          <w:szCs w:val="28"/>
          <w:lang w:val="uk-UA"/>
        </w:rPr>
        <w:t>.</w:t>
      </w:r>
      <w:r w:rsidRPr="007719D8">
        <w:rPr>
          <w:rFonts w:ascii="Times New Roman" w:hAnsi="Times New Roman"/>
          <w:sz w:val="28"/>
          <w:szCs w:val="28"/>
          <w:lang w:val="uk-UA"/>
        </w:rPr>
        <w:t xml:space="preserve"> за одну акцію, а отже, ринок досить точно оцінює вартість банку; сукупна вартість банку складає 10922,82 млн. грн</w:t>
      </w:r>
      <w:r w:rsidR="00164D26" w:rsidRPr="007719D8">
        <w:rPr>
          <w:rFonts w:ascii="Times New Roman" w:hAnsi="Times New Roman"/>
          <w:sz w:val="28"/>
          <w:szCs w:val="28"/>
          <w:lang w:val="uk-UA"/>
        </w:rPr>
        <w:t>.</w:t>
      </w:r>
      <w:r w:rsidRPr="007719D8">
        <w:rPr>
          <w:rFonts w:ascii="Times New Roman" w:hAnsi="Times New Roman"/>
          <w:sz w:val="28"/>
          <w:szCs w:val="28"/>
          <w:lang w:val="uk-UA"/>
        </w:rPr>
        <w:t>;</w:t>
      </w:r>
    </w:p>
    <w:p w:rsidR="00863028" w:rsidRDefault="00784676" w:rsidP="007719D8">
      <w:pPr>
        <w:pStyle w:val="aa"/>
        <w:widowControl w:val="0"/>
        <w:numPr>
          <w:ilvl w:val="0"/>
          <w:numId w:val="30"/>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 xml:space="preserve">основною рекомендацією для удосконалення системи управління банком є </w:t>
      </w:r>
      <w:r w:rsidR="0046589C" w:rsidRPr="007719D8">
        <w:rPr>
          <w:rFonts w:ascii="Times New Roman" w:hAnsi="Times New Roman"/>
          <w:sz w:val="28"/>
          <w:szCs w:val="28"/>
          <w:lang w:val="uk-UA"/>
        </w:rPr>
        <w:t>створення нової системи показників-індикаторів для менеджменту системи відділень банку та їх грамотної презентації, що дозволить уявити, як результат одного відділення відображається на результатах банку в цілому.</w:t>
      </w:r>
    </w:p>
    <w:p w:rsidR="00736E7A" w:rsidRPr="007719D8" w:rsidRDefault="00736E7A" w:rsidP="00736E7A">
      <w:pPr>
        <w:pStyle w:val="aa"/>
        <w:widowControl w:val="0"/>
        <w:spacing w:line="360" w:lineRule="auto"/>
        <w:ind w:left="709"/>
        <w:jc w:val="both"/>
        <w:rPr>
          <w:rFonts w:ascii="Times New Roman" w:hAnsi="Times New Roman"/>
          <w:sz w:val="28"/>
          <w:szCs w:val="28"/>
          <w:lang w:val="uk-UA"/>
        </w:rPr>
      </w:pPr>
    </w:p>
    <w:p w:rsidR="005D2EF1" w:rsidRPr="007719D8" w:rsidRDefault="005D2EF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br w:type="page"/>
      </w:r>
    </w:p>
    <w:p w:rsidR="00CD41F9" w:rsidRPr="007719D8" w:rsidRDefault="00CD41F9"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Перелік зносок</w:t>
      </w:r>
    </w:p>
    <w:p w:rsidR="00CD41F9" w:rsidRPr="007719D8" w:rsidRDefault="00CD41F9" w:rsidP="007719D8">
      <w:pPr>
        <w:widowControl w:val="0"/>
        <w:spacing w:line="360" w:lineRule="auto"/>
        <w:ind w:firstLine="709"/>
        <w:jc w:val="both"/>
        <w:rPr>
          <w:rFonts w:ascii="Times New Roman" w:hAnsi="Times New Roman"/>
          <w:sz w:val="28"/>
          <w:szCs w:val="28"/>
          <w:lang w:val="uk-UA"/>
        </w:rPr>
      </w:pP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1. Бригхем Ю., Гаспенскі Л. Фінансовий менеджмент. Повний курс, у 2-х томах. — СПб, Економічна школа, 1997. – 1058 с.</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 xml:space="preserve">2. Савчук В.П. Фінансовий менеджмент підприємств: прикладні питання з аналізом ділових ситуацій. — К.: Видавничий дім «Максимум», 2001 . – 600с. </w:t>
      </w:r>
    </w:p>
    <w:p w:rsidR="00CD41F9" w:rsidRPr="007719D8" w:rsidRDefault="00CD41F9" w:rsidP="00736E7A">
      <w:pPr>
        <w:pStyle w:val="1"/>
        <w:spacing w:line="360" w:lineRule="auto"/>
        <w:jc w:val="both"/>
        <w:rPr>
          <w:b w:val="0"/>
          <w:sz w:val="28"/>
          <w:szCs w:val="28"/>
          <w:lang w:eastAsia="en-US"/>
        </w:rPr>
      </w:pPr>
      <w:r w:rsidRPr="007719D8">
        <w:rPr>
          <w:b w:val="0"/>
          <w:sz w:val="28"/>
          <w:szCs w:val="28"/>
          <w:lang w:eastAsia="en-US"/>
        </w:rPr>
        <w:t>3. Герасимович А.М., Алексеєнко М.Д., Парасій-Вергуненко І.М.; Аналіз банківської діяльності. — К.: КНЕУ, 2004. — 599 с.</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 xml:space="preserve">4. Коупленд Т., Коллер Т., Муррин Дж. Вартість компаній: оцінка та управління. — М.: ЗАТ «Оліімп-Бізнес», 2005. — 576с. </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5. Дамодаран Асват. Інвестиційна оцінка. Інструменти та техніка оцінки будь-якого активу. — М.: Альпіна Бізнес Букс, 2004. — 1342 с.</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6. Лобанов А.А., Чугунов А.В. Енциклопедія фінансового ризик-менеджменту. — М.: Альпина Паблишер, 2003. — 786 с.</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7. Квартальна фінансова звітність ПАТ «Райффайзен Банк Аваль» за І, ІІ, ІІІ та ІV квартали 2009 року.</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8. Аудиторські висновки за результатами аудиту ПАТ «Райффайзен Банк Аваль» за 2004-2009 роки.</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9. Мескон М, Альберт М, Хедоури Ф. Основи менеджменту. — М. 1997 -704с.</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10. Положення про порядок формування та використання резерву для відшкодування можливих втрат за кредитними операціями банків № 279, НБУ.</w:t>
      </w:r>
    </w:p>
    <w:p w:rsidR="00CD41F9" w:rsidRPr="007719D8" w:rsidRDefault="00CD41F9" w:rsidP="00736E7A">
      <w:pPr>
        <w:widowControl w:val="0"/>
        <w:spacing w:line="360" w:lineRule="auto"/>
        <w:jc w:val="both"/>
        <w:rPr>
          <w:rFonts w:ascii="Times New Roman" w:hAnsi="Times New Roman"/>
          <w:sz w:val="28"/>
          <w:szCs w:val="28"/>
          <w:lang w:val="uk-UA"/>
        </w:rPr>
      </w:pPr>
      <w:r w:rsidRPr="007719D8">
        <w:rPr>
          <w:rFonts w:ascii="Times New Roman" w:hAnsi="Times New Roman"/>
          <w:sz w:val="28"/>
          <w:szCs w:val="28"/>
          <w:lang w:val="uk-UA"/>
        </w:rPr>
        <w:t>11. Інструкція про порядок регулювання діяльності банків в Україні № 368, НБУ.</w:t>
      </w:r>
    </w:p>
    <w:p w:rsidR="00736E7A" w:rsidRDefault="00736E7A" w:rsidP="007719D8">
      <w:pPr>
        <w:widowControl w:val="0"/>
        <w:spacing w:line="360" w:lineRule="auto"/>
        <w:ind w:firstLine="709"/>
        <w:jc w:val="both"/>
        <w:rPr>
          <w:rFonts w:ascii="Times New Roman" w:hAnsi="Times New Roman"/>
          <w:sz w:val="28"/>
          <w:szCs w:val="30"/>
          <w:lang w:val="uk-UA"/>
        </w:rPr>
      </w:pPr>
    </w:p>
    <w:p w:rsidR="00736E7A" w:rsidRDefault="00736E7A">
      <w:pPr>
        <w:spacing w:line="240" w:lineRule="auto"/>
        <w:rPr>
          <w:rFonts w:ascii="Times New Roman" w:hAnsi="Times New Roman"/>
          <w:sz w:val="28"/>
          <w:szCs w:val="30"/>
          <w:lang w:val="uk-UA"/>
        </w:rPr>
      </w:pPr>
      <w:r>
        <w:rPr>
          <w:rFonts w:ascii="Times New Roman" w:hAnsi="Times New Roman"/>
          <w:sz w:val="28"/>
          <w:szCs w:val="30"/>
          <w:lang w:val="uk-UA"/>
        </w:rPr>
        <w:br w:type="page"/>
      </w:r>
    </w:p>
    <w:p w:rsidR="00EC4B3E" w:rsidRPr="007719D8" w:rsidRDefault="004A3B8A"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Додаток А</w:t>
      </w:r>
    </w:p>
    <w:p w:rsidR="00736E7A" w:rsidRDefault="00736E7A" w:rsidP="007719D8">
      <w:pPr>
        <w:widowControl w:val="0"/>
        <w:spacing w:line="360" w:lineRule="auto"/>
        <w:ind w:firstLine="709"/>
        <w:jc w:val="both"/>
        <w:rPr>
          <w:rFonts w:ascii="Times New Roman" w:hAnsi="Times New Roman"/>
          <w:sz w:val="28"/>
          <w:szCs w:val="30"/>
          <w:lang w:val="uk-UA"/>
        </w:rPr>
      </w:pPr>
    </w:p>
    <w:p w:rsidR="004A3B8A" w:rsidRPr="007719D8" w:rsidRDefault="0034068B"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Таблиця А.1</w:t>
      </w:r>
    </w:p>
    <w:p w:rsidR="0034068B" w:rsidRPr="007719D8" w:rsidRDefault="0034068B"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Консолідована фінансова звітність ПАТ «Райффайзен Банк Аваль» за 2009 рік</w:t>
      </w:r>
    </w:p>
    <w:p w:rsidR="0034068B" w:rsidRPr="007719D8" w:rsidRDefault="0034068B" w:rsidP="007719D8">
      <w:pPr>
        <w:widowControl w:val="0"/>
        <w:spacing w:line="360" w:lineRule="auto"/>
        <w:ind w:firstLine="709"/>
        <w:jc w:val="both"/>
        <w:rPr>
          <w:rFonts w:ascii="Times New Roman" w:hAnsi="Times New Roman"/>
          <w:sz w:val="28"/>
          <w:szCs w:val="30"/>
          <w:lang w:val="uk-UA"/>
        </w:rPr>
      </w:pPr>
    </w:p>
    <w:tbl>
      <w:tblPr>
        <w:tblW w:w="8945"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23"/>
        <w:gridCol w:w="1278"/>
        <w:gridCol w:w="1296"/>
        <w:gridCol w:w="1397"/>
        <w:gridCol w:w="1276"/>
        <w:gridCol w:w="1266"/>
        <w:gridCol w:w="9"/>
      </w:tblGrid>
      <w:tr w:rsidR="00736E7A" w:rsidRPr="00736E7A" w:rsidTr="00736E7A">
        <w:trPr>
          <w:trHeight w:val="77"/>
        </w:trPr>
        <w:tc>
          <w:tcPr>
            <w:tcW w:w="2423" w:type="dxa"/>
            <w:noWrap/>
            <w:hideMark/>
          </w:tcPr>
          <w:p w:rsidR="004A3B8A" w:rsidRPr="00736E7A" w:rsidRDefault="004A3B8A" w:rsidP="00736E7A">
            <w:pPr>
              <w:widowControl w:val="0"/>
              <w:spacing w:line="360" w:lineRule="auto"/>
              <w:jc w:val="both"/>
              <w:rPr>
                <w:rFonts w:ascii="Times New Roman" w:hAnsi="Times New Roman"/>
                <w:bCs/>
                <w:sz w:val="20"/>
                <w:szCs w:val="20"/>
                <w:lang w:val="uk-UA" w:eastAsia="uk-UA"/>
              </w:rPr>
            </w:pPr>
            <w:r w:rsidRPr="00736E7A">
              <w:rPr>
                <w:rFonts w:ascii="Times New Roman" w:hAnsi="Times New Roman"/>
                <w:bCs/>
                <w:sz w:val="20"/>
                <w:szCs w:val="20"/>
                <w:lang w:val="uk-UA" w:eastAsia="uk-UA"/>
              </w:rPr>
              <w:t>Активи</w:t>
            </w:r>
          </w:p>
        </w:tc>
        <w:tc>
          <w:tcPr>
            <w:tcW w:w="1278"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397"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5" w:type="dxa"/>
            <w:gridSpan w:val="2"/>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r>
      <w:tr w:rsidR="00736E7A" w:rsidRPr="00736E7A" w:rsidTr="00736E7A">
        <w:trPr>
          <w:trHeight w:val="255"/>
        </w:trPr>
        <w:tc>
          <w:tcPr>
            <w:tcW w:w="2423"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8" w:type="dxa"/>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01.01.2009</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01.04.2009</w:t>
            </w:r>
          </w:p>
        </w:tc>
        <w:tc>
          <w:tcPr>
            <w:tcW w:w="1397"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01.07.2009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01.10.2009</w:t>
            </w:r>
          </w:p>
        </w:tc>
        <w:tc>
          <w:tcPr>
            <w:tcW w:w="1275" w:type="dxa"/>
            <w:gridSpan w:val="2"/>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01.01.2010</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Грошові кошти та їх еквіваленти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3751775</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3267925</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3279426</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2775734</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6490901</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Торгові цінні папери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141967</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130181</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301959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521395</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421717</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 кредитних установ</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1540769</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361456</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213622</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6638515</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581456</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Кредити та заборгованість клієнтів</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51415996</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48790245</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44704257</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42696649</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39127232</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Інвестиційні цінні папери: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 - за справедливою вартістю</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44833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44833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44833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44833</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45023</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 - наявні на продаж</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862962</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905776</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1291181</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1528535</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1069232</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 - утримувані до погашення</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406668</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157799</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1635823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1231469</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1855488</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Основні засоби та нематеріальні активи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3119383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3143733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3132416</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3183777</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2973000</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Інші активи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4140894</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3005538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2619088</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1615581</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1483953</w:t>
            </w:r>
          </w:p>
        </w:tc>
      </w:tr>
      <w:tr w:rsidR="00736E7A" w:rsidRPr="00736E7A" w:rsidTr="00736E7A">
        <w:trPr>
          <w:trHeight w:val="49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Загальна </w:t>
            </w:r>
            <w:r w:rsidR="00E56B1A" w:rsidRPr="00736E7A">
              <w:rPr>
                <w:rFonts w:ascii="Times New Roman" w:hAnsi="Times New Roman"/>
                <w:sz w:val="20"/>
                <w:szCs w:val="20"/>
                <w:lang w:val="uk-UA" w:eastAsia="uk-UA"/>
              </w:rPr>
              <w:t>сума</w:t>
            </w:r>
            <w:r w:rsidRPr="00736E7A">
              <w:rPr>
                <w:rFonts w:ascii="Times New Roman" w:hAnsi="Times New Roman"/>
                <w:sz w:val="20"/>
                <w:szCs w:val="20"/>
                <w:lang w:val="uk-UA" w:eastAsia="uk-UA"/>
              </w:rPr>
              <w:t xml:space="preserve"> резервів під знецінення активів</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-4001806</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-5100053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-6453027</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-8277481</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-9674553</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Усього активів</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65425247</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59807488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57222603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60236489</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54048003</w:t>
            </w:r>
          </w:p>
        </w:tc>
      </w:tr>
      <w:tr w:rsidR="00736E7A" w:rsidRPr="00736E7A" w:rsidTr="00736E7A">
        <w:trPr>
          <w:trHeight w:val="105"/>
        </w:trPr>
        <w:tc>
          <w:tcPr>
            <w:tcW w:w="2423" w:type="dxa"/>
            <w:noWrap/>
            <w:hideMark/>
          </w:tcPr>
          <w:p w:rsidR="004A3B8A" w:rsidRPr="00736E7A" w:rsidRDefault="004A3B8A" w:rsidP="00736E7A">
            <w:pPr>
              <w:widowControl w:val="0"/>
              <w:spacing w:line="360" w:lineRule="auto"/>
              <w:jc w:val="both"/>
              <w:rPr>
                <w:rFonts w:ascii="Times New Roman" w:hAnsi="Times New Roman"/>
                <w:bCs/>
                <w:sz w:val="20"/>
                <w:szCs w:val="20"/>
                <w:lang w:val="uk-UA" w:eastAsia="uk-UA"/>
              </w:rPr>
            </w:pPr>
            <w:r w:rsidRPr="00736E7A">
              <w:rPr>
                <w:rFonts w:ascii="Times New Roman" w:hAnsi="Times New Roman"/>
                <w:bCs/>
                <w:sz w:val="20"/>
                <w:szCs w:val="20"/>
                <w:lang w:val="uk-UA" w:eastAsia="uk-UA"/>
              </w:rPr>
              <w:t>Зобов'язання</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9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r>
      <w:tr w:rsidR="00736E7A" w:rsidRPr="00736E7A" w:rsidTr="00736E7A">
        <w:trPr>
          <w:trHeight w:val="300"/>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8" w:type="dxa"/>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01.01.2009</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01.04.2009</w:t>
            </w:r>
          </w:p>
        </w:tc>
        <w:tc>
          <w:tcPr>
            <w:tcW w:w="1397"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01.07.2009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01.10.2009</w:t>
            </w:r>
          </w:p>
        </w:tc>
        <w:tc>
          <w:tcPr>
            <w:tcW w:w="1275" w:type="dxa"/>
            <w:gridSpan w:val="2"/>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01.01.2010</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Зобов'язання перед банками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22413403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787275</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19749333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22493622</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16332907</w:t>
            </w:r>
          </w:p>
        </w:tc>
      </w:tr>
      <w:tr w:rsidR="00736E7A" w:rsidRPr="00736E7A" w:rsidTr="00736E7A">
        <w:trPr>
          <w:trHeight w:val="255"/>
        </w:trPr>
        <w:tc>
          <w:tcPr>
            <w:tcW w:w="2423" w:type="dxa"/>
            <w:hideMark/>
          </w:tcPr>
          <w:p w:rsidR="004A3B8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w:t>
            </w:r>
            <w:r w:rsidR="004A3B8A" w:rsidRPr="00736E7A">
              <w:rPr>
                <w:rFonts w:ascii="Times New Roman" w:hAnsi="Times New Roman"/>
                <w:sz w:val="20"/>
                <w:szCs w:val="20"/>
                <w:lang w:val="uk-UA" w:eastAsia="uk-UA"/>
              </w:rPr>
              <w:t xml:space="preserve"> перед клієнтами: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 - на вимогу</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8595044</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8562533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10536109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12285538</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12148768</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 - строкова</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18287177</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17031238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15953837</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15654773</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15518905</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Емітовані цінні папери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721978</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462651</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397869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362473</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190100</w:t>
            </w:r>
          </w:p>
        </w:tc>
      </w:tr>
      <w:tr w:rsidR="00736E7A" w:rsidRPr="00736E7A" w:rsidTr="00736E7A">
        <w:trPr>
          <w:trHeight w:val="79"/>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Поточні зобов'язання с податку на прибуток</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60261</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631</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631</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703</w:t>
            </w:r>
          </w:p>
        </w:tc>
      </w:tr>
      <w:tr w:rsidR="00736E7A" w:rsidRPr="00736E7A" w:rsidTr="00736E7A">
        <w:trPr>
          <w:trHeight w:val="540"/>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Відстрочені зобов'язання з податку на прибуток</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365471</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365346</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365323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365323</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302877</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Субординований борг</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1112231</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1132287</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1970381</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1174723</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2374696</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Резерви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56989</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58318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62513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55675</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56832</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Інші зобов'язання</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6372750</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24297333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1732067</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1886454</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1809280</w:t>
            </w:r>
          </w:p>
        </w:tc>
      </w:tr>
      <w:tr w:rsidR="00736E7A" w:rsidRPr="00736E7A" w:rsidTr="00736E7A">
        <w:trPr>
          <w:trHeight w:val="255"/>
        </w:trPr>
        <w:tc>
          <w:tcPr>
            <w:tcW w:w="2423"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Усього зобов'язань</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57985304</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52697589</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50768063</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54279212</w:t>
            </w:r>
          </w:p>
        </w:tc>
        <w:tc>
          <w:tcPr>
            <w:tcW w:w="1275" w:type="dxa"/>
            <w:gridSpan w:val="2"/>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48735068</w:t>
            </w:r>
          </w:p>
        </w:tc>
      </w:tr>
      <w:tr w:rsidR="00736E7A" w:rsidRPr="00736E7A" w:rsidTr="00736E7A">
        <w:trPr>
          <w:gridAfter w:val="1"/>
          <w:wAfter w:w="9" w:type="dxa"/>
          <w:trHeight w:val="75"/>
        </w:trPr>
        <w:tc>
          <w:tcPr>
            <w:tcW w:w="2423" w:type="dxa"/>
            <w:noWrap/>
            <w:hideMark/>
          </w:tcPr>
          <w:p w:rsidR="004A3B8A" w:rsidRPr="00736E7A" w:rsidRDefault="004A3B8A" w:rsidP="00736E7A">
            <w:pPr>
              <w:widowControl w:val="0"/>
              <w:spacing w:line="360" w:lineRule="auto"/>
              <w:jc w:val="both"/>
              <w:rPr>
                <w:rFonts w:ascii="Times New Roman" w:hAnsi="Times New Roman"/>
                <w:bCs/>
                <w:sz w:val="20"/>
                <w:szCs w:val="20"/>
                <w:lang w:val="uk-UA" w:eastAsia="uk-UA"/>
              </w:rPr>
            </w:pPr>
            <w:r w:rsidRPr="00736E7A">
              <w:rPr>
                <w:rFonts w:ascii="Times New Roman" w:hAnsi="Times New Roman"/>
                <w:bCs/>
                <w:sz w:val="20"/>
                <w:szCs w:val="20"/>
                <w:lang w:val="uk-UA" w:eastAsia="uk-UA"/>
              </w:rPr>
              <w:t>Власний капітал</w:t>
            </w:r>
          </w:p>
        </w:tc>
        <w:tc>
          <w:tcPr>
            <w:tcW w:w="1278" w:type="dxa"/>
            <w:noWrap/>
            <w:vAlign w:val="bottom"/>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96"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397"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6"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66" w:type="dxa"/>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p>
        </w:tc>
        <w:tc>
          <w:tcPr>
            <w:tcW w:w="1278" w:type="dxa"/>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01.01.2009</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01.04.2009</w:t>
            </w:r>
          </w:p>
        </w:tc>
        <w:tc>
          <w:tcPr>
            <w:tcW w:w="1397"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01.07.2009</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01.10.2009</w:t>
            </w:r>
          </w:p>
        </w:tc>
        <w:tc>
          <w:tcPr>
            <w:tcW w:w="1266" w:type="dxa"/>
            <w:noWrap/>
            <w:vAlign w:val="center"/>
            <w:hideMark/>
          </w:tcPr>
          <w:p w:rsidR="004A3B8A" w:rsidRPr="00736E7A" w:rsidRDefault="004A3B8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01.01.2010</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Статутний капітал</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2419935</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2419935</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2419935</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2419935</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2419935</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Додатковий сплачений капітал</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2683602</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2683602</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2683602</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2683602</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2683602</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Резерви</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1771493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1810413</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2402435</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2405621</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2194695</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Нерозподілений прибуток</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564913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195949</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-1051431</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-1551881</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-1985298</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Всього </w:t>
            </w:r>
            <w:r w:rsidR="00E56B1A" w:rsidRPr="00736E7A">
              <w:rPr>
                <w:rFonts w:ascii="Times New Roman" w:hAnsi="Times New Roman"/>
                <w:sz w:val="20"/>
                <w:szCs w:val="20"/>
                <w:lang w:val="uk-UA" w:eastAsia="uk-UA"/>
              </w:rPr>
              <w:t>капіталу</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7439943</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7109899</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6454541</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5957277</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5312934</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r>
      <w:tr w:rsidR="00736E7A" w:rsidRPr="00736E7A" w:rsidTr="00736E7A">
        <w:trPr>
          <w:gridAfter w:val="1"/>
          <w:wAfter w:w="9" w:type="dxa"/>
          <w:trHeight w:val="255"/>
        </w:trPr>
        <w:tc>
          <w:tcPr>
            <w:tcW w:w="2423" w:type="dxa"/>
            <w:noWrap/>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Зобов'язання та капітал</w:t>
            </w:r>
          </w:p>
        </w:tc>
        <w:tc>
          <w:tcPr>
            <w:tcW w:w="1278"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65425247</w:t>
            </w:r>
          </w:p>
        </w:tc>
        <w:tc>
          <w:tcPr>
            <w:tcW w:w="129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59807488</w:t>
            </w:r>
          </w:p>
        </w:tc>
        <w:tc>
          <w:tcPr>
            <w:tcW w:w="1397"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57222604</w:t>
            </w:r>
          </w:p>
        </w:tc>
        <w:tc>
          <w:tcPr>
            <w:tcW w:w="1276" w:type="dxa"/>
            <w:noWrap/>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60236489</w:t>
            </w:r>
          </w:p>
        </w:tc>
        <w:tc>
          <w:tcPr>
            <w:tcW w:w="1266" w:type="dxa"/>
            <w:vAlign w:val="center"/>
            <w:hideMark/>
          </w:tcPr>
          <w:p w:rsidR="004A3B8A" w:rsidRPr="00736E7A" w:rsidRDefault="004A3B8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54048002</w:t>
            </w:r>
          </w:p>
        </w:tc>
      </w:tr>
      <w:tr w:rsidR="00736E7A" w:rsidRPr="00736E7A" w:rsidTr="00736E7A">
        <w:trPr>
          <w:gridAfter w:val="1"/>
          <w:wAfter w:w="9" w:type="dxa"/>
          <w:trHeight w:val="430"/>
        </w:trPr>
        <w:tc>
          <w:tcPr>
            <w:tcW w:w="2423" w:type="dxa"/>
            <w:vAlign w:val="center"/>
            <w:hideMark/>
          </w:tcPr>
          <w:p w:rsidR="00E56B1A" w:rsidRPr="00736E7A" w:rsidRDefault="00E56B1A" w:rsidP="00736E7A">
            <w:pPr>
              <w:widowControl w:val="0"/>
              <w:spacing w:line="360" w:lineRule="auto"/>
              <w:jc w:val="both"/>
              <w:rPr>
                <w:rFonts w:ascii="Times New Roman" w:hAnsi="Times New Roman"/>
                <w:bCs/>
                <w:sz w:val="20"/>
                <w:szCs w:val="20"/>
                <w:lang w:val="uk-UA" w:eastAsia="uk-UA"/>
              </w:rPr>
            </w:pPr>
            <w:r w:rsidRPr="00736E7A">
              <w:rPr>
                <w:rFonts w:ascii="Times New Roman" w:hAnsi="Times New Roman"/>
                <w:bCs/>
                <w:sz w:val="20"/>
                <w:szCs w:val="20"/>
                <w:lang w:val="uk-UA" w:eastAsia="uk-UA"/>
              </w:rPr>
              <w:t>Звіт про фінансові результати</w:t>
            </w:r>
          </w:p>
        </w:tc>
        <w:tc>
          <w:tcPr>
            <w:tcW w:w="1278"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c>
          <w:tcPr>
            <w:tcW w:w="1397"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c>
          <w:tcPr>
            <w:tcW w:w="126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p>
        </w:tc>
        <w:tc>
          <w:tcPr>
            <w:tcW w:w="1278" w:type="dxa"/>
            <w:vAlign w:val="center"/>
            <w:hideMark/>
          </w:tcPr>
          <w:p w:rsidR="00E56B1A" w:rsidRPr="00736E7A" w:rsidRDefault="00E56B1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За 2008 рік</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01.04.2009</w:t>
            </w:r>
          </w:p>
        </w:tc>
        <w:tc>
          <w:tcPr>
            <w:tcW w:w="1397" w:type="dxa"/>
            <w:noWrap/>
            <w:vAlign w:val="center"/>
            <w:hideMark/>
          </w:tcPr>
          <w:p w:rsidR="00E56B1A" w:rsidRPr="00736E7A" w:rsidRDefault="00E56B1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01.07.2009</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01.10.2009</w:t>
            </w:r>
          </w:p>
        </w:tc>
        <w:tc>
          <w:tcPr>
            <w:tcW w:w="1266" w:type="dxa"/>
            <w:noWrap/>
            <w:vAlign w:val="center"/>
            <w:hideMark/>
          </w:tcPr>
          <w:p w:rsidR="00E56B1A" w:rsidRPr="00736E7A" w:rsidRDefault="00E56B1A"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01.01.2010</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Процентні доходи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7863112</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1985175</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3956993</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5905758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7863111</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Кредити клієнтам</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7548587,52</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1905768</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3798713,28</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5669527,68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7548586,56</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 кредитних установ</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78709,75112</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19871,60175</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39609,49993</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59116,63758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78709,74111</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Інвестиційні цінні папери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169843,2192</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42879,78</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85471,0488</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127564,3728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169843,1976</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Інше</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65971,50968</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16655,61825</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33199,17127</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49549,30962</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65971,50129</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Процентні витрати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3575315</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920661</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1822925</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2705151</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3575315</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 перед клієнтами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1880683,621</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484285,1786</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958893,1856</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1422960,824</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1880683,621</w:t>
            </w:r>
          </w:p>
        </w:tc>
      </w:tr>
      <w:tr w:rsidR="00736E7A" w:rsidRPr="00736E7A" w:rsidTr="00736E7A">
        <w:trPr>
          <w:gridAfter w:val="1"/>
          <w:wAfter w:w="9" w:type="dxa"/>
          <w:trHeight w:val="540"/>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 перед кредитними установами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1545608,675</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398001,7503</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788050,4775</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1169436,777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1545608,675</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Субординований борг</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56214,67775</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14475,5529</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28661,84978</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42533,08917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56214,67775</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Заборгованість перед НБУ</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92808,02677</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23898,51824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47319,48715</w:t>
            </w:r>
          </w:p>
        </w:tc>
        <w:tc>
          <w:tcPr>
            <w:tcW w:w="1276" w:type="dxa"/>
            <w:noWrap/>
            <w:vAlign w:val="center"/>
            <w:hideMark/>
          </w:tcPr>
          <w:p w:rsidR="00E56B1A" w:rsidRPr="00736E7A" w:rsidRDefault="00E56B1A" w:rsidP="00736E7A">
            <w:pPr>
              <w:widowControl w:val="0"/>
              <w:spacing w:line="360" w:lineRule="auto"/>
              <w:ind w:left="-108" w:firstLine="108"/>
              <w:jc w:val="both"/>
              <w:rPr>
                <w:rFonts w:ascii="Times New Roman" w:hAnsi="Times New Roman"/>
                <w:sz w:val="20"/>
                <w:szCs w:val="20"/>
                <w:lang w:val="uk-UA" w:eastAsia="uk-UA"/>
              </w:rPr>
            </w:pPr>
            <w:r w:rsidRPr="00736E7A">
              <w:rPr>
                <w:rFonts w:ascii="Times New Roman" w:hAnsi="Times New Roman"/>
                <w:sz w:val="20"/>
                <w:szCs w:val="20"/>
                <w:lang w:val="uk-UA" w:eastAsia="uk-UA"/>
              </w:rPr>
              <w:t>70220,30966</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92808,02677</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Чисті процентні доходи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4287797</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1064514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2134068</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3200607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4287796</w:t>
            </w:r>
          </w:p>
        </w:tc>
      </w:tr>
      <w:tr w:rsidR="00736E7A" w:rsidRPr="00736E7A" w:rsidTr="00736E7A">
        <w:trPr>
          <w:gridAfter w:val="1"/>
          <w:wAfter w:w="9" w:type="dxa"/>
          <w:trHeight w:val="315"/>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Резерв під зменшення вартості кредитів</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5497025</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1094064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2518279</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4002336</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5497025</w:t>
            </w:r>
          </w:p>
        </w:tc>
      </w:tr>
      <w:tr w:rsidR="00736E7A" w:rsidRPr="00736E7A" w:rsidTr="00736E7A">
        <w:trPr>
          <w:gridAfter w:val="1"/>
          <w:wAfter w:w="9" w:type="dxa"/>
          <w:trHeight w:val="540"/>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Чисті процентні доходи після резерву під зменшення корисності кредитів</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-1209228</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-29550</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-384211</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-801729</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-1209229</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Комісійні доходи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1356697</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284380</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595475</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1000827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1356697</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Комісійні витрати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192819</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53976</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93577</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138424</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192819</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Чисті комісійні доходи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1163878</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230404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501898</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862403</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1163878</w:t>
            </w:r>
          </w:p>
        </w:tc>
      </w:tr>
      <w:tr w:rsidR="00736E7A" w:rsidRPr="00736E7A" w:rsidTr="00736E7A">
        <w:trPr>
          <w:gridAfter w:val="1"/>
          <w:wAfter w:w="9" w:type="dxa"/>
          <w:trHeight w:val="540"/>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Чистий прибуток/збиток від операцій з іноземними валютами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-22459</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102034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98963</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-10062</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-22458</w:t>
            </w:r>
          </w:p>
        </w:tc>
      </w:tr>
      <w:tr w:rsidR="00736E7A" w:rsidRPr="00736E7A" w:rsidTr="00736E7A">
        <w:trPr>
          <w:gridAfter w:val="1"/>
          <w:wAfter w:w="9" w:type="dxa"/>
          <w:trHeight w:val="540"/>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Чистий прибуток від операцій з торговими цінними паперами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38999</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592</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16994</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35287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38999</w:t>
            </w:r>
          </w:p>
        </w:tc>
      </w:tr>
      <w:tr w:rsidR="00736E7A" w:rsidRPr="00736E7A" w:rsidTr="00736E7A">
        <w:trPr>
          <w:gridAfter w:val="1"/>
          <w:wAfter w:w="9" w:type="dxa"/>
          <w:trHeight w:val="315"/>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Переоцінка фінансових інструментів</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11901</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4985</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11605</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11576</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11901</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Інше</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49702</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9773</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7819</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34402</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49703</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Непроцентні доходи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78143</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117384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135381</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71203</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78145</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Витрати на персонал</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1393823,48</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358377,929</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697794,6395</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1030693,643</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1393823,48</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Знос та амортизація</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226058,6576</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58123,88348</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113172,5227</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167164,0812</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226058,6576</w:t>
            </w:r>
          </w:p>
        </w:tc>
      </w:tr>
      <w:tr w:rsidR="00736E7A" w:rsidRPr="00736E7A" w:rsidTr="00736E7A">
        <w:trPr>
          <w:gridAfter w:val="1"/>
          <w:wAfter w:w="9" w:type="dxa"/>
          <w:trHeight w:val="540"/>
        </w:trPr>
        <w:tc>
          <w:tcPr>
            <w:tcW w:w="2423"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Інші адміністративні та операційні витрати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1047842,549</w:t>
            </w:r>
          </w:p>
        </w:tc>
        <w:tc>
          <w:tcPr>
            <w:tcW w:w="129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269419,7995</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524585,0167</w:t>
            </w:r>
          </w:p>
        </w:tc>
        <w:tc>
          <w:tcPr>
            <w:tcW w:w="127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774850,3805</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1047842,549</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Інше</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4995,31368</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1284,388014</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2500,821057</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3693,895338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4995,31368</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Непроцентні витрати</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2672720</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687206</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1338053</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1976402</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2672720</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Прибуток до оподаткування</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-2639927</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-368968</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-1084985</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-1844525</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-2639926</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Податок на прибуток</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622338</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0</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259088</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622338</w:t>
            </w:r>
          </w:p>
        </w:tc>
      </w:tr>
      <w:tr w:rsidR="00736E7A" w:rsidRPr="00736E7A" w:rsidTr="00736E7A">
        <w:trPr>
          <w:gridAfter w:val="1"/>
          <w:wAfter w:w="9" w:type="dxa"/>
          <w:trHeight w:val="255"/>
        </w:trPr>
        <w:tc>
          <w:tcPr>
            <w:tcW w:w="2423"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Прибуток за рік</w:t>
            </w:r>
          </w:p>
        </w:tc>
        <w:tc>
          <w:tcPr>
            <w:tcW w:w="1278"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-2017589</w:t>
            </w:r>
          </w:p>
        </w:tc>
        <w:tc>
          <w:tcPr>
            <w:tcW w:w="129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-368968</w:t>
            </w:r>
          </w:p>
        </w:tc>
        <w:tc>
          <w:tcPr>
            <w:tcW w:w="1397"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-1084985</w:t>
            </w:r>
          </w:p>
        </w:tc>
        <w:tc>
          <w:tcPr>
            <w:tcW w:w="1276" w:type="dxa"/>
            <w:noWrap/>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-1585437</w:t>
            </w:r>
          </w:p>
        </w:tc>
        <w:tc>
          <w:tcPr>
            <w:tcW w:w="1266" w:type="dxa"/>
            <w:vAlign w:val="center"/>
            <w:hideMark/>
          </w:tcPr>
          <w:p w:rsidR="00E56B1A" w:rsidRPr="00736E7A" w:rsidRDefault="00E56B1A"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-2017588</w:t>
            </w:r>
          </w:p>
        </w:tc>
      </w:tr>
    </w:tbl>
    <w:p w:rsidR="00736E7A" w:rsidRDefault="00736E7A" w:rsidP="007719D8">
      <w:pPr>
        <w:widowControl w:val="0"/>
        <w:spacing w:line="360" w:lineRule="auto"/>
        <w:ind w:firstLine="709"/>
        <w:jc w:val="both"/>
        <w:rPr>
          <w:rFonts w:ascii="Times New Roman" w:hAnsi="Times New Roman"/>
          <w:sz w:val="28"/>
          <w:szCs w:val="28"/>
          <w:lang w:val="uk-UA"/>
        </w:rPr>
      </w:pPr>
    </w:p>
    <w:p w:rsidR="00542217" w:rsidRPr="007719D8" w:rsidRDefault="00542217"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br w:type="page"/>
      </w:r>
    </w:p>
    <w:p w:rsidR="00542217" w:rsidRPr="007719D8" w:rsidRDefault="00542217"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Додаток Б</w:t>
      </w:r>
    </w:p>
    <w:p w:rsidR="00736E7A" w:rsidRDefault="00736E7A" w:rsidP="007719D8">
      <w:pPr>
        <w:widowControl w:val="0"/>
        <w:spacing w:line="360" w:lineRule="auto"/>
        <w:ind w:firstLine="709"/>
        <w:jc w:val="both"/>
        <w:rPr>
          <w:rFonts w:ascii="Times New Roman" w:hAnsi="Times New Roman"/>
          <w:sz w:val="28"/>
          <w:szCs w:val="30"/>
          <w:lang w:val="uk-UA"/>
        </w:rPr>
      </w:pPr>
    </w:p>
    <w:p w:rsidR="0034068B" w:rsidRPr="007719D8" w:rsidRDefault="0034068B"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Таблиці Б.1</w:t>
      </w:r>
    </w:p>
    <w:p w:rsidR="00542217" w:rsidRPr="007719D8" w:rsidRDefault="00542217"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Рекомендовані формули розрахунку показників фінансової стійкості</w:t>
      </w:r>
    </w:p>
    <w:tbl>
      <w:tblPr>
        <w:tblW w:w="86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0"/>
        <w:gridCol w:w="4804"/>
      </w:tblGrid>
      <w:tr w:rsidR="00542217" w:rsidRPr="00736E7A" w:rsidTr="0050520E">
        <w:trPr>
          <w:trHeight w:val="483"/>
        </w:trPr>
        <w:tc>
          <w:tcPr>
            <w:tcW w:w="3860" w:type="dxa"/>
            <w:vMerge w:val="restart"/>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Показник</w:t>
            </w:r>
          </w:p>
        </w:tc>
        <w:tc>
          <w:tcPr>
            <w:tcW w:w="4804" w:type="dxa"/>
            <w:vMerge w:val="restart"/>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r w:rsidRPr="00736E7A">
              <w:rPr>
                <w:rFonts w:ascii="Times New Roman" w:hAnsi="Times New Roman"/>
                <w:iCs/>
                <w:sz w:val="20"/>
                <w:szCs w:val="20"/>
                <w:lang w:val="uk-UA" w:eastAsia="uk-UA"/>
              </w:rPr>
              <w:t>Рекомендована методика розрахунку</w:t>
            </w:r>
          </w:p>
        </w:tc>
      </w:tr>
      <w:tr w:rsidR="00542217" w:rsidRPr="00736E7A" w:rsidTr="0050520E">
        <w:trPr>
          <w:trHeight w:val="483"/>
        </w:trPr>
        <w:tc>
          <w:tcPr>
            <w:tcW w:w="3860" w:type="dxa"/>
            <w:vMerge/>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p>
        </w:tc>
        <w:tc>
          <w:tcPr>
            <w:tcW w:w="4804" w:type="dxa"/>
            <w:vMerge/>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p>
        </w:tc>
      </w:tr>
      <w:tr w:rsidR="00542217" w:rsidRPr="00736E7A" w:rsidTr="0050520E">
        <w:trPr>
          <w:trHeight w:val="345"/>
        </w:trPr>
        <w:tc>
          <w:tcPr>
            <w:tcW w:w="3860" w:type="dxa"/>
            <w:vMerge/>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p>
        </w:tc>
        <w:tc>
          <w:tcPr>
            <w:tcW w:w="4804" w:type="dxa"/>
            <w:vMerge/>
            <w:vAlign w:val="center"/>
            <w:hideMark/>
          </w:tcPr>
          <w:p w:rsidR="00542217" w:rsidRPr="00736E7A" w:rsidRDefault="00542217" w:rsidP="00736E7A">
            <w:pPr>
              <w:widowControl w:val="0"/>
              <w:spacing w:line="360" w:lineRule="auto"/>
              <w:jc w:val="both"/>
              <w:rPr>
                <w:rFonts w:ascii="Times New Roman" w:hAnsi="Times New Roman"/>
                <w:iCs/>
                <w:sz w:val="20"/>
                <w:szCs w:val="20"/>
                <w:lang w:val="uk-UA" w:eastAsia="uk-UA"/>
              </w:rPr>
            </w:pPr>
          </w:p>
        </w:tc>
      </w:tr>
      <w:tr w:rsidR="00542217" w:rsidRPr="00736E7A" w:rsidTr="0050520E">
        <w:trPr>
          <w:trHeight w:val="705"/>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Основний власний капітал</w:t>
            </w:r>
          </w:p>
        </w:tc>
        <w:tc>
          <w:tcPr>
            <w:tcW w:w="4804" w:type="dxa"/>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Статутний капітал+додатково сплачений капітал+нерозподілений прибуток - поточні збитки-інвестиції у асоційовані та дочірні підприємства - нематеріальні активі за відрахуванням резервів на переоцінку</w:t>
            </w:r>
          </w:p>
        </w:tc>
      </w:tr>
      <w:tr w:rsidR="00542217" w:rsidRPr="00736E7A" w:rsidTr="0050520E">
        <w:trPr>
          <w:trHeight w:val="885"/>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Розмір регулятивного капіталу (норматив - не </w:t>
            </w:r>
            <w:r w:rsidR="003E6530" w:rsidRPr="00736E7A">
              <w:rPr>
                <w:rFonts w:ascii="Times New Roman" w:hAnsi="Times New Roman"/>
                <w:sz w:val="20"/>
                <w:szCs w:val="20"/>
                <w:lang w:val="uk-UA" w:eastAsia="uk-UA"/>
              </w:rPr>
              <w:t>менше</w:t>
            </w:r>
            <w:r w:rsidRPr="00736E7A">
              <w:rPr>
                <w:rFonts w:ascii="Times New Roman" w:hAnsi="Times New Roman"/>
                <w:sz w:val="20"/>
                <w:szCs w:val="20"/>
                <w:lang w:val="uk-UA" w:eastAsia="uk-UA"/>
              </w:rPr>
              <w:t xml:space="preserve"> 5 </w:t>
            </w:r>
            <w:r w:rsidR="003E6530" w:rsidRPr="00736E7A">
              <w:rPr>
                <w:rFonts w:ascii="Times New Roman" w:hAnsi="Times New Roman"/>
                <w:sz w:val="20"/>
                <w:szCs w:val="20"/>
                <w:lang w:val="uk-UA" w:eastAsia="uk-UA"/>
              </w:rPr>
              <w:t>млн.</w:t>
            </w:r>
            <w:r w:rsidRPr="00736E7A">
              <w:rPr>
                <w:rFonts w:ascii="Times New Roman" w:hAnsi="Times New Roman"/>
                <w:sz w:val="20"/>
                <w:szCs w:val="20"/>
                <w:lang w:val="uk-UA" w:eastAsia="uk-UA"/>
              </w:rPr>
              <w:t xml:space="preserve"> євро)</w:t>
            </w:r>
          </w:p>
        </w:tc>
        <w:tc>
          <w:tcPr>
            <w:tcW w:w="4804" w:type="dxa"/>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 xml:space="preserve">Основний власний капітал + </w:t>
            </w:r>
            <w:r w:rsidR="003E6530" w:rsidRPr="00736E7A">
              <w:rPr>
                <w:rFonts w:ascii="Times New Roman" w:hAnsi="Times New Roman"/>
                <w:sz w:val="20"/>
                <w:szCs w:val="20"/>
                <w:lang w:val="uk-UA" w:eastAsia="uk-UA"/>
              </w:rPr>
              <w:t>(поточний прибуток+резерви переоцінки активів+субординований борг (не більше 50% ОВК)</w:t>
            </w:r>
            <w:r w:rsidRPr="00736E7A">
              <w:rPr>
                <w:rFonts w:ascii="Times New Roman" w:hAnsi="Times New Roman"/>
                <w:sz w:val="20"/>
                <w:szCs w:val="20"/>
                <w:lang w:val="uk-UA" w:eastAsia="uk-UA"/>
              </w:rPr>
              <w:t>)</w:t>
            </w:r>
            <w:r w:rsidR="003E6530" w:rsidRPr="00736E7A">
              <w:rPr>
                <w:rFonts w:ascii="Times New Roman" w:hAnsi="Times New Roman"/>
                <w:sz w:val="20"/>
                <w:szCs w:val="20"/>
                <w:lang w:val="uk-UA" w:eastAsia="uk-UA"/>
              </w:rPr>
              <w:t xml:space="preserve"> (але не більше 100% ОВК)</w:t>
            </w:r>
          </w:p>
        </w:tc>
      </w:tr>
      <w:tr w:rsidR="00542217" w:rsidRPr="00736E7A" w:rsidTr="0050520E">
        <w:trPr>
          <w:trHeight w:val="870"/>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w:t>
            </w:r>
            <w:r w:rsidR="00542217" w:rsidRPr="00736E7A">
              <w:rPr>
                <w:rFonts w:ascii="Times New Roman" w:hAnsi="Times New Roman"/>
                <w:sz w:val="20"/>
                <w:szCs w:val="20"/>
                <w:lang w:val="uk-UA" w:eastAsia="uk-UA"/>
              </w:rPr>
              <w:t xml:space="preserve"> співвідношення власного капіталу та залучених коштів (норматив - не </w:t>
            </w:r>
            <w:r w:rsidRPr="00736E7A">
              <w:rPr>
                <w:rFonts w:ascii="Times New Roman" w:hAnsi="Times New Roman"/>
                <w:sz w:val="20"/>
                <w:szCs w:val="20"/>
                <w:lang w:val="uk-UA" w:eastAsia="uk-UA"/>
              </w:rPr>
              <w:t>менше</w:t>
            </w:r>
            <w:r w:rsidR="00542217" w:rsidRPr="00736E7A">
              <w:rPr>
                <w:rFonts w:ascii="Times New Roman" w:hAnsi="Times New Roman"/>
                <w:sz w:val="20"/>
                <w:szCs w:val="20"/>
                <w:lang w:val="uk-UA" w:eastAsia="uk-UA"/>
              </w:rPr>
              <w:t xml:space="preserve"> 5%)</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Основний власний капітал/Кошти клієнтів+Кошти банків+Є</w:t>
            </w:r>
            <w:r w:rsidR="00542217" w:rsidRPr="00736E7A">
              <w:rPr>
                <w:rFonts w:ascii="Times New Roman" w:hAnsi="Times New Roman"/>
                <w:sz w:val="20"/>
                <w:szCs w:val="20"/>
                <w:lang w:val="uk-UA" w:eastAsia="uk-UA"/>
              </w:rPr>
              <w:t xml:space="preserve">мітовані </w:t>
            </w:r>
            <w:r w:rsidRPr="00736E7A">
              <w:rPr>
                <w:rFonts w:ascii="Times New Roman" w:hAnsi="Times New Roman"/>
                <w:sz w:val="20"/>
                <w:szCs w:val="20"/>
                <w:lang w:val="uk-UA" w:eastAsia="uk-UA"/>
              </w:rPr>
              <w:t>цінні папери</w:t>
            </w:r>
          </w:p>
        </w:tc>
      </w:tr>
      <w:tr w:rsidR="00542217" w:rsidRPr="00736E7A" w:rsidTr="0050520E">
        <w:trPr>
          <w:trHeight w:val="810"/>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w:t>
            </w:r>
            <w:r w:rsidR="00542217" w:rsidRPr="00736E7A">
              <w:rPr>
                <w:rFonts w:ascii="Times New Roman" w:hAnsi="Times New Roman"/>
                <w:sz w:val="20"/>
                <w:szCs w:val="20"/>
                <w:lang w:val="uk-UA" w:eastAsia="uk-UA"/>
              </w:rPr>
              <w:t xml:space="preserve"> співвідношення власного </w:t>
            </w:r>
            <w:r w:rsidRPr="00736E7A">
              <w:rPr>
                <w:rFonts w:ascii="Times New Roman" w:hAnsi="Times New Roman"/>
                <w:sz w:val="20"/>
                <w:szCs w:val="20"/>
                <w:lang w:val="uk-UA" w:eastAsia="uk-UA"/>
              </w:rPr>
              <w:t>регулятивного</w:t>
            </w:r>
            <w:r w:rsidR="00542217" w:rsidRPr="00736E7A">
              <w:rPr>
                <w:rFonts w:ascii="Times New Roman" w:hAnsi="Times New Roman"/>
                <w:sz w:val="20"/>
                <w:szCs w:val="20"/>
                <w:lang w:val="uk-UA" w:eastAsia="uk-UA"/>
              </w:rPr>
              <w:t xml:space="preserve"> капіталу банку</w:t>
            </w:r>
            <w:r w:rsidR="007719D8" w:rsidRPr="00736E7A">
              <w:rPr>
                <w:rFonts w:ascii="Times New Roman" w:hAnsi="Times New Roman"/>
                <w:sz w:val="20"/>
                <w:szCs w:val="20"/>
                <w:lang w:val="uk-UA" w:eastAsia="uk-UA"/>
              </w:rPr>
              <w:t xml:space="preserve"> </w:t>
            </w:r>
            <w:r w:rsidR="00542217" w:rsidRPr="00736E7A">
              <w:rPr>
                <w:rFonts w:ascii="Times New Roman" w:hAnsi="Times New Roman"/>
                <w:sz w:val="20"/>
                <w:szCs w:val="20"/>
                <w:lang w:val="uk-UA" w:eastAsia="uk-UA"/>
              </w:rPr>
              <w:t>та сукупних активів з урахуванням створених резервів</w:t>
            </w:r>
            <w:r w:rsidR="007719D8" w:rsidRPr="00736E7A">
              <w:rPr>
                <w:rFonts w:ascii="Times New Roman" w:hAnsi="Times New Roman"/>
                <w:sz w:val="20"/>
                <w:szCs w:val="20"/>
                <w:lang w:val="uk-UA" w:eastAsia="uk-UA"/>
              </w:rPr>
              <w:t xml:space="preserve"> </w:t>
            </w:r>
            <w:r w:rsidR="00542217" w:rsidRPr="00736E7A">
              <w:rPr>
                <w:rFonts w:ascii="Times New Roman" w:hAnsi="Times New Roman"/>
                <w:sz w:val="20"/>
                <w:szCs w:val="20"/>
                <w:lang w:val="uk-UA" w:eastAsia="uk-UA"/>
              </w:rPr>
              <w:t xml:space="preserve">(норматив - не </w:t>
            </w:r>
            <w:r w:rsidRPr="00736E7A">
              <w:rPr>
                <w:rFonts w:ascii="Times New Roman" w:hAnsi="Times New Roman"/>
                <w:sz w:val="20"/>
                <w:szCs w:val="20"/>
                <w:lang w:val="uk-UA" w:eastAsia="uk-UA"/>
              </w:rPr>
              <w:t>менше</w:t>
            </w:r>
            <w:r w:rsidR="00542217" w:rsidRPr="00736E7A">
              <w:rPr>
                <w:rFonts w:ascii="Times New Roman" w:hAnsi="Times New Roman"/>
                <w:sz w:val="20"/>
                <w:szCs w:val="20"/>
                <w:lang w:val="uk-UA" w:eastAsia="uk-UA"/>
              </w:rPr>
              <w:t xml:space="preserve"> 7%)</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Регулятивний капітал</w:t>
            </w:r>
            <w:r w:rsidR="00542217" w:rsidRPr="00736E7A">
              <w:rPr>
                <w:rFonts w:ascii="Times New Roman" w:hAnsi="Times New Roman"/>
                <w:sz w:val="20"/>
                <w:szCs w:val="20"/>
                <w:lang w:val="uk-UA" w:eastAsia="uk-UA"/>
              </w:rPr>
              <w:t>/(</w:t>
            </w:r>
            <w:r w:rsidRPr="00736E7A">
              <w:rPr>
                <w:rFonts w:ascii="Times New Roman" w:hAnsi="Times New Roman"/>
                <w:sz w:val="20"/>
                <w:szCs w:val="20"/>
                <w:lang w:val="uk-UA" w:eastAsia="uk-UA"/>
              </w:rPr>
              <w:t>Активи-резерві від можливі втрати</w:t>
            </w:r>
            <w:r w:rsidR="00542217" w:rsidRPr="00736E7A">
              <w:rPr>
                <w:rFonts w:ascii="Times New Roman" w:hAnsi="Times New Roman"/>
                <w:sz w:val="20"/>
                <w:szCs w:val="20"/>
                <w:lang w:val="uk-UA" w:eastAsia="uk-UA"/>
              </w:rPr>
              <w:t>)</w:t>
            </w:r>
          </w:p>
        </w:tc>
      </w:tr>
      <w:tr w:rsidR="00542217" w:rsidRPr="00736E7A" w:rsidTr="0050520E">
        <w:trPr>
          <w:trHeight w:val="540"/>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Коефіцієнт</w:t>
            </w:r>
            <w:r w:rsidR="00542217" w:rsidRPr="00736E7A">
              <w:rPr>
                <w:rFonts w:ascii="Times New Roman" w:hAnsi="Times New Roman"/>
                <w:sz w:val="20"/>
                <w:szCs w:val="20"/>
                <w:lang w:val="uk-UA" w:eastAsia="uk-UA"/>
              </w:rPr>
              <w:t xml:space="preserve"> захищеності власного капіталу банку від інфляції</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Основні засоби та нематеріальні активи</w:t>
            </w:r>
            <w:r w:rsidR="00542217" w:rsidRPr="00736E7A">
              <w:rPr>
                <w:rFonts w:ascii="Times New Roman" w:hAnsi="Times New Roman"/>
                <w:sz w:val="20"/>
                <w:szCs w:val="20"/>
                <w:lang w:val="uk-UA" w:eastAsia="uk-UA"/>
              </w:rPr>
              <w:t>/</w:t>
            </w:r>
            <w:r w:rsidRPr="00736E7A">
              <w:rPr>
                <w:rFonts w:ascii="Times New Roman" w:hAnsi="Times New Roman"/>
                <w:sz w:val="20"/>
                <w:szCs w:val="20"/>
                <w:lang w:val="uk-UA" w:eastAsia="uk-UA"/>
              </w:rPr>
              <w:t>Регулятивний капітал</w:t>
            </w:r>
          </w:p>
        </w:tc>
      </w:tr>
      <w:tr w:rsidR="00542217" w:rsidRPr="00736E7A" w:rsidTr="0050520E">
        <w:trPr>
          <w:trHeight w:val="282"/>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p>
        </w:tc>
        <w:tc>
          <w:tcPr>
            <w:tcW w:w="4804" w:type="dxa"/>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p>
        </w:tc>
      </w:tr>
      <w:tr w:rsidR="00542217" w:rsidRPr="00736E7A" w:rsidTr="0050520E">
        <w:trPr>
          <w:trHeight w:val="282"/>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Мультиплікатор</w:t>
            </w:r>
            <w:r w:rsidR="00542217" w:rsidRPr="00736E7A">
              <w:rPr>
                <w:rFonts w:ascii="Times New Roman" w:hAnsi="Times New Roman"/>
                <w:sz w:val="20"/>
                <w:szCs w:val="20"/>
                <w:lang w:val="uk-UA" w:eastAsia="uk-UA"/>
              </w:rPr>
              <w:t xml:space="preserve"> власного капіталу</w:t>
            </w:r>
            <w:r w:rsidR="007719D8" w:rsidRPr="00736E7A">
              <w:rPr>
                <w:rFonts w:ascii="Times New Roman" w:hAnsi="Times New Roman"/>
                <w:sz w:val="20"/>
                <w:szCs w:val="20"/>
                <w:lang w:val="uk-UA" w:eastAsia="uk-UA"/>
              </w:rPr>
              <w:t xml:space="preserve"> </w:t>
            </w:r>
            <w:r w:rsidR="00542217" w:rsidRPr="00736E7A">
              <w:rPr>
                <w:rFonts w:ascii="Times New Roman" w:hAnsi="Times New Roman"/>
                <w:sz w:val="20"/>
                <w:szCs w:val="20"/>
                <w:lang w:val="uk-UA" w:eastAsia="uk-UA"/>
              </w:rPr>
              <w:t>(норматив -7-10)</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Активи</w:t>
            </w:r>
            <w:r w:rsidR="00542217" w:rsidRPr="00736E7A">
              <w:rPr>
                <w:rFonts w:ascii="Times New Roman" w:hAnsi="Times New Roman"/>
                <w:sz w:val="20"/>
                <w:szCs w:val="20"/>
                <w:lang w:val="uk-UA" w:eastAsia="uk-UA"/>
              </w:rPr>
              <w:t>/</w:t>
            </w:r>
            <w:r w:rsidRPr="00736E7A">
              <w:rPr>
                <w:rFonts w:ascii="Times New Roman" w:hAnsi="Times New Roman"/>
                <w:sz w:val="20"/>
                <w:szCs w:val="20"/>
                <w:lang w:val="uk-UA" w:eastAsia="uk-UA"/>
              </w:rPr>
              <w:t>Власний капітал</w:t>
            </w:r>
          </w:p>
        </w:tc>
      </w:tr>
      <w:tr w:rsidR="00542217" w:rsidRPr="00736E7A" w:rsidTr="0050520E">
        <w:trPr>
          <w:trHeight w:val="540"/>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Співвідношення</w:t>
            </w:r>
            <w:r w:rsidR="00542217" w:rsidRPr="00736E7A">
              <w:rPr>
                <w:rFonts w:ascii="Times New Roman" w:hAnsi="Times New Roman"/>
                <w:sz w:val="20"/>
                <w:szCs w:val="20"/>
                <w:lang w:val="uk-UA" w:eastAsia="uk-UA"/>
              </w:rPr>
              <w:t xml:space="preserve"> зобов'язань та капіталу банку (фінансовий важіль)</w:t>
            </w:r>
          </w:p>
        </w:tc>
        <w:tc>
          <w:tcPr>
            <w:tcW w:w="4804" w:type="dxa"/>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Зобов</w:t>
            </w:r>
            <w:r w:rsidR="003E6530" w:rsidRPr="00736E7A">
              <w:rPr>
                <w:rFonts w:ascii="Times New Roman" w:hAnsi="Times New Roman"/>
                <w:sz w:val="20"/>
                <w:szCs w:val="20"/>
                <w:lang w:val="uk-UA" w:eastAsia="uk-UA"/>
              </w:rPr>
              <w:t>’язання</w:t>
            </w:r>
            <w:r w:rsidRPr="00736E7A">
              <w:rPr>
                <w:rFonts w:ascii="Times New Roman" w:hAnsi="Times New Roman"/>
                <w:sz w:val="20"/>
                <w:szCs w:val="20"/>
                <w:lang w:val="uk-UA" w:eastAsia="uk-UA"/>
              </w:rPr>
              <w:t>/</w:t>
            </w:r>
            <w:r w:rsidR="003E6530" w:rsidRPr="00736E7A">
              <w:rPr>
                <w:rFonts w:ascii="Times New Roman" w:hAnsi="Times New Roman"/>
                <w:sz w:val="20"/>
                <w:szCs w:val="20"/>
                <w:lang w:val="uk-UA" w:eastAsia="uk-UA"/>
              </w:rPr>
              <w:t>Власний капітал</w:t>
            </w:r>
          </w:p>
        </w:tc>
      </w:tr>
      <w:tr w:rsidR="00542217" w:rsidRPr="00736E7A" w:rsidTr="0050520E">
        <w:trPr>
          <w:trHeight w:val="176"/>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Середня вартість залучених коштів, %</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Процентні витрати</w:t>
            </w:r>
            <w:r w:rsidR="00542217" w:rsidRPr="00736E7A">
              <w:rPr>
                <w:rFonts w:ascii="Times New Roman" w:hAnsi="Times New Roman"/>
                <w:sz w:val="20"/>
                <w:szCs w:val="20"/>
                <w:lang w:val="uk-UA" w:eastAsia="uk-UA"/>
              </w:rPr>
              <w:t>/</w:t>
            </w:r>
            <w:r w:rsidRPr="00736E7A">
              <w:rPr>
                <w:rFonts w:ascii="Times New Roman" w:hAnsi="Times New Roman"/>
                <w:sz w:val="20"/>
                <w:szCs w:val="20"/>
                <w:lang w:val="uk-UA" w:eastAsia="uk-UA"/>
              </w:rPr>
              <w:t>Залишок за залученими коштами</w:t>
            </w:r>
          </w:p>
        </w:tc>
      </w:tr>
      <w:tr w:rsidR="00542217" w:rsidRPr="00736E7A" w:rsidTr="0050520E">
        <w:trPr>
          <w:trHeight w:val="420"/>
        </w:trPr>
        <w:tc>
          <w:tcPr>
            <w:tcW w:w="3860" w:type="dxa"/>
            <w:vAlign w:val="center"/>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Співвідношення</w:t>
            </w:r>
            <w:r w:rsidR="00542217"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дохідних</w:t>
            </w:r>
            <w:r w:rsidR="00542217" w:rsidRPr="00736E7A">
              <w:rPr>
                <w:rFonts w:ascii="Times New Roman" w:hAnsi="Times New Roman"/>
                <w:sz w:val="20"/>
                <w:szCs w:val="20"/>
                <w:lang w:val="uk-UA" w:eastAsia="uk-UA"/>
              </w:rPr>
              <w:t xml:space="preserve"> активів та платних пасивів банку, %</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Дохідні активи/П</w:t>
            </w:r>
            <w:r w:rsidR="00542217" w:rsidRPr="00736E7A">
              <w:rPr>
                <w:rFonts w:ascii="Times New Roman" w:hAnsi="Times New Roman"/>
                <w:sz w:val="20"/>
                <w:szCs w:val="20"/>
                <w:lang w:val="uk-UA" w:eastAsia="uk-UA"/>
              </w:rPr>
              <w:t>лат</w:t>
            </w:r>
            <w:r w:rsidRPr="00736E7A">
              <w:rPr>
                <w:rFonts w:ascii="Times New Roman" w:hAnsi="Times New Roman"/>
                <w:sz w:val="20"/>
                <w:szCs w:val="20"/>
                <w:lang w:val="uk-UA" w:eastAsia="uk-UA"/>
              </w:rPr>
              <w:t>ні пасиви</w:t>
            </w:r>
          </w:p>
        </w:tc>
      </w:tr>
      <w:tr w:rsidR="00542217" w:rsidRPr="00736E7A" w:rsidTr="0050520E">
        <w:trPr>
          <w:trHeight w:val="375"/>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Миттєвої ліквідності</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 xml:space="preserve">(норматив - не </w:t>
            </w:r>
            <w:r w:rsidR="003E6530" w:rsidRPr="00736E7A">
              <w:rPr>
                <w:rFonts w:ascii="Times New Roman" w:hAnsi="Times New Roman"/>
                <w:sz w:val="20"/>
                <w:szCs w:val="20"/>
                <w:lang w:val="uk-UA" w:eastAsia="uk-UA"/>
              </w:rPr>
              <w:t>менше</w:t>
            </w:r>
            <w:r w:rsidRPr="00736E7A">
              <w:rPr>
                <w:rFonts w:ascii="Times New Roman" w:hAnsi="Times New Roman"/>
                <w:sz w:val="20"/>
                <w:szCs w:val="20"/>
                <w:lang w:val="uk-UA" w:eastAsia="uk-UA"/>
              </w:rPr>
              <w:t xml:space="preserve"> 20%)</w:t>
            </w:r>
          </w:p>
        </w:tc>
        <w:tc>
          <w:tcPr>
            <w:tcW w:w="4804" w:type="dxa"/>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Грош</w:t>
            </w:r>
            <w:r w:rsidR="003E6530" w:rsidRPr="00736E7A">
              <w:rPr>
                <w:rFonts w:ascii="Times New Roman" w:hAnsi="Times New Roman"/>
                <w:sz w:val="20"/>
                <w:szCs w:val="20"/>
                <w:lang w:val="uk-UA" w:eastAsia="uk-UA"/>
              </w:rPr>
              <w:t>ові к</w:t>
            </w:r>
            <w:r w:rsidRPr="00736E7A">
              <w:rPr>
                <w:rFonts w:ascii="Times New Roman" w:hAnsi="Times New Roman"/>
                <w:sz w:val="20"/>
                <w:szCs w:val="20"/>
                <w:lang w:val="uk-UA" w:eastAsia="uk-UA"/>
              </w:rPr>
              <w:t>ошти та еквів</w:t>
            </w:r>
            <w:r w:rsidR="003E6530" w:rsidRPr="00736E7A">
              <w:rPr>
                <w:rFonts w:ascii="Times New Roman" w:hAnsi="Times New Roman"/>
                <w:sz w:val="20"/>
                <w:szCs w:val="20"/>
                <w:lang w:val="uk-UA" w:eastAsia="uk-UA"/>
              </w:rPr>
              <w:t>аленти</w:t>
            </w:r>
            <w:r w:rsidRPr="00736E7A">
              <w:rPr>
                <w:rFonts w:ascii="Times New Roman" w:hAnsi="Times New Roman"/>
                <w:sz w:val="20"/>
                <w:szCs w:val="20"/>
                <w:lang w:val="uk-UA" w:eastAsia="uk-UA"/>
              </w:rPr>
              <w:t>/</w:t>
            </w:r>
            <w:r w:rsidR="003E6530" w:rsidRPr="00736E7A">
              <w:rPr>
                <w:rFonts w:ascii="Times New Roman" w:hAnsi="Times New Roman"/>
                <w:sz w:val="20"/>
                <w:szCs w:val="20"/>
                <w:lang w:val="uk-UA" w:eastAsia="uk-UA"/>
              </w:rPr>
              <w:t>Зобов’язання на вимогу</w:t>
            </w:r>
          </w:p>
        </w:tc>
      </w:tr>
      <w:tr w:rsidR="00542217" w:rsidRPr="00736E7A" w:rsidTr="0050520E">
        <w:trPr>
          <w:trHeight w:val="255"/>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Середня дохідність кредитних операцій, %</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Дохід за кредитними операціями/Залишок за кредитами</w:t>
            </w:r>
          </w:p>
        </w:tc>
      </w:tr>
      <w:tr w:rsidR="00542217" w:rsidRPr="00736E7A" w:rsidTr="0050520E">
        <w:trPr>
          <w:trHeight w:val="282"/>
        </w:trPr>
        <w:tc>
          <w:tcPr>
            <w:tcW w:w="3860" w:type="dxa"/>
            <w:vAlign w:val="center"/>
            <w:hideMark/>
          </w:tcPr>
          <w:p w:rsidR="00542217" w:rsidRPr="00736E7A" w:rsidRDefault="00542217"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Середній спред, %</w:t>
            </w:r>
          </w:p>
        </w:tc>
        <w:tc>
          <w:tcPr>
            <w:tcW w:w="4804" w:type="dxa"/>
            <w:hideMark/>
          </w:tcPr>
          <w:p w:rsidR="00542217"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Середня дохідність активів -</w:t>
            </w:r>
            <w:r w:rsidR="007719D8" w:rsidRPr="00736E7A">
              <w:rPr>
                <w:rFonts w:ascii="Times New Roman" w:hAnsi="Times New Roman"/>
                <w:sz w:val="20"/>
                <w:szCs w:val="20"/>
                <w:lang w:val="uk-UA" w:eastAsia="uk-UA"/>
              </w:rPr>
              <w:t xml:space="preserve"> </w:t>
            </w:r>
            <w:r w:rsidRPr="00736E7A">
              <w:rPr>
                <w:rFonts w:ascii="Times New Roman" w:hAnsi="Times New Roman"/>
                <w:sz w:val="20"/>
                <w:szCs w:val="20"/>
                <w:lang w:val="uk-UA" w:eastAsia="uk-UA"/>
              </w:rPr>
              <w:t>середня вартість залучених коштів</w:t>
            </w:r>
          </w:p>
        </w:tc>
      </w:tr>
      <w:tr w:rsidR="003E6530" w:rsidRPr="00736E7A" w:rsidTr="0050520E">
        <w:trPr>
          <w:trHeight w:val="282"/>
        </w:trPr>
        <w:tc>
          <w:tcPr>
            <w:tcW w:w="3860" w:type="dxa"/>
            <w:vAlign w:val="center"/>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ROE, %</w:t>
            </w:r>
          </w:p>
        </w:tc>
        <w:tc>
          <w:tcPr>
            <w:tcW w:w="4804" w:type="dxa"/>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Чистий прибуток/Основний власний капітал</w:t>
            </w:r>
          </w:p>
        </w:tc>
      </w:tr>
      <w:tr w:rsidR="003E6530" w:rsidRPr="00736E7A" w:rsidTr="0050520E">
        <w:trPr>
          <w:trHeight w:val="282"/>
        </w:trPr>
        <w:tc>
          <w:tcPr>
            <w:tcW w:w="3860" w:type="dxa"/>
            <w:vAlign w:val="center"/>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ROA, %</w:t>
            </w:r>
          </w:p>
        </w:tc>
        <w:tc>
          <w:tcPr>
            <w:tcW w:w="4804" w:type="dxa"/>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Чистий прибуток/Активи</w:t>
            </w:r>
          </w:p>
        </w:tc>
      </w:tr>
      <w:tr w:rsidR="003E6530" w:rsidRPr="00736E7A" w:rsidTr="0050520E">
        <w:trPr>
          <w:trHeight w:val="282"/>
        </w:trPr>
        <w:tc>
          <w:tcPr>
            <w:tcW w:w="3860" w:type="dxa"/>
            <w:vAlign w:val="center"/>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Процентна маржа, %</w:t>
            </w:r>
          </w:p>
        </w:tc>
        <w:tc>
          <w:tcPr>
            <w:tcW w:w="4804" w:type="dxa"/>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(Процентні доходи-процентні витрати)/Активи</w:t>
            </w:r>
          </w:p>
        </w:tc>
      </w:tr>
      <w:tr w:rsidR="003E6530" w:rsidRPr="00736E7A" w:rsidTr="0050520E">
        <w:trPr>
          <w:trHeight w:val="630"/>
        </w:trPr>
        <w:tc>
          <w:tcPr>
            <w:tcW w:w="3860" w:type="dxa"/>
            <w:vAlign w:val="center"/>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Точка беззбитковості</w:t>
            </w:r>
          </w:p>
        </w:tc>
        <w:tc>
          <w:tcPr>
            <w:tcW w:w="4804" w:type="dxa"/>
            <w:hideMark/>
          </w:tcPr>
          <w:p w:rsidR="003E6530" w:rsidRPr="00736E7A" w:rsidRDefault="003E6530" w:rsidP="00736E7A">
            <w:pPr>
              <w:widowControl w:val="0"/>
              <w:spacing w:line="360" w:lineRule="auto"/>
              <w:jc w:val="both"/>
              <w:rPr>
                <w:rFonts w:ascii="Times New Roman" w:hAnsi="Times New Roman"/>
                <w:sz w:val="20"/>
                <w:szCs w:val="20"/>
                <w:lang w:val="uk-UA" w:eastAsia="uk-UA"/>
              </w:rPr>
            </w:pPr>
            <w:r w:rsidRPr="00736E7A">
              <w:rPr>
                <w:rFonts w:ascii="Times New Roman" w:hAnsi="Times New Roman"/>
                <w:sz w:val="20"/>
                <w:szCs w:val="20"/>
                <w:lang w:val="uk-UA" w:eastAsia="uk-UA"/>
              </w:rPr>
              <w:t>(Непроцентні витрати-Непроцентні доходи)/(Активи-Недохідні активи)</w:t>
            </w:r>
          </w:p>
        </w:tc>
      </w:tr>
    </w:tbl>
    <w:p w:rsidR="0050520E" w:rsidRDefault="0050520E" w:rsidP="007719D8">
      <w:pPr>
        <w:widowControl w:val="0"/>
        <w:spacing w:line="360" w:lineRule="auto"/>
        <w:ind w:firstLine="709"/>
        <w:jc w:val="both"/>
        <w:rPr>
          <w:rFonts w:ascii="Times New Roman" w:hAnsi="Times New Roman"/>
          <w:sz w:val="28"/>
          <w:szCs w:val="28"/>
          <w:lang w:val="uk-UA"/>
        </w:rPr>
      </w:pPr>
    </w:p>
    <w:p w:rsidR="00455FAA" w:rsidRPr="007719D8" w:rsidRDefault="00455FAA"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br w:type="page"/>
      </w:r>
    </w:p>
    <w:p w:rsidR="009C1AF5" w:rsidRPr="007719D8" w:rsidRDefault="009C1AF5"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Додаток </w:t>
      </w:r>
      <w:r w:rsidR="007A0B8C" w:rsidRPr="007719D8">
        <w:rPr>
          <w:rFonts w:ascii="Times New Roman" w:hAnsi="Times New Roman"/>
          <w:sz w:val="28"/>
          <w:szCs w:val="30"/>
          <w:lang w:val="uk-UA"/>
        </w:rPr>
        <w:t>В</w:t>
      </w:r>
    </w:p>
    <w:p w:rsidR="0050520E" w:rsidRDefault="0050520E" w:rsidP="007719D8">
      <w:pPr>
        <w:widowControl w:val="0"/>
        <w:spacing w:line="360" w:lineRule="auto"/>
        <w:ind w:firstLine="709"/>
        <w:jc w:val="both"/>
        <w:rPr>
          <w:rFonts w:ascii="Times New Roman" w:hAnsi="Times New Roman"/>
          <w:sz w:val="28"/>
          <w:szCs w:val="30"/>
          <w:lang w:val="uk-UA"/>
        </w:rPr>
      </w:pPr>
    </w:p>
    <w:p w:rsidR="009C1AF5" w:rsidRPr="007719D8" w:rsidRDefault="009C1AF5"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Розрахунок коефіцієнту β для </w:t>
      </w:r>
      <w:r w:rsidR="000A36CF" w:rsidRPr="007719D8">
        <w:rPr>
          <w:rFonts w:ascii="Times New Roman" w:hAnsi="Times New Roman"/>
          <w:sz w:val="28"/>
          <w:szCs w:val="30"/>
          <w:lang w:val="uk-UA"/>
        </w:rPr>
        <w:t>ПАТ</w:t>
      </w:r>
      <w:r w:rsidR="00CD41F9" w:rsidRPr="007719D8">
        <w:rPr>
          <w:rFonts w:ascii="Times New Roman" w:hAnsi="Times New Roman"/>
          <w:sz w:val="28"/>
          <w:szCs w:val="30"/>
          <w:lang w:val="uk-UA"/>
        </w:rPr>
        <w:t xml:space="preserve"> «Райффайзен Банк Аваль»</w:t>
      </w:r>
    </w:p>
    <w:p w:rsidR="0034068B" w:rsidRPr="007719D8" w:rsidRDefault="0034068B" w:rsidP="007719D8">
      <w:pPr>
        <w:widowControl w:val="0"/>
        <w:spacing w:line="360" w:lineRule="auto"/>
        <w:ind w:firstLine="709"/>
        <w:jc w:val="both"/>
        <w:rPr>
          <w:rFonts w:ascii="Times New Roman" w:hAnsi="Times New Roman"/>
          <w:sz w:val="28"/>
          <w:szCs w:val="30"/>
          <w:lang w:val="uk-UA"/>
        </w:rPr>
      </w:pPr>
    </w:p>
    <w:p w:rsidR="0034068B" w:rsidRPr="007719D8" w:rsidRDefault="0034068B"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Таблиця В.1</w:t>
      </w:r>
    </w:p>
    <w:p w:rsidR="0034068B" w:rsidRPr="007719D8" w:rsidRDefault="0034068B"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Вибірка для </w:t>
      </w:r>
      <w:r w:rsidRPr="007719D8">
        <w:rPr>
          <w:rFonts w:ascii="Times New Roman" w:hAnsi="Times New Roman"/>
          <w:sz w:val="28"/>
          <w:szCs w:val="30"/>
          <w:lang w:val="en-US"/>
        </w:rPr>
        <w:t>ROE</w:t>
      </w:r>
      <w:r w:rsidRPr="007719D8">
        <w:rPr>
          <w:rFonts w:ascii="Times New Roman" w:hAnsi="Times New Roman"/>
          <w:sz w:val="28"/>
          <w:szCs w:val="30"/>
          <w:lang w:val="uk-UA"/>
        </w:rPr>
        <w:t xml:space="preserve"> ринку в цілому та ПАТ «Райффайзен Банк Аваль»</w:t>
      </w:r>
    </w:p>
    <w:tbl>
      <w:tblPr>
        <w:tblW w:w="5120" w:type="dxa"/>
        <w:jc w:val="center"/>
        <w:tblLook w:val="04A0" w:firstRow="1" w:lastRow="0" w:firstColumn="1" w:lastColumn="0" w:noHBand="0" w:noVBand="1"/>
      </w:tblPr>
      <w:tblGrid>
        <w:gridCol w:w="960"/>
        <w:gridCol w:w="2080"/>
        <w:gridCol w:w="2080"/>
      </w:tblGrid>
      <w:tr w:rsidR="0041164C" w:rsidRPr="0050520E" w:rsidTr="0034068B">
        <w:trPr>
          <w:trHeight w:val="600"/>
          <w:jc w:val="center"/>
        </w:trPr>
        <w:tc>
          <w:tcPr>
            <w:tcW w:w="960" w:type="dxa"/>
            <w:tcBorders>
              <w:top w:val="single" w:sz="4" w:space="0" w:color="auto"/>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p>
        </w:tc>
        <w:tc>
          <w:tcPr>
            <w:tcW w:w="2080" w:type="dxa"/>
            <w:tcBorders>
              <w:top w:val="single" w:sz="4" w:space="0" w:color="auto"/>
              <w:left w:val="nil"/>
              <w:bottom w:val="single" w:sz="4" w:space="0" w:color="auto"/>
              <w:right w:val="single" w:sz="4" w:space="0" w:color="auto"/>
            </w:tcBorders>
            <w:vAlign w:val="center"/>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 xml:space="preserve">ROE для банківського ринку України </w:t>
            </w:r>
            <w:r w:rsidR="007A0B8C" w:rsidRPr="0050520E">
              <w:rPr>
                <w:rFonts w:ascii="Times New Roman" w:hAnsi="Times New Roman"/>
                <w:sz w:val="20"/>
                <w:szCs w:val="20"/>
                <w:lang w:val="uk-UA" w:eastAsia="uk-UA"/>
              </w:rPr>
              <w:t>(х)</w:t>
            </w:r>
          </w:p>
        </w:tc>
        <w:tc>
          <w:tcPr>
            <w:tcW w:w="2080" w:type="dxa"/>
            <w:tcBorders>
              <w:top w:val="single" w:sz="4" w:space="0" w:color="auto"/>
              <w:left w:val="nil"/>
              <w:bottom w:val="single" w:sz="4" w:space="0" w:color="auto"/>
              <w:right w:val="single" w:sz="4" w:space="0" w:color="auto"/>
            </w:tcBorders>
            <w:vAlign w:val="center"/>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 xml:space="preserve">ROE для </w:t>
            </w:r>
            <w:r w:rsidR="00036022" w:rsidRPr="0050520E">
              <w:rPr>
                <w:rFonts w:ascii="Times New Roman" w:hAnsi="Times New Roman"/>
                <w:sz w:val="20"/>
                <w:szCs w:val="20"/>
                <w:lang w:val="uk-UA"/>
              </w:rPr>
              <w:t>ПАО «Райффайзен Банк Аваль»</w:t>
            </w:r>
            <w:r w:rsidR="00036022" w:rsidRPr="0050520E">
              <w:rPr>
                <w:rFonts w:ascii="Times New Roman" w:hAnsi="Times New Roman"/>
                <w:sz w:val="20"/>
                <w:szCs w:val="20"/>
                <w:lang w:val="uk-UA" w:eastAsia="uk-UA"/>
              </w:rPr>
              <w:t xml:space="preserve"> </w:t>
            </w:r>
            <w:r w:rsidR="007A0B8C" w:rsidRPr="0050520E">
              <w:rPr>
                <w:rFonts w:ascii="Times New Roman" w:hAnsi="Times New Roman"/>
                <w:sz w:val="20"/>
                <w:szCs w:val="20"/>
                <w:lang w:val="uk-UA" w:eastAsia="uk-UA"/>
              </w:rPr>
              <w:t>(у)</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2001</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7,5</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0,5634</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2002</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7,97</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0,7285</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2003</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7,61</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1,2908</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2004</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8,43</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1,4002</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2005</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10,39</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1,1024</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2006</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13,52</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10,6977</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2007</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12,67</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12,3942</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2008</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8,51</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7,1429</w:t>
            </w:r>
          </w:p>
        </w:tc>
      </w:tr>
      <w:tr w:rsidR="0041164C" w:rsidRPr="0050520E" w:rsidTr="0034068B">
        <w:trPr>
          <w:trHeight w:val="255"/>
          <w:jc w:val="center"/>
        </w:trPr>
        <w:tc>
          <w:tcPr>
            <w:tcW w:w="960" w:type="dxa"/>
            <w:tcBorders>
              <w:top w:val="nil"/>
              <w:left w:val="single" w:sz="4" w:space="0" w:color="auto"/>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2009</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-32,52</w:t>
            </w:r>
          </w:p>
        </w:tc>
        <w:tc>
          <w:tcPr>
            <w:tcW w:w="2080" w:type="dxa"/>
            <w:tcBorders>
              <w:top w:val="nil"/>
              <w:left w:val="nil"/>
              <w:bottom w:val="single" w:sz="4" w:space="0" w:color="auto"/>
              <w:right w:val="single" w:sz="4" w:space="0" w:color="auto"/>
            </w:tcBorders>
            <w:noWrap/>
            <w:vAlign w:val="bottom"/>
            <w:hideMark/>
          </w:tcPr>
          <w:p w:rsidR="0041164C" w:rsidRPr="0050520E" w:rsidRDefault="0041164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-37,97</w:t>
            </w:r>
            <w:r w:rsidR="00FF59A6" w:rsidRPr="0050520E">
              <w:rPr>
                <w:rFonts w:ascii="Times New Roman" w:hAnsi="Times New Roman"/>
                <w:sz w:val="20"/>
                <w:szCs w:val="20"/>
                <w:lang w:val="uk-UA" w:eastAsia="uk-UA"/>
              </w:rPr>
              <w:t>1</w:t>
            </w:r>
          </w:p>
        </w:tc>
      </w:tr>
    </w:tbl>
    <w:p w:rsidR="0050520E" w:rsidRDefault="0050520E" w:rsidP="007719D8">
      <w:pPr>
        <w:widowControl w:val="0"/>
        <w:spacing w:line="360" w:lineRule="auto"/>
        <w:ind w:firstLine="709"/>
        <w:jc w:val="both"/>
        <w:rPr>
          <w:rFonts w:ascii="Times New Roman" w:hAnsi="Times New Roman"/>
          <w:sz w:val="28"/>
          <w:szCs w:val="28"/>
          <w:lang w:val="uk-UA"/>
        </w:rPr>
      </w:pPr>
    </w:p>
    <w:p w:rsidR="009C1AF5" w:rsidRPr="007719D8" w:rsidRDefault="0041164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Для цих вибірок коефіцієнт кореляції дорівнює 0,9793, критичне значення коефіцієнту для вибірки із 9 спостереженнями для α=0,01 дорівнює 0,7977, отже, коефіцієнт є статистично значущим. </w:t>
      </w:r>
    </w:p>
    <w:p w:rsidR="0041164C" w:rsidRPr="007719D8" w:rsidRDefault="0041164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Використавши формулу 7 із розділу 2.2., отримаємо значення для коефіцієнту β у 1,05. Для даного рівняння регресії критерій Фішера дорівнює 164,20, для рівня значущості α</w:t>
      </w:r>
      <w:r w:rsidR="007A0B8C" w:rsidRPr="007719D8">
        <w:rPr>
          <w:rFonts w:ascii="Times New Roman" w:hAnsi="Times New Roman"/>
          <w:sz w:val="28"/>
          <w:szCs w:val="28"/>
          <w:lang w:val="uk-UA"/>
        </w:rPr>
        <w:t>=0,05</w:t>
      </w:r>
      <w:r w:rsidRPr="007719D8">
        <w:rPr>
          <w:rFonts w:ascii="Times New Roman" w:hAnsi="Times New Roman"/>
          <w:sz w:val="28"/>
          <w:szCs w:val="28"/>
          <w:lang w:val="uk-UA"/>
        </w:rPr>
        <w:t xml:space="preserve"> критичне значення коефіцієнта дорівнює </w:t>
      </w:r>
      <w:r w:rsidR="007A0B8C" w:rsidRPr="007719D8">
        <w:rPr>
          <w:rFonts w:ascii="Times New Roman" w:hAnsi="Times New Roman"/>
          <w:sz w:val="28"/>
          <w:szCs w:val="28"/>
          <w:lang w:val="uk-UA"/>
        </w:rPr>
        <w:t xml:space="preserve">5,59, а отже, критерій є значущим. </w:t>
      </w:r>
    </w:p>
    <w:p w:rsidR="007A0B8C" w:rsidRDefault="007A0B8C"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Нижче наводиться графік із кореляційним полем для вибірки:</w:t>
      </w:r>
    </w:p>
    <w:p w:rsidR="0050520E" w:rsidRDefault="0050520E" w:rsidP="007719D8">
      <w:pPr>
        <w:widowControl w:val="0"/>
        <w:spacing w:line="360" w:lineRule="auto"/>
        <w:ind w:firstLine="709"/>
        <w:jc w:val="both"/>
        <w:rPr>
          <w:rFonts w:ascii="Times New Roman" w:hAnsi="Times New Roman"/>
          <w:sz w:val="28"/>
          <w:szCs w:val="28"/>
          <w:lang w:val="uk-UA"/>
        </w:rPr>
      </w:pPr>
    </w:p>
    <w:p w:rsidR="0050520E" w:rsidRDefault="0050520E">
      <w:pPr>
        <w:spacing w:line="240" w:lineRule="auto"/>
        <w:rPr>
          <w:rFonts w:ascii="Times New Roman" w:hAnsi="Times New Roman"/>
          <w:sz w:val="28"/>
          <w:szCs w:val="28"/>
          <w:lang w:val="uk-UA"/>
        </w:rPr>
      </w:pPr>
      <w:r>
        <w:rPr>
          <w:rFonts w:ascii="Times New Roman" w:hAnsi="Times New Roman"/>
          <w:sz w:val="28"/>
          <w:szCs w:val="28"/>
          <w:lang w:val="uk-UA"/>
        </w:rPr>
        <w:br w:type="page"/>
      </w:r>
    </w:p>
    <w:p w:rsidR="007A0B8C" w:rsidRPr="007719D8" w:rsidRDefault="00C8796C" w:rsidP="007719D8">
      <w:pPr>
        <w:widowControl w:val="0"/>
        <w:spacing w:line="360" w:lineRule="auto"/>
        <w:ind w:firstLine="709"/>
        <w:jc w:val="both"/>
        <w:rPr>
          <w:rFonts w:ascii="Times New Roman" w:hAnsi="Times New Roman"/>
          <w:sz w:val="28"/>
          <w:szCs w:val="24"/>
          <w:lang w:val="uk-UA"/>
        </w:rPr>
      </w:pPr>
      <w:r>
        <w:rPr>
          <w:rFonts w:ascii="Times New Roman" w:hAnsi="Times New Roman"/>
          <w:noProof/>
          <w:sz w:val="28"/>
          <w:lang w:eastAsia="ru-RU"/>
        </w:rPr>
        <w:pict>
          <v:shape id="Диаграмма 6" o:spid="_x0000_i1039" type="#_x0000_t75" style="width:331.5pt;height:276.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">
            <v:imagedata r:id="rId34" o:title=""/>
            <o:lock v:ext="edit" aspectratio="f"/>
          </v:shape>
        </w:pict>
      </w:r>
    </w:p>
    <w:p w:rsidR="0050520E" w:rsidRDefault="0050520E" w:rsidP="007719D8">
      <w:pPr>
        <w:widowControl w:val="0"/>
        <w:spacing w:line="360" w:lineRule="auto"/>
        <w:ind w:firstLine="709"/>
        <w:jc w:val="both"/>
        <w:rPr>
          <w:rFonts w:ascii="Times New Roman" w:hAnsi="Times New Roman"/>
          <w:sz w:val="28"/>
          <w:szCs w:val="30"/>
          <w:lang w:val="uk-UA"/>
        </w:rPr>
      </w:pPr>
    </w:p>
    <w:p w:rsidR="0050520E" w:rsidRDefault="0050520E">
      <w:pPr>
        <w:spacing w:line="240" w:lineRule="auto"/>
        <w:rPr>
          <w:rFonts w:ascii="Times New Roman" w:hAnsi="Times New Roman"/>
          <w:sz w:val="28"/>
          <w:szCs w:val="30"/>
          <w:lang w:val="uk-UA"/>
        </w:rPr>
      </w:pPr>
      <w:r>
        <w:rPr>
          <w:rFonts w:ascii="Times New Roman" w:hAnsi="Times New Roman"/>
          <w:sz w:val="28"/>
          <w:szCs w:val="30"/>
          <w:lang w:val="uk-UA"/>
        </w:rPr>
        <w:br w:type="page"/>
      </w:r>
    </w:p>
    <w:p w:rsidR="00657856" w:rsidRPr="007719D8" w:rsidRDefault="00657856"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Додаток Г</w:t>
      </w:r>
    </w:p>
    <w:p w:rsidR="0050520E" w:rsidRDefault="0050520E" w:rsidP="007719D8">
      <w:pPr>
        <w:widowControl w:val="0"/>
        <w:spacing w:line="360" w:lineRule="auto"/>
        <w:ind w:firstLine="709"/>
        <w:jc w:val="both"/>
        <w:rPr>
          <w:rFonts w:ascii="Times New Roman" w:hAnsi="Times New Roman"/>
          <w:sz w:val="28"/>
          <w:szCs w:val="30"/>
          <w:lang w:val="uk-UA"/>
        </w:rPr>
      </w:pPr>
    </w:p>
    <w:p w:rsidR="00657856" w:rsidRPr="007719D8" w:rsidRDefault="00657856" w:rsidP="007719D8">
      <w:pPr>
        <w:widowControl w:val="0"/>
        <w:spacing w:line="360" w:lineRule="auto"/>
        <w:ind w:firstLine="709"/>
        <w:jc w:val="both"/>
        <w:rPr>
          <w:rFonts w:ascii="Times New Roman" w:hAnsi="Times New Roman"/>
          <w:sz w:val="28"/>
          <w:szCs w:val="30"/>
          <w:lang w:val="uk-UA"/>
        </w:rPr>
      </w:pPr>
      <w:r w:rsidRPr="007719D8">
        <w:rPr>
          <w:rFonts w:ascii="Times New Roman" w:hAnsi="Times New Roman"/>
          <w:sz w:val="28"/>
          <w:szCs w:val="30"/>
          <w:lang w:val="uk-UA"/>
        </w:rPr>
        <w:t xml:space="preserve">Прогнозна фінансова звітність для </w:t>
      </w:r>
      <w:r w:rsidR="000A36CF" w:rsidRPr="007719D8">
        <w:rPr>
          <w:rFonts w:ascii="Times New Roman" w:hAnsi="Times New Roman"/>
          <w:sz w:val="28"/>
          <w:szCs w:val="30"/>
          <w:lang w:val="uk-UA"/>
        </w:rPr>
        <w:t>ПАТ «Райффайзен Банк Аваль»</w:t>
      </w:r>
    </w:p>
    <w:p w:rsidR="00657856" w:rsidRPr="007719D8" w:rsidRDefault="00657856" w:rsidP="007719D8">
      <w:pPr>
        <w:widowControl w:val="0"/>
        <w:spacing w:line="360" w:lineRule="auto"/>
        <w:ind w:firstLine="709"/>
        <w:jc w:val="both"/>
        <w:rPr>
          <w:rFonts w:ascii="Times New Roman" w:hAnsi="Times New Roman"/>
          <w:sz w:val="28"/>
          <w:szCs w:val="28"/>
          <w:lang w:val="uk-UA"/>
        </w:rPr>
      </w:pPr>
    </w:p>
    <w:p w:rsidR="00657856" w:rsidRPr="007719D8" w:rsidRDefault="00983FA6"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Для складання прогнозної фінансової звітності банку, необхідної для розрахунку вартості його як активу, були використані наступні передумови:</w:t>
      </w:r>
    </w:p>
    <w:p w:rsidR="00983FA6" w:rsidRPr="007719D8" w:rsidRDefault="00983FA6" w:rsidP="007719D8">
      <w:pPr>
        <w:pStyle w:val="aa"/>
        <w:widowControl w:val="0"/>
        <w:numPr>
          <w:ilvl w:val="0"/>
          <w:numId w:val="3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найбільш оптимальним з позиції витрат на пошук інформації для прогнозування було обрано метод пропорційної залежності показників звітності від базового параметра; для комерційного банку таким параметром є власний капітал — від його розміру залежить оптимальний обсяг кредитування, який може надати для економіки банк, від обсягів кредитування у свою чергу залежить структура доходів банку; структура витрат банку та його зобов’язань також сильно залежать від запланованих обсягів кредитів клієнтам, адже зобов’язання банку є основним ресурсом для нарощування кредитування;</w:t>
      </w:r>
    </w:p>
    <w:p w:rsidR="00983FA6" w:rsidRPr="007719D8" w:rsidRDefault="00983FA6" w:rsidP="007719D8">
      <w:pPr>
        <w:pStyle w:val="aa"/>
        <w:widowControl w:val="0"/>
        <w:numPr>
          <w:ilvl w:val="0"/>
          <w:numId w:val="3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коефіцієнти, за допомогою яких розраховується значення статей звітності, у деяких випадках замінено на рівняння регресії; факторними змінними є переважно значення величини власного капіталу банку, суми його активів чи зобов’язань;</w:t>
      </w:r>
      <w:r w:rsidR="00807FE8" w:rsidRPr="007719D8">
        <w:rPr>
          <w:rFonts w:ascii="Times New Roman" w:hAnsi="Times New Roman"/>
          <w:sz w:val="28"/>
          <w:szCs w:val="28"/>
          <w:lang w:val="uk-UA"/>
        </w:rPr>
        <w:t xml:space="preserve"> розрахунок коефіцієнтів приведення заснований на знаходженні середніх величин для відповідних відношень за період 2006-2009 роки у поквартальному вимірі, цей прийом є прийнятним та передбачає збереження у подальшому майбутньому подібної структури активів та зобов’язань банку </w:t>
      </w:r>
    </w:p>
    <w:p w:rsidR="00983FA6" w:rsidRPr="007719D8" w:rsidRDefault="00983FA6" w:rsidP="007719D8">
      <w:pPr>
        <w:pStyle w:val="aa"/>
        <w:widowControl w:val="0"/>
        <w:numPr>
          <w:ilvl w:val="0"/>
          <w:numId w:val="31"/>
        </w:numPr>
        <w:spacing w:line="360" w:lineRule="auto"/>
        <w:ind w:left="0" w:firstLine="709"/>
        <w:jc w:val="both"/>
        <w:rPr>
          <w:rFonts w:ascii="Times New Roman" w:hAnsi="Times New Roman"/>
          <w:sz w:val="28"/>
          <w:szCs w:val="28"/>
          <w:lang w:val="uk-UA"/>
        </w:rPr>
      </w:pPr>
      <w:r w:rsidRPr="007719D8">
        <w:rPr>
          <w:rFonts w:ascii="Times New Roman" w:hAnsi="Times New Roman"/>
          <w:sz w:val="28"/>
          <w:szCs w:val="28"/>
          <w:lang w:val="uk-UA"/>
        </w:rPr>
        <w:t>величина субординованого богу залишається незміною упродовж усього прогнозного періоду</w:t>
      </w:r>
      <w:r w:rsidR="00807FE8" w:rsidRPr="007719D8">
        <w:rPr>
          <w:rFonts w:ascii="Times New Roman" w:hAnsi="Times New Roman"/>
          <w:sz w:val="28"/>
          <w:szCs w:val="28"/>
          <w:lang w:val="uk-UA"/>
        </w:rPr>
        <w:t>.</w:t>
      </w:r>
    </w:p>
    <w:p w:rsidR="00807FE8" w:rsidRPr="007719D8" w:rsidRDefault="005D4D01"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Нижче наведено прогнозні баланс та звіт про фінансові результати банку:</w:t>
      </w:r>
    </w:p>
    <w:p w:rsidR="0050520E" w:rsidRDefault="0050520E" w:rsidP="007719D8">
      <w:pPr>
        <w:widowControl w:val="0"/>
        <w:spacing w:line="360" w:lineRule="auto"/>
        <w:ind w:firstLine="709"/>
        <w:jc w:val="both"/>
        <w:rPr>
          <w:rFonts w:ascii="Times New Roman" w:hAnsi="Times New Roman"/>
          <w:sz w:val="28"/>
          <w:szCs w:val="28"/>
          <w:lang w:val="uk-UA"/>
        </w:rPr>
      </w:pPr>
    </w:p>
    <w:p w:rsidR="0050520E" w:rsidRDefault="0050520E" w:rsidP="007719D8">
      <w:pPr>
        <w:widowControl w:val="0"/>
        <w:spacing w:line="360" w:lineRule="auto"/>
        <w:ind w:firstLine="709"/>
        <w:jc w:val="both"/>
        <w:rPr>
          <w:rFonts w:ascii="Times New Roman" w:hAnsi="Times New Roman"/>
          <w:sz w:val="28"/>
          <w:szCs w:val="28"/>
          <w:lang w:val="uk-UA"/>
        </w:rPr>
        <w:sectPr w:rsidR="0050520E" w:rsidSect="007719D8">
          <w:pgSz w:w="11906" w:h="16838" w:code="9"/>
          <w:pgMar w:top="1134" w:right="851" w:bottom="1134" w:left="1701" w:header="709" w:footer="709" w:gutter="0"/>
          <w:cols w:space="708"/>
          <w:titlePg/>
          <w:docGrid w:linePitch="360"/>
        </w:sectPr>
      </w:pPr>
    </w:p>
    <w:p w:rsidR="005D4D01" w:rsidRPr="007719D8" w:rsidRDefault="0034068B"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Таблиця Г.1</w:t>
      </w:r>
    </w:p>
    <w:p w:rsidR="0034068B" w:rsidRPr="007719D8" w:rsidRDefault="0034068B" w:rsidP="007719D8">
      <w:pPr>
        <w:widowControl w:val="0"/>
        <w:spacing w:line="360" w:lineRule="auto"/>
        <w:ind w:firstLine="709"/>
        <w:jc w:val="both"/>
        <w:rPr>
          <w:rFonts w:ascii="Times New Roman" w:hAnsi="Times New Roman"/>
          <w:sz w:val="28"/>
          <w:szCs w:val="28"/>
          <w:lang w:val="uk-UA"/>
        </w:rPr>
      </w:pPr>
      <w:r w:rsidRPr="007719D8">
        <w:rPr>
          <w:rFonts w:ascii="Times New Roman" w:hAnsi="Times New Roman"/>
          <w:sz w:val="28"/>
          <w:szCs w:val="28"/>
          <w:lang w:val="uk-UA"/>
        </w:rPr>
        <w:t xml:space="preserve">Прогнозна фінансова звітність для </w:t>
      </w:r>
      <w:r w:rsidRPr="007719D8">
        <w:rPr>
          <w:rFonts w:ascii="Times New Roman" w:hAnsi="Times New Roman"/>
          <w:sz w:val="28"/>
          <w:szCs w:val="30"/>
          <w:lang w:val="uk-UA"/>
        </w:rPr>
        <w:t>ПАТ «Райффайзен Банк Аваль»</w:t>
      </w:r>
    </w:p>
    <w:tbl>
      <w:tblPr>
        <w:tblW w:w="13623"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58"/>
        <w:gridCol w:w="1559"/>
        <w:gridCol w:w="1276"/>
        <w:gridCol w:w="1276"/>
        <w:gridCol w:w="1275"/>
        <w:gridCol w:w="1276"/>
        <w:gridCol w:w="1276"/>
        <w:gridCol w:w="1276"/>
        <w:gridCol w:w="1275"/>
        <w:gridCol w:w="1276"/>
      </w:tblGrid>
      <w:tr w:rsidR="0050520E" w:rsidRPr="0050520E" w:rsidTr="0050520E">
        <w:trPr>
          <w:trHeight w:val="255"/>
        </w:trPr>
        <w:tc>
          <w:tcPr>
            <w:tcW w:w="1858" w:type="dxa"/>
            <w:noWrap/>
            <w:hideMark/>
          </w:tcPr>
          <w:p w:rsidR="005D4D01" w:rsidRPr="0050520E" w:rsidRDefault="005D4D01" w:rsidP="0050520E">
            <w:pPr>
              <w:widowControl w:val="0"/>
              <w:spacing w:line="360" w:lineRule="auto"/>
              <w:jc w:val="both"/>
              <w:rPr>
                <w:rFonts w:ascii="Times New Roman" w:hAnsi="Times New Roman"/>
                <w:bCs/>
                <w:sz w:val="20"/>
                <w:szCs w:val="20"/>
                <w:lang w:val="uk-UA" w:eastAsia="uk-UA"/>
              </w:rPr>
            </w:pPr>
            <w:r w:rsidRPr="0050520E">
              <w:rPr>
                <w:rFonts w:ascii="Times New Roman" w:hAnsi="Times New Roman"/>
                <w:bCs/>
                <w:sz w:val="20"/>
                <w:szCs w:val="20"/>
                <w:lang w:val="uk-UA" w:eastAsia="uk-UA"/>
              </w:rPr>
              <w:t>Активи</w:t>
            </w:r>
          </w:p>
        </w:tc>
        <w:tc>
          <w:tcPr>
            <w:tcW w:w="1559" w:type="dxa"/>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r>
      <w:tr w:rsidR="0050520E" w:rsidRPr="0050520E" w:rsidTr="0050520E">
        <w:trPr>
          <w:trHeight w:val="255"/>
        </w:trPr>
        <w:tc>
          <w:tcPr>
            <w:tcW w:w="1858" w:type="dxa"/>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 </w:t>
            </w:r>
          </w:p>
        </w:tc>
        <w:tc>
          <w:tcPr>
            <w:tcW w:w="1559"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31.12.2009</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31.12.2010</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31.12.2011</w:t>
            </w:r>
          </w:p>
        </w:tc>
        <w:tc>
          <w:tcPr>
            <w:tcW w:w="1275"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31.12.2012</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31.12.2013</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31.12.2014</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31.12.2015</w:t>
            </w:r>
          </w:p>
        </w:tc>
        <w:tc>
          <w:tcPr>
            <w:tcW w:w="1275"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31.12.2016</w:t>
            </w:r>
          </w:p>
        </w:tc>
        <w:tc>
          <w:tcPr>
            <w:tcW w:w="1276" w:type="dxa"/>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31.12.2017</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Грошові кошти та їх еквіваленти</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6 490 901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3 264 870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3 518 014</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4 383 000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5 174 498</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6 053 339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6 821 442</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7 584 778</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8 422 755</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Торгові цінні папери</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421 717</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177 236</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190 978</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237 934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280 901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328 610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370 307</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411 745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457 235</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Заборгованість кредитних установ</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581 456</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1 515 021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1 632 489</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2 033 875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2 401 159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2 808 974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3 165 402</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3 519 618</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3 908 471</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Кредити та заборгованість клієнтів</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39 167 775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37 253 833</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39 955 435</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49 185 851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57 632 091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67 010 340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75 206 938</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83 352 667</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92 294 878</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Інвестиційні цінні папери</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2 969 743</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1 865 640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2 010 294</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2 504 572</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2 956 856</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3 459 051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3 897 967</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4 334 159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4 813 003</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Основні засоби та нематеріальні активи</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2 973 000</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2 651 286</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2 856 856</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3 559 281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4 202 029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4 915 704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5 539 454</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6 159 332</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6 839 825</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Інші активи</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1 483 953</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1 660 419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1 789 161</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2 229 069</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2 631 602</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3 078 555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3 469 190</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3 857 401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4 283 573</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Загальна сумма резервів під знецінення активів</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9 674 553</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7 484 202</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7 215 601</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7 403 304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6 243 014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5 112 333</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4 938 028</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5 490 605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6 097 215</w:t>
            </w:r>
          </w:p>
        </w:tc>
      </w:tr>
      <w:tr w:rsidR="0050520E" w:rsidRPr="0050520E" w:rsidTr="0050520E">
        <w:trPr>
          <w:trHeight w:val="255"/>
        </w:trPr>
        <w:tc>
          <w:tcPr>
            <w:tcW w:w="1858" w:type="dxa"/>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Усього активів</w:t>
            </w:r>
          </w:p>
        </w:tc>
        <w:tc>
          <w:tcPr>
            <w:tcW w:w="1559"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54 088 545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48 388 305</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51 953 226</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64 133 581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75 279 136</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87 654 574</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98 470 700</w:t>
            </w:r>
          </w:p>
        </w:tc>
        <w:tc>
          <w:tcPr>
            <w:tcW w:w="1275"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109 219 701</w:t>
            </w:r>
          </w:p>
        </w:tc>
        <w:tc>
          <w:tcPr>
            <w:tcW w:w="1276" w:type="dxa"/>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121 019 741</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bCs/>
                <w:sz w:val="20"/>
                <w:szCs w:val="20"/>
                <w:lang w:val="uk-UA" w:eastAsia="uk-UA"/>
              </w:rPr>
            </w:pPr>
            <w:r w:rsidRPr="0050520E">
              <w:rPr>
                <w:rFonts w:ascii="Times New Roman" w:hAnsi="Times New Roman"/>
                <w:bCs/>
                <w:sz w:val="20"/>
                <w:szCs w:val="20"/>
                <w:lang w:val="uk-UA" w:eastAsia="uk-UA"/>
              </w:rPr>
              <w:t>Зобов'язання</w:t>
            </w:r>
          </w:p>
        </w:tc>
        <w:tc>
          <w:tcPr>
            <w:tcW w:w="1559" w:type="dxa"/>
            <w:tcBorders>
              <w:top w:val="single" w:sz="2" w:space="0" w:color="auto"/>
              <w:left w:val="single" w:sz="2" w:space="0" w:color="auto"/>
              <w:bottom w:val="single" w:sz="2" w:space="0" w:color="auto"/>
              <w:right w:val="single" w:sz="2" w:space="0" w:color="auto"/>
            </w:tcBorders>
            <w:noWrap/>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559"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31.12.2009</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31.12.2010</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31.12.2011</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31.12.2012</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31.12.2013</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31.12.2014</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31.12.2015</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31.12.2016</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Зобов'язання перед банками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16 332 907</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12 723 642</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13 710 179</w:t>
            </w: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17 081 149</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20 165 725</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23 590 686</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26 584 088</w:t>
            </w: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29 558 912</w:t>
            </w: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32 824 625</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Заборгованість перед клієнтами: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27 667 673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22 647 753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24 403 763</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30 404 002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35 894 467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41 990 810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47 318 988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52 614 098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58 426 982</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Емітовані цінні папери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190 100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601 961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648 635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808 117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954 049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1 116 086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1 257 705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1 398 445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1 552 947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Субординований борг</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2 374 696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Інші зобов'язання</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2 112 860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4 588 922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4 944 728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6 160 505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7 272 991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8 508 242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9 587 845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10 660 748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11 838 564</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Усього зобов'язань</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48 775 611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42 977 517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46 122 908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56 869 743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66 703 568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77 622 524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87 165 692</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96 649 635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107 060 915</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bCs/>
                <w:sz w:val="20"/>
                <w:szCs w:val="20"/>
                <w:lang w:val="uk-UA" w:eastAsia="uk-UA"/>
              </w:rPr>
            </w:pPr>
            <w:r w:rsidRPr="0050520E">
              <w:rPr>
                <w:rFonts w:ascii="Times New Roman" w:hAnsi="Times New Roman"/>
                <w:bCs/>
                <w:sz w:val="20"/>
                <w:szCs w:val="20"/>
                <w:lang w:val="uk-UA" w:eastAsia="uk-UA"/>
              </w:rPr>
              <w:t>Власний капітал</w:t>
            </w:r>
          </w:p>
        </w:tc>
        <w:tc>
          <w:tcPr>
            <w:tcW w:w="1559"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559"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31.12.2009</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31.12.2010</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31.12.2011</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31.12.2012</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31.12.2013</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31.12.2014</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31.12.2015</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31.12.2016</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Статутний капітал</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2 419 935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2 419 935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2 419 935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2 700 000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3 100 000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3 300 000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3 800 000</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Додатковий сплачений капітал</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2 683 602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2 683 602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2 683 602</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3 000 000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3 300 000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3 600 000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3 800 000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4 000 000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4 200 000</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Резерви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2 194 695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1 924 033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1 924 033</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2 148 900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2 337 400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2 525 900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2 676 700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2 827 500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3 016 000</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Нерозподілений прибуток</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-1 985 298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-1 616 782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-1 197 253</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-585 061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38 169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806 150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1 528 308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2 242 566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2 942 826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Всього капіталу</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5 312 934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5 410 788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5 830 318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7 263 839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8 575 569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10 032 050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11 305 008</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12 570 066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13 958 826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noWrap/>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Зобов'язання та капітал</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54 088 545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48 388 305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51 953 226</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64 133 581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75 279 136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87 654 574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98 470 700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109 219 701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121 019 741</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bCs/>
                <w:sz w:val="20"/>
                <w:szCs w:val="20"/>
                <w:lang w:val="uk-UA" w:eastAsia="uk-UA"/>
              </w:rPr>
            </w:pPr>
            <w:r w:rsidRPr="0050520E">
              <w:rPr>
                <w:rFonts w:ascii="Times New Roman" w:hAnsi="Times New Roman"/>
                <w:bCs/>
                <w:sz w:val="20"/>
                <w:szCs w:val="20"/>
                <w:lang w:val="uk-UA" w:eastAsia="uk-UA"/>
              </w:rPr>
              <w:t>Звіт про фінансові результати</w:t>
            </w:r>
          </w:p>
        </w:tc>
        <w:tc>
          <w:tcPr>
            <w:tcW w:w="1559"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5" w:type="dxa"/>
            <w:tcBorders>
              <w:top w:val="single" w:sz="2" w:space="0" w:color="auto"/>
              <w:left w:val="single" w:sz="2" w:space="0" w:color="auto"/>
              <w:bottom w:val="single" w:sz="2" w:space="0" w:color="auto"/>
              <w:right w:val="single" w:sz="2" w:space="0" w:color="auto"/>
            </w:tcBorders>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276" w:type="dxa"/>
            <w:tcBorders>
              <w:top w:val="single" w:sz="2" w:space="0" w:color="auto"/>
              <w:left w:val="single" w:sz="2" w:space="0" w:color="auto"/>
              <w:bottom w:val="single" w:sz="2" w:space="0" w:color="auto"/>
              <w:right w:val="single" w:sz="2" w:space="0" w:color="auto"/>
            </w:tcBorders>
            <w:noWrap/>
            <w:vAlign w:val="bottom"/>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p>
        </w:tc>
        <w:tc>
          <w:tcPr>
            <w:tcW w:w="1559"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31.12.2009</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31.12.2010</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31.12.2011</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31.12.2012</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31.12.2013</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31.12.2014</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31.12.2015</w:t>
            </w:r>
          </w:p>
        </w:tc>
        <w:tc>
          <w:tcPr>
            <w:tcW w:w="1275"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31.12.2016</w:t>
            </w:r>
          </w:p>
        </w:tc>
        <w:tc>
          <w:tcPr>
            <w:tcW w:w="1276"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31.12.2017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Процентні доходи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7 863 111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6 810 338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7 338 945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9 145 181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10 797 961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12 633 127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14 237 055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15 831 028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17 580 865</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Процентні витрати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3 575 315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3 303 885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3 559 630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4 433 504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5 233 135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6 121 006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6 897 001</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7 668 180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8 514 768</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Чисті процентні доходи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4 287 796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3 506 453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3 779 315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4 711 677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5 564 827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6 512 122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7 340 054</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8 162 847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9 066 097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Резерв під зменшення вартості кредитів</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5 497 025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1 386 244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1 632 489</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2 033 875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2 401 159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2 808 974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3 165 402</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3 519 618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3 908 471</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Чисті процентні доходи після резерву під зменшення корисності кредитів</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F762EC"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w:t>
            </w:r>
            <w:r w:rsidR="005D4D01" w:rsidRPr="0050520E">
              <w:rPr>
                <w:rFonts w:ascii="Times New Roman" w:hAnsi="Times New Roman"/>
                <w:sz w:val="20"/>
                <w:szCs w:val="20"/>
                <w:lang w:val="uk-UA" w:eastAsia="uk-UA"/>
              </w:rPr>
              <w:t>1 209 229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2 120 209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2 146 826</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2 677 802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3 163 667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3 703 148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4 174 652</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4 643 229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5 157 626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Чисті комісійні доходи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1 163 878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1 526 272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1 637 034</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2 005 635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2 113 579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2 421 539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2 677 784</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2 920 506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3 173 267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Інші операційні доходи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78 145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340 517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440 337</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731 614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971 817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1 263 313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1 423 705</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1 583 103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1 758 086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Витрати на персонал</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1 393 823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1 189 398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1 281 467</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1 596 061</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1 883 929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2 203 562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2 482 920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2 760 545</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3 065 317</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Інші адміністративні та операційні витрати</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1 278 897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2 246 642</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2 313 759</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2 881 778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3 401 538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3 978 654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4 483 051</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4 984 317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5 534 599</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Прибуток до оподаткування</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-2 639 926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550 958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628 971</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937 213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963 597</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1 205 784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1 310 170</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1 401 976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1 489 063</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noWrap/>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Податок на прибуток</w:t>
            </w:r>
          </w:p>
        </w:tc>
        <w:tc>
          <w:tcPr>
            <w:tcW w:w="1559"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-622 338</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137 740</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157 243</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234 303</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240 899</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301 446</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327 542</w:t>
            </w:r>
          </w:p>
        </w:tc>
        <w:tc>
          <w:tcPr>
            <w:tcW w:w="1275"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350 494</w:t>
            </w:r>
          </w:p>
        </w:tc>
        <w:tc>
          <w:tcPr>
            <w:tcW w:w="1276" w:type="dxa"/>
            <w:tcBorders>
              <w:top w:val="single" w:sz="2" w:space="0" w:color="auto"/>
              <w:left w:val="single" w:sz="2" w:space="0" w:color="auto"/>
              <w:bottom w:val="single" w:sz="2" w:space="0" w:color="auto"/>
              <w:right w:val="single" w:sz="2" w:space="0" w:color="auto"/>
            </w:tcBorders>
            <w:vAlign w:val="center"/>
            <w:hideMark/>
          </w:tcPr>
          <w:p w:rsidR="005D4D01" w:rsidRPr="0050520E" w:rsidRDefault="005D4D01"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372 266</w:t>
            </w:r>
          </w:p>
        </w:tc>
      </w:tr>
      <w:tr w:rsidR="0050520E" w:rsidRPr="0050520E" w:rsidTr="005052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58"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iCs/>
                <w:sz w:val="20"/>
                <w:szCs w:val="20"/>
                <w:lang w:val="uk-UA" w:eastAsia="uk-UA"/>
              </w:rPr>
            </w:pPr>
            <w:r w:rsidRPr="0050520E">
              <w:rPr>
                <w:rFonts w:ascii="Times New Roman" w:hAnsi="Times New Roman"/>
                <w:iCs/>
                <w:sz w:val="20"/>
                <w:szCs w:val="20"/>
                <w:lang w:val="uk-UA" w:eastAsia="uk-UA"/>
              </w:rPr>
              <w:t>Прибуток за рік</w:t>
            </w:r>
          </w:p>
        </w:tc>
        <w:tc>
          <w:tcPr>
            <w:tcW w:w="1559"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-2 017 588</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551,52</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627,87</w:t>
            </w:r>
          </w:p>
        </w:tc>
        <w:tc>
          <w:tcPr>
            <w:tcW w:w="1275"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916,20</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932,73</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1 149,36</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1 237,99</w:t>
            </w:r>
          </w:p>
        </w:tc>
        <w:tc>
          <w:tcPr>
            <w:tcW w:w="1275"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1 318,63</w:t>
            </w:r>
          </w:p>
        </w:tc>
        <w:tc>
          <w:tcPr>
            <w:tcW w:w="1276" w:type="dxa"/>
            <w:tcBorders>
              <w:top w:val="single" w:sz="2" w:space="0" w:color="auto"/>
              <w:left w:val="single" w:sz="2" w:space="0" w:color="auto"/>
              <w:bottom w:val="single" w:sz="2" w:space="0" w:color="auto"/>
              <w:right w:val="single" w:sz="2" w:space="0" w:color="auto"/>
            </w:tcBorders>
            <w:vAlign w:val="center"/>
            <w:hideMark/>
          </w:tcPr>
          <w:p w:rsidR="00FF59A6" w:rsidRPr="0050520E" w:rsidRDefault="00FF59A6" w:rsidP="0050520E">
            <w:pPr>
              <w:widowControl w:val="0"/>
              <w:spacing w:line="360" w:lineRule="auto"/>
              <w:jc w:val="both"/>
              <w:rPr>
                <w:rFonts w:ascii="Times New Roman" w:hAnsi="Times New Roman"/>
                <w:sz w:val="20"/>
                <w:szCs w:val="20"/>
                <w:lang w:val="uk-UA" w:eastAsia="uk-UA"/>
              </w:rPr>
            </w:pPr>
            <w:r w:rsidRPr="0050520E">
              <w:rPr>
                <w:rFonts w:ascii="Times New Roman" w:hAnsi="Times New Roman"/>
                <w:sz w:val="20"/>
                <w:szCs w:val="20"/>
                <w:lang w:val="uk-UA" w:eastAsia="uk-UA"/>
              </w:rPr>
              <w:t>1 400,52</w:t>
            </w:r>
          </w:p>
        </w:tc>
      </w:tr>
    </w:tbl>
    <w:p w:rsidR="00CD41F9" w:rsidRPr="0050520E" w:rsidRDefault="00CD41F9" w:rsidP="0050520E">
      <w:pPr>
        <w:widowControl w:val="0"/>
        <w:spacing w:line="360" w:lineRule="auto"/>
        <w:jc w:val="both"/>
        <w:rPr>
          <w:rFonts w:ascii="Times New Roman" w:hAnsi="Times New Roman"/>
          <w:sz w:val="28"/>
          <w:szCs w:val="28"/>
          <w:lang w:val="uk-UA"/>
        </w:rPr>
      </w:pPr>
      <w:bookmarkStart w:id="0" w:name="_GoBack"/>
      <w:bookmarkEnd w:id="0"/>
    </w:p>
    <w:sectPr w:rsidR="00CD41F9" w:rsidRPr="0050520E" w:rsidSect="0050520E">
      <w:pgSz w:w="16838" w:h="11906" w:orient="landscape" w:code="9"/>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976" w:rsidRDefault="000F3976" w:rsidP="001F09F3">
      <w:pPr>
        <w:spacing w:line="240" w:lineRule="auto"/>
      </w:pPr>
      <w:r>
        <w:separator/>
      </w:r>
    </w:p>
  </w:endnote>
  <w:endnote w:type="continuationSeparator" w:id="0">
    <w:p w:rsidR="000F3976" w:rsidRDefault="000F3976" w:rsidP="001F09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976" w:rsidRDefault="000F3976" w:rsidP="001F09F3">
      <w:pPr>
        <w:spacing w:line="240" w:lineRule="auto"/>
      </w:pPr>
      <w:r>
        <w:separator/>
      </w:r>
    </w:p>
  </w:footnote>
  <w:footnote w:type="continuationSeparator" w:id="0">
    <w:p w:rsidR="000F3976" w:rsidRDefault="000F3976" w:rsidP="001F09F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5E802C0"/>
    <w:lvl w:ilvl="0">
      <w:start w:val="1"/>
      <w:numFmt w:val="bullet"/>
      <w:pStyle w:val="a"/>
      <w:lvlText w:val=""/>
      <w:lvlJc w:val="left"/>
      <w:pPr>
        <w:tabs>
          <w:tab w:val="num" w:pos="360"/>
        </w:tabs>
        <w:ind w:left="360" w:hanging="360"/>
      </w:pPr>
      <w:rPr>
        <w:rFonts w:ascii="Symbol" w:hAnsi="Symbol" w:hint="default"/>
      </w:rPr>
    </w:lvl>
  </w:abstractNum>
  <w:abstractNum w:abstractNumId="1">
    <w:nsid w:val="00B72CBC"/>
    <w:multiLevelType w:val="hybridMultilevel"/>
    <w:tmpl w:val="EAB0E386"/>
    <w:lvl w:ilvl="0" w:tplc="654EFC60">
      <w:numFmt w:val="bullet"/>
      <w:lvlText w:val="—"/>
      <w:lvlJc w:val="left"/>
      <w:pPr>
        <w:ind w:left="2280" w:hanging="360"/>
      </w:pPr>
      <w:rPr>
        <w:rFonts w:ascii="Cambria" w:eastAsia="Times New Roman" w:hAnsi="Cambria" w:hint="default"/>
      </w:rPr>
    </w:lvl>
    <w:lvl w:ilvl="1" w:tplc="04190003" w:tentative="1">
      <w:start w:val="1"/>
      <w:numFmt w:val="bullet"/>
      <w:lvlText w:val="o"/>
      <w:lvlJc w:val="left"/>
      <w:pPr>
        <w:ind w:left="3000" w:hanging="360"/>
      </w:pPr>
      <w:rPr>
        <w:rFonts w:ascii="Courier New" w:hAnsi="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
    <w:nsid w:val="00CB21FD"/>
    <w:multiLevelType w:val="hybridMultilevel"/>
    <w:tmpl w:val="EAFEAE5A"/>
    <w:lvl w:ilvl="0" w:tplc="0F44F468">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066B601D"/>
    <w:multiLevelType w:val="hybridMultilevel"/>
    <w:tmpl w:val="F120FAC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7464A4C"/>
    <w:multiLevelType w:val="hybridMultilevel"/>
    <w:tmpl w:val="F8F09D38"/>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nsid w:val="07946AE2"/>
    <w:multiLevelType w:val="hybridMultilevel"/>
    <w:tmpl w:val="7F405C1E"/>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0BDB0635"/>
    <w:multiLevelType w:val="hybridMultilevel"/>
    <w:tmpl w:val="B066DF98"/>
    <w:lvl w:ilvl="0" w:tplc="04190011">
      <w:start w:val="1"/>
      <w:numFmt w:val="decimal"/>
      <w:lvlText w:val="%1)"/>
      <w:lvlJc w:val="left"/>
      <w:pPr>
        <w:ind w:left="1571" w:hanging="360"/>
      </w:pPr>
      <w:rPr>
        <w:rFonts w:cs="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7">
    <w:nsid w:val="0EC1320A"/>
    <w:multiLevelType w:val="hybridMultilevel"/>
    <w:tmpl w:val="6AC45CF2"/>
    <w:lvl w:ilvl="0" w:tplc="2F508D98">
      <w:start w:val="1"/>
      <w:numFmt w:val="decimal"/>
      <w:lvlText w:val="%1)"/>
      <w:lvlJc w:val="left"/>
      <w:pPr>
        <w:ind w:left="2640" w:hanging="360"/>
      </w:pPr>
      <w:rPr>
        <w:rFonts w:cs="Times New Roman" w:hint="default"/>
      </w:rPr>
    </w:lvl>
    <w:lvl w:ilvl="1" w:tplc="04190019" w:tentative="1">
      <w:start w:val="1"/>
      <w:numFmt w:val="lowerLetter"/>
      <w:lvlText w:val="%2."/>
      <w:lvlJc w:val="left"/>
      <w:pPr>
        <w:ind w:left="3360" w:hanging="360"/>
      </w:pPr>
      <w:rPr>
        <w:rFonts w:cs="Times New Roman"/>
      </w:rPr>
    </w:lvl>
    <w:lvl w:ilvl="2" w:tplc="0419001B" w:tentative="1">
      <w:start w:val="1"/>
      <w:numFmt w:val="lowerRoman"/>
      <w:lvlText w:val="%3."/>
      <w:lvlJc w:val="right"/>
      <w:pPr>
        <w:ind w:left="4080" w:hanging="180"/>
      </w:pPr>
      <w:rPr>
        <w:rFonts w:cs="Times New Roman"/>
      </w:rPr>
    </w:lvl>
    <w:lvl w:ilvl="3" w:tplc="0419000F" w:tentative="1">
      <w:start w:val="1"/>
      <w:numFmt w:val="decimal"/>
      <w:lvlText w:val="%4."/>
      <w:lvlJc w:val="left"/>
      <w:pPr>
        <w:ind w:left="4800" w:hanging="360"/>
      </w:pPr>
      <w:rPr>
        <w:rFonts w:cs="Times New Roman"/>
      </w:rPr>
    </w:lvl>
    <w:lvl w:ilvl="4" w:tplc="04190019" w:tentative="1">
      <w:start w:val="1"/>
      <w:numFmt w:val="lowerLetter"/>
      <w:lvlText w:val="%5."/>
      <w:lvlJc w:val="left"/>
      <w:pPr>
        <w:ind w:left="5520" w:hanging="360"/>
      </w:pPr>
      <w:rPr>
        <w:rFonts w:cs="Times New Roman"/>
      </w:rPr>
    </w:lvl>
    <w:lvl w:ilvl="5" w:tplc="0419001B" w:tentative="1">
      <w:start w:val="1"/>
      <w:numFmt w:val="lowerRoman"/>
      <w:lvlText w:val="%6."/>
      <w:lvlJc w:val="right"/>
      <w:pPr>
        <w:ind w:left="6240" w:hanging="180"/>
      </w:pPr>
      <w:rPr>
        <w:rFonts w:cs="Times New Roman"/>
      </w:rPr>
    </w:lvl>
    <w:lvl w:ilvl="6" w:tplc="0419000F" w:tentative="1">
      <w:start w:val="1"/>
      <w:numFmt w:val="decimal"/>
      <w:lvlText w:val="%7."/>
      <w:lvlJc w:val="left"/>
      <w:pPr>
        <w:ind w:left="6960" w:hanging="360"/>
      </w:pPr>
      <w:rPr>
        <w:rFonts w:cs="Times New Roman"/>
      </w:rPr>
    </w:lvl>
    <w:lvl w:ilvl="7" w:tplc="04190019" w:tentative="1">
      <w:start w:val="1"/>
      <w:numFmt w:val="lowerLetter"/>
      <w:lvlText w:val="%8."/>
      <w:lvlJc w:val="left"/>
      <w:pPr>
        <w:ind w:left="7680" w:hanging="360"/>
      </w:pPr>
      <w:rPr>
        <w:rFonts w:cs="Times New Roman"/>
      </w:rPr>
    </w:lvl>
    <w:lvl w:ilvl="8" w:tplc="0419001B" w:tentative="1">
      <w:start w:val="1"/>
      <w:numFmt w:val="lowerRoman"/>
      <w:lvlText w:val="%9."/>
      <w:lvlJc w:val="right"/>
      <w:pPr>
        <w:ind w:left="8400" w:hanging="180"/>
      </w:pPr>
      <w:rPr>
        <w:rFonts w:cs="Times New Roman"/>
      </w:rPr>
    </w:lvl>
  </w:abstractNum>
  <w:abstractNum w:abstractNumId="8">
    <w:nsid w:val="19423605"/>
    <w:multiLevelType w:val="hybridMultilevel"/>
    <w:tmpl w:val="00CCE84C"/>
    <w:lvl w:ilvl="0" w:tplc="F4981592">
      <w:numFmt w:val="bullet"/>
      <w:lvlText w:val="—"/>
      <w:lvlJc w:val="left"/>
      <w:pPr>
        <w:ind w:left="1211" w:hanging="360"/>
      </w:pPr>
      <w:rPr>
        <w:rFonts w:ascii="Cambria" w:eastAsia="Times New Roman" w:hAnsi="Cambria"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9">
    <w:nsid w:val="26885BEE"/>
    <w:multiLevelType w:val="hybridMultilevel"/>
    <w:tmpl w:val="105AA25A"/>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2AEB4725"/>
    <w:multiLevelType w:val="hybridMultilevel"/>
    <w:tmpl w:val="2A38F63A"/>
    <w:lvl w:ilvl="0" w:tplc="654EFC60">
      <w:numFmt w:val="bullet"/>
      <w:lvlText w:val="—"/>
      <w:lvlJc w:val="left"/>
      <w:pPr>
        <w:ind w:left="2280" w:hanging="360"/>
      </w:pPr>
      <w:rPr>
        <w:rFonts w:ascii="Cambria" w:eastAsia="Times New Roman" w:hAnsi="Cambria" w:hint="default"/>
      </w:rPr>
    </w:lvl>
    <w:lvl w:ilvl="1" w:tplc="04190003" w:tentative="1">
      <w:start w:val="1"/>
      <w:numFmt w:val="bullet"/>
      <w:lvlText w:val="o"/>
      <w:lvlJc w:val="left"/>
      <w:pPr>
        <w:ind w:left="3000" w:hanging="360"/>
      </w:pPr>
      <w:rPr>
        <w:rFonts w:ascii="Courier New" w:hAnsi="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1">
    <w:nsid w:val="2B494B9B"/>
    <w:multiLevelType w:val="hybridMultilevel"/>
    <w:tmpl w:val="683C275E"/>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2">
    <w:nsid w:val="2C003E5C"/>
    <w:multiLevelType w:val="hybridMultilevel"/>
    <w:tmpl w:val="36B404F2"/>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nsid w:val="2CE754BD"/>
    <w:multiLevelType w:val="hybridMultilevel"/>
    <w:tmpl w:val="480C607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nsid w:val="2D8E4D6B"/>
    <w:multiLevelType w:val="hybridMultilevel"/>
    <w:tmpl w:val="D6609C2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5">
    <w:nsid w:val="2F0E754E"/>
    <w:multiLevelType w:val="hybridMultilevel"/>
    <w:tmpl w:val="0B6EF182"/>
    <w:lvl w:ilvl="0" w:tplc="4BCE7BE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30D35E6B"/>
    <w:multiLevelType w:val="hybridMultilevel"/>
    <w:tmpl w:val="DC3C83D2"/>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7">
    <w:nsid w:val="320C4009"/>
    <w:multiLevelType w:val="hybridMultilevel"/>
    <w:tmpl w:val="31D2C6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0354B18"/>
    <w:multiLevelType w:val="hybridMultilevel"/>
    <w:tmpl w:val="35DA7F10"/>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519F0D61"/>
    <w:multiLevelType w:val="hybridMultilevel"/>
    <w:tmpl w:val="0E6CA1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1BE1B49"/>
    <w:multiLevelType w:val="hybridMultilevel"/>
    <w:tmpl w:val="07A00464"/>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1">
    <w:nsid w:val="553D4366"/>
    <w:multiLevelType w:val="hybridMultilevel"/>
    <w:tmpl w:val="FD9CF870"/>
    <w:lvl w:ilvl="0" w:tplc="B47C79A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55A010D2"/>
    <w:multiLevelType w:val="hybridMultilevel"/>
    <w:tmpl w:val="091278D6"/>
    <w:lvl w:ilvl="0" w:tplc="654EFC60">
      <w:numFmt w:val="bullet"/>
      <w:lvlText w:val="—"/>
      <w:lvlJc w:val="left"/>
      <w:pPr>
        <w:ind w:left="1571" w:hanging="360"/>
      </w:pPr>
      <w:rPr>
        <w:rFonts w:ascii="Cambria" w:eastAsia="Times New Roman" w:hAnsi="Cambria"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3">
    <w:nsid w:val="56C91343"/>
    <w:multiLevelType w:val="hybridMultilevel"/>
    <w:tmpl w:val="40902EC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4">
    <w:nsid w:val="5DDD3D38"/>
    <w:multiLevelType w:val="hybridMultilevel"/>
    <w:tmpl w:val="D080590A"/>
    <w:lvl w:ilvl="0" w:tplc="C4D015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0705CA"/>
    <w:multiLevelType w:val="hybridMultilevel"/>
    <w:tmpl w:val="4BFEC36A"/>
    <w:lvl w:ilvl="0" w:tplc="9A6CB514">
      <w:start w:val="1"/>
      <w:numFmt w:val="decimal"/>
      <w:lvlText w:val="%1)"/>
      <w:lvlJc w:val="left"/>
      <w:pPr>
        <w:ind w:left="2640" w:hanging="360"/>
      </w:pPr>
      <w:rPr>
        <w:rFonts w:cs="Times New Roman" w:hint="default"/>
      </w:rPr>
    </w:lvl>
    <w:lvl w:ilvl="1" w:tplc="04190019" w:tentative="1">
      <w:start w:val="1"/>
      <w:numFmt w:val="lowerLetter"/>
      <w:lvlText w:val="%2."/>
      <w:lvlJc w:val="left"/>
      <w:pPr>
        <w:ind w:left="3360" w:hanging="360"/>
      </w:pPr>
      <w:rPr>
        <w:rFonts w:cs="Times New Roman"/>
      </w:rPr>
    </w:lvl>
    <w:lvl w:ilvl="2" w:tplc="0419001B" w:tentative="1">
      <w:start w:val="1"/>
      <w:numFmt w:val="lowerRoman"/>
      <w:lvlText w:val="%3."/>
      <w:lvlJc w:val="right"/>
      <w:pPr>
        <w:ind w:left="4080" w:hanging="180"/>
      </w:pPr>
      <w:rPr>
        <w:rFonts w:cs="Times New Roman"/>
      </w:rPr>
    </w:lvl>
    <w:lvl w:ilvl="3" w:tplc="0419000F" w:tentative="1">
      <w:start w:val="1"/>
      <w:numFmt w:val="decimal"/>
      <w:lvlText w:val="%4."/>
      <w:lvlJc w:val="left"/>
      <w:pPr>
        <w:ind w:left="4800" w:hanging="360"/>
      </w:pPr>
      <w:rPr>
        <w:rFonts w:cs="Times New Roman"/>
      </w:rPr>
    </w:lvl>
    <w:lvl w:ilvl="4" w:tplc="04190019" w:tentative="1">
      <w:start w:val="1"/>
      <w:numFmt w:val="lowerLetter"/>
      <w:lvlText w:val="%5."/>
      <w:lvlJc w:val="left"/>
      <w:pPr>
        <w:ind w:left="5520" w:hanging="360"/>
      </w:pPr>
      <w:rPr>
        <w:rFonts w:cs="Times New Roman"/>
      </w:rPr>
    </w:lvl>
    <w:lvl w:ilvl="5" w:tplc="0419001B" w:tentative="1">
      <w:start w:val="1"/>
      <w:numFmt w:val="lowerRoman"/>
      <w:lvlText w:val="%6."/>
      <w:lvlJc w:val="right"/>
      <w:pPr>
        <w:ind w:left="6240" w:hanging="180"/>
      </w:pPr>
      <w:rPr>
        <w:rFonts w:cs="Times New Roman"/>
      </w:rPr>
    </w:lvl>
    <w:lvl w:ilvl="6" w:tplc="0419000F" w:tentative="1">
      <w:start w:val="1"/>
      <w:numFmt w:val="decimal"/>
      <w:lvlText w:val="%7."/>
      <w:lvlJc w:val="left"/>
      <w:pPr>
        <w:ind w:left="6960" w:hanging="360"/>
      </w:pPr>
      <w:rPr>
        <w:rFonts w:cs="Times New Roman"/>
      </w:rPr>
    </w:lvl>
    <w:lvl w:ilvl="7" w:tplc="04190019" w:tentative="1">
      <w:start w:val="1"/>
      <w:numFmt w:val="lowerLetter"/>
      <w:lvlText w:val="%8."/>
      <w:lvlJc w:val="left"/>
      <w:pPr>
        <w:ind w:left="7680" w:hanging="360"/>
      </w:pPr>
      <w:rPr>
        <w:rFonts w:cs="Times New Roman"/>
      </w:rPr>
    </w:lvl>
    <w:lvl w:ilvl="8" w:tplc="0419001B" w:tentative="1">
      <w:start w:val="1"/>
      <w:numFmt w:val="lowerRoman"/>
      <w:lvlText w:val="%9."/>
      <w:lvlJc w:val="right"/>
      <w:pPr>
        <w:ind w:left="8400" w:hanging="180"/>
      </w:pPr>
      <w:rPr>
        <w:rFonts w:cs="Times New Roman"/>
      </w:rPr>
    </w:lvl>
  </w:abstractNum>
  <w:abstractNum w:abstractNumId="26">
    <w:nsid w:val="72B56219"/>
    <w:multiLevelType w:val="hybridMultilevel"/>
    <w:tmpl w:val="2EF26DCC"/>
    <w:lvl w:ilvl="0" w:tplc="654EFC60">
      <w:numFmt w:val="bullet"/>
      <w:lvlText w:val="—"/>
      <w:lvlJc w:val="left"/>
      <w:pPr>
        <w:ind w:left="2280" w:hanging="360"/>
      </w:pPr>
      <w:rPr>
        <w:rFonts w:ascii="Cambria" w:eastAsia="Times New Roman" w:hAnsi="Cambria" w:hint="default"/>
      </w:rPr>
    </w:lvl>
    <w:lvl w:ilvl="1" w:tplc="04190003" w:tentative="1">
      <w:start w:val="1"/>
      <w:numFmt w:val="bullet"/>
      <w:lvlText w:val="o"/>
      <w:lvlJc w:val="left"/>
      <w:pPr>
        <w:ind w:left="3000" w:hanging="360"/>
      </w:pPr>
      <w:rPr>
        <w:rFonts w:ascii="Courier New" w:hAnsi="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7">
    <w:nsid w:val="746B0B3D"/>
    <w:multiLevelType w:val="hybridMultilevel"/>
    <w:tmpl w:val="EEF6DD4A"/>
    <w:lvl w:ilvl="0" w:tplc="9DB228B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8">
    <w:nsid w:val="770B334D"/>
    <w:multiLevelType w:val="hybridMultilevel"/>
    <w:tmpl w:val="CECE3F14"/>
    <w:lvl w:ilvl="0" w:tplc="D5B88BC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9">
    <w:nsid w:val="7A8C10C2"/>
    <w:multiLevelType w:val="hybridMultilevel"/>
    <w:tmpl w:val="B3D20EC4"/>
    <w:lvl w:ilvl="0" w:tplc="654EFC60">
      <w:numFmt w:val="bullet"/>
      <w:lvlText w:val="—"/>
      <w:lvlJc w:val="left"/>
      <w:pPr>
        <w:ind w:left="1931" w:hanging="360"/>
      </w:pPr>
      <w:rPr>
        <w:rFonts w:ascii="Cambria" w:eastAsia="Times New Roman" w:hAnsi="Cambria" w:hint="default"/>
      </w:rPr>
    </w:lvl>
    <w:lvl w:ilvl="1" w:tplc="04220003" w:tentative="1">
      <w:start w:val="1"/>
      <w:numFmt w:val="bullet"/>
      <w:lvlText w:val="o"/>
      <w:lvlJc w:val="left"/>
      <w:pPr>
        <w:ind w:left="2651" w:hanging="360"/>
      </w:pPr>
      <w:rPr>
        <w:rFonts w:ascii="Courier New" w:hAnsi="Courier New" w:hint="default"/>
      </w:rPr>
    </w:lvl>
    <w:lvl w:ilvl="2" w:tplc="04220005" w:tentative="1">
      <w:start w:val="1"/>
      <w:numFmt w:val="bullet"/>
      <w:lvlText w:val=""/>
      <w:lvlJc w:val="left"/>
      <w:pPr>
        <w:ind w:left="3371" w:hanging="360"/>
      </w:pPr>
      <w:rPr>
        <w:rFonts w:ascii="Wingdings" w:hAnsi="Wingdings" w:hint="default"/>
      </w:rPr>
    </w:lvl>
    <w:lvl w:ilvl="3" w:tplc="04220001" w:tentative="1">
      <w:start w:val="1"/>
      <w:numFmt w:val="bullet"/>
      <w:lvlText w:val=""/>
      <w:lvlJc w:val="left"/>
      <w:pPr>
        <w:ind w:left="4091" w:hanging="360"/>
      </w:pPr>
      <w:rPr>
        <w:rFonts w:ascii="Symbol" w:hAnsi="Symbol" w:hint="default"/>
      </w:rPr>
    </w:lvl>
    <w:lvl w:ilvl="4" w:tplc="04220003" w:tentative="1">
      <w:start w:val="1"/>
      <w:numFmt w:val="bullet"/>
      <w:lvlText w:val="o"/>
      <w:lvlJc w:val="left"/>
      <w:pPr>
        <w:ind w:left="4811" w:hanging="360"/>
      </w:pPr>
      <w:rPr>
        <w:rFonts w:ascii="Courier New" w:hAnsi="Courier New" w:hint="default"/>
      </w:rPr>
    </w:lvl>
    <w:lvl w:ilvl="5" w:tplc="04220005" w:tentative="1">
      <w:start w:val="1"/>
      <w:numFmt w:val="bullet"/>
      <w:lvlText w:val=""/>
      <w:lvlJc w:val="left"/>
      <w:pPr>
        <w:ind w:left="5531" w:hanging="360"/>
      </w:pPr>
      <w:rPr>
        <w:rFonts w:ascii="Wingdings" w:hAnsi="Wingdings" w:hint="default"/>
      </w:rPr>
    </w:lvl>
    <w:lvl w:ilvl="6" w:tplc="04220001" w:tentative="1">
      <w:start w:val="1"/>
      <w:numFmt w:val="bullet"/>
      <w:lvlText w:val=""/>
      <w:lvlJc w:val="left"/>
      <w:pPr>
        <w:ind w:left="6251" w:hanging="360"/>
      </w:pPr>
      <w:rPr>
        <w:rFonts w:ascii="Symbol" w:hAnsi="Symbol" w:hint="default"/>
      </w:rPr>
    </w:lvl>
    <w:lvl w:ilvl="7" w:tplc="04220003" w:tentative="1">
      <w:start w:val="1"/>
      <w:numFmt w:val="bullet"/>
      <w:lvlText w:val="o"/>
      <w:lvlJc w:val="left"/>
      <w:pPr>
        <w:ind w:left="6971" w:hanging="360"/>
      </w:pPr>
      <w:rPr>
        <w:rFonts w:ascii="Courier New" w:hAnsi="Courier New" w:hint="default"/>
      </w:rPr>
    </w:lvl>
    <w:lvl w:ilvl="8" w:tplc="04220005" w:tentative="1">
      <w:start w:val="1"/>
      <w:numFmt w:val="bullet"/>
      <w:lvlText w:val=""/>
      <w:lvlJc w:val="left"/>
      <w:pPr>
        <w:ind w:left="7691" w:hanging="360"/>
      </w:pPr>
      <w:rPr>
        <w:rFonts w:ascii="Wingdings" w:hAnsi="Wingdings" w:hint="default"/>
      </w:rPr>
    </w:lvl>
  </w:abstractNum>
  <w:num w:numId="1">
    <w:abstractNumId w:val="0"/>
  </w:num>
  <w:num w:numId="2">
    <w:abstractNumId w:val="21"/>
  </w:num>
  <w:num w:numId="3">
    <w:abstractNumId w:val="28"/>
  </w:num>
  <w:num w:numId="4">
    <w:abstractNumId w:val="15"/>
  </w:num>
  <w:num w:numId="5">
    <w:abstractNumId w:val="17"/>
  </w:num>
  <w:num w:numId="6">
    <w:abstractNumId w:val="27"/>
  </w:num>
  <w:num w:numId="7">
    <w:abstractNumId w:val="2"/>
  </w:num>
  <w:num w:numId="8">
    <w:abstractNumId w:val="19"/>
  </w:num>
  <w:num w:numId="9">
    <w:abstractNumId w:val="0"/>
  </w:num>
  <w:num w:numId="10">
    <w:abstractNumId w:val="8"/>
  </w:num>
  <w:num w:numId="11">
    <w:abstractNumId w:val="14"/>
  </w:num>
  <w:num w:numId="12">
    <w:abstractNumId w:val="29"/>
  </w:num>
  <w:num w:numId="13">
    <w:abstractNumId w:val="4"/>
  </w:num>
  <w:num w:numId="14">
    <w:abstractNumId w:val="3"/>
  </w:num>
  <w:num w:numId="15">
    <w:abstractNumId w:val="12"/>
  </w:num>
  <w:num w:numId="16">
    <w:abstractNumId w:val="18"/>
  </w:num>
  <w:num w:numId="17">
    <w:abstractNumId w:val="13"/>
  </w:num>
  <w:num w:numId="18">
    <w:abstractNumId w:val="23"/>
  </w:num>
  <w:num w:numId="19">
    <w:abstractNumId w:val="6"/>
  </w:num>
  <w:num w:numId="20">
    <w:abstractNumId w:val="20"/>
  </w:num>
  <w:num w:numId="21">
    <w:abstractNumId w:val="16"/>
  </w:num>
  <w:num w:numId="22">
    <w:abstractNumId w:val="26"/>
  </w:num>
  <w:num w:numId="23">
    <w:abstractNumId w:val="24"/>
  </w:num>
  <w:num w:numId="24">
    <w:abstractNumId w:val="1"/>
  </w:num>
  <w:num w:numId="25">
    <w:abstractNumId w:val="7"/>
  </w:num>
  <w:num w:numId="26">
    <w:abstractNumId w:val="10"/>
  </w:num>
  <w:num w:numId="27">
    <w:abstractNumId w:val="25"/>
  </w:num>
  <w:num w:numId="28">
    <w:abstractNumId w:val="22"/>
  </w:num>
  <w:num w:numId="29">
    <w:abstractNumId w:val="5"/>
  </w:num>
  <w:num w:numId="30">
    <w:abstractNumId w:val="9"/>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A24"/>
    <w:rsid w:val="000007D9"/>
    <w:rsid w:val="00004B18"/>
    <w:rsid w:val="00007F07"/>
    <w:rsid w:val="000156C8"/>
    <w:rsid w:val="00016CA8"/>
    <w:rsid w:val="000236E5"/>
    <w:rsid w:val="00025CE2"/>
    <w:rsid w:val="0002778B"/>
    <w:rsid w:val="00031C18"/>
    <w:rsid w:val="000333C4"/>
    <w:rsid w:val="00036022"/>
    <w:rsid w:val="00036095"/>
    <w:rsid w:val="00036B64"/>
    <w:rsid w:val="000454A4"/>
    <w:rsid w:val="000469BA"/>
    <w:rsid w:val="0005381F"/>
    <w:rsid w:val="00055EBA"/>
    <w:rsid w:val="00057401"/>
    <w:rsid w:val="00061157"/>
    <w:rsid w:val="0007035F"/>
    <w:rsid w:val="000705DB"/>
    <w:rsid w:val="00070732"/>
    <w:rsid w:val="000709A5"/>
    <w:rsid w:val="00071BA2"/>
    <w:rsid w:val="00074F30"/>
    <w:rsid w:val="00075939"/>
    <w:rsid w:val="00076C89"/>
    <w:rsid w:val="0008198A"/>
    <w:rsid w:val="00082210"/>
    <w:rsid w:val="000826FB"/>
    <w:rsid w:val="000900F8"/>
    <w:rsid w:val="00094B13"/>
    <w:rsid w:val="00095627"/>
    <w:rsid w:val="000A2FA1"/>
    <w:rsid w:val="000A36CF"/>
    <w:rsid w:val="000B0E33"/>
    <w:rsid w:val="000B1AAA"/>
    <w:rsid w:val="000B249B"/>
    <w:rsid w:val="000B45B8"/>
    <w:rsid w:val="000B64DA"/>
    <w:rsid w:val="000C00DE"/>
    <w:rsid w:val="000C1C6C"/>
    <w:rsid w:val="000C2324"/>
    <w:rsid w:val="000C300D"/>
    <w:rsid w:val="000C4968"/>
    <w:rsid w:val="000C7700"/>
    <w:rsid w:val="000D0A32"/>
    <w:rsid w:val="000D0E43"/>
    <w:rsid w:val="000D3FE6"/>
    <w:rsid w:val="000E2686"/>
    <w:rsid w:val="000E3C2C"/>
    <w:rsid w:val="000E61F9"/>
    <w:rsid w:val="000E62D9"/>
    <w:rsid w:val="000F3976"/>
    <w:rsid w:val="000F3A5E"/>
    <w:rsid w:val="000F3B74"/>
    <w:rsid w:val="000F54C2"/>
    <w:rsid w:val="001005A1"/>
    <w:rsid w:val="0010318D"/>
    <w:rsid w:val="0010375C"/>
    <w:rsid w:val="00106AF1"/>
    <w:rsid w:val="0010722C"/>
    <w:rsid w:val="00107CCB"/>
    <w:rsid w:val="001104A2"/>
    <w:rsid w:val="00116A46"/>
    <w:rsid w:val="001256F9"/>
    <w:rsid w:val="00125710"/>
    <w:rsid w:val="00130F18"/>
    <w:rsid w:val="00133ACB"/>
    <w:rsid w:val="001350D8"/>
    <w:rsid w:val="001350D9"/>
    <w:rsid w:val="00142ABA"/>
    <w:rsid w:val="001442D0"/>
    <w:rsid w:val="00150D27"/>
    <w:rsid w:val="00151C8F"/>
    <w:rsid w:val="00154ECC"/>
    <w:rsid w:val="001556C2"/>
    <w:rsid w:val="00160D0F"/>
    <w:rsid w:val="00161408"/>
    <w:rsid w:val="0016231C"/>
    <w:rsid w:val="00164D26"/>
    <w:rsid w:val="00167293"/>
    <w:rsid w:val="00181745"/>
    <w:rsid w:val="00183B10"/>
    <w:rsid w:val="00184683"/>
    <w:rsid w:val="00185FD8"/>
    <w:rsid w:val="00187887"/>
    <w:rsid w:val="0019238C"/>
    <w:rsid w:val="00193A22"/>
    <w:rsid w:val="00195D5C"/>
    <w:rsid w:val="00196A95"/>
    <w:rsid w:val="001A53BF"/>
    <w:rsid w:val="001A65E6"/>
    <w:rsid w:val="001B063F"/>
    <w:rsid w:val="001B25F1"/>
    <w:rsid w:val="001B689C"/>
    <w:rsid w:val="001B7843"/>
    <w:rsid w:val="001C3C99"/>
    <w:rsid w:val="001C7241"/>
    <w:rsid w:val="001D39B9"/>
    <w:rsid w:val="001D7A99"/>
    <w:rsid w:val="001D7B95"/>
    <w:rsid w:val="001E3E7F"/>
    <w:rsid w:val="001E611A"/>
    <w:rsid w:val="001F09F3"/>
    <w:rsid w:val="001F172D"/>
    <w:rsid w:val="002043BA"/>
    <w:rsid w:val="00205BEE"/>
    <w:rsid w:val="002061CA"/>
    <w:rsid w:val="00206396"/>
    <w:rsid w:val="00213111"/>
    <w:rsid w:val="002138CF"/>
    <w:rsid w:val="00214AF1"/>
    <w:rsid w:val="002213E4"/>
    <w:rsid w:val="002224D5"/>
    <w:rsid w:val="00224FF3"/>
    <w:rsid w:val="002338E8"/>
    <w:rsid w:val="002350BA"/>
    <w:rsid w:val="00235A8A"/>
    <w:rsid w:val="0023646B"/>
    <w:rsid w:val="002402B6"/>
    <w:rsid w:val="00240BEE"/>
    <w:rsid w:val="00244F1B"/>
    <w:rsid w:val="0024554C"/>
    <w:rsid w:val="00261DD5"/>
    <w:rsid w:val="0026392E"/>
    <w:rsid w:val="0026603B"/>
    <w:rsid w:val="00266B94"/>
    <w:rsid w:val="002672DE"/>
    <w:rsid w:val="00267FDE"/>
    <w:rsid w:val="00272386"/>
    <w:rsid w:val="00275765"/>
    <w:rsid w:val="00275D4A"/>
    <w:rsid w:val="00283A84"/>
    <w:rsid w:val="00285489"/>
    <w:rsid w:val="002860CE"/>
    <w:rsid w:val="00286270"/>
    <w:rsid w:val="00286880"/>
    <w:rsid w:val="0029068A"/>
    <w:rsid w:val="0029119F"/>
    <w:rsid w:val="002915BC"/>
    <w:rsid w:val="00291AB4"/>
    <w:rsid w:val="00292E6F"/>
    <w:rsid w:val="00293876"/>
    <w:rsid w:val="00293A28"/>
    <w:rsid w:val="00296C47"/>
    <w:rsid w:val="002A02F4"/>
    <w:rsid w:val="002A38CB"/>
    <w:rsid w:val="002A5CEE"/>
    <w:rsid w:val="002A7362"/>
    <w:rsid w:val="002A7A36"/>
    <w:rsid w:val="002B1FD6"/>
    <w:rsid w:val="002B52FD"/>
    <w:rsid w:val="002B6BA5"/>
    <w:rsid w:val="002C3F89"/>
    <w:rsid w:val="002C470A"/>
    <w:rsid w:val="002C4BA8"/>
    <w:rsid w:val="002D19F2"/>
    <w:rsid w:val="002D407A"/>
    <w:rsid w:val="002D7428"/>
    <w:rsid w:val="002E03B5"/>
    <w:rsid w:val="002E0E4E"/>
    <w:rsid w:val="002E5851"/>
    <w:rsid w:val="002E6667"/>
    <w:rsid w:val="002F00C8"/>
    <w:rsid w:val="002F26C1"/>
    <w:rsid w:val="002F4152"/>
    <w:rsid w:val="002F59EE"/>
    <w:rsid w:val="0030048B"/>
    <w:rsid w:val="003006A7"/>
    <w:rsid w:val="00300C4E"/>
    <w:rsid w:val="00304351"/>
    <w:rsid w:val="003272C7"/>
    <w:rsid w:val="003272FD"/>
    <w:rsid w:val="00331D80"/>
    <w:rsid w:val="0034068B"/>
    <w:rsid w:val="00344271"/>
    <w:rsid w:val="0034437E"/>
    <w:rsid w:val="00345DBC"/>
    <w:rsid w:val="00346DEC"/>
    <w:rsid w:val="00351DB1"/>
    <w:rsid w:val="00352A4A"/>
    <w:rsid w:val="0035788B"/>
    <w:rsid w:val="00357D02"/>
    <w:rsid w:val="00362529"/>
    <w:rsid w:val="003639D9"/>
    <w:rsid w:val="00367EA3"/>
    <w:rsid w:val="00370477"/>
    <w:rsid w:val="00376549"/>
    <w:rsid w:val="00377CCD"/>
    <w:rsid w:val="003852C0"/>
    <w:rsid w:val="003860A4"/>
    <w:rsid w:val="00386D23"/>
    <w:rsid w:val="00392825"/>
    <w:rsid w:val="003937A2"/>
    <w:rsid w:val="00393AAF"/>
    <w:rsid w:val="00395CDC"/>
    <w:rsid w:val="0039602C"/>
    <w:rsid w:val="00397781"/>
    <w:rsid w:val="003A0CFB"/>
    <w:rsid w:val="003A31DA"/>
    <w:rsid w:val="003B42DE"/>
    <w:rsid w:val="003B5731"/>
    <w:rsid w:val="003B6953"/>
    <w:rsid w:val="003C05D6"/>
    <w:rsid w:val="003C075F"/>
    <w:rsid w:val="003C1681"/>
    <w:rsid w:val="003C186C"/>
    <w:rsid w:val="003C4633"/>
    <w:rsid w:val="003C6A39"/>
    <w:rsid w:val="003D06EF"/>
    <w:rsid w:val="003D11E0"/>
    <w:rsid w:val="003D2CA9"/>
    <w:rsid w:val="003D4AB7"/>
    <w:rsid w:val="003D77D7"/>
    <w:rsid w:val="003D7FD7"/>
    <w:rsid w:val="003E11E6"/>
    <w:rsid w:val="003E3028"/>
    <w:rsid w:val="003E6530"/>
    <w:rsid w:val="003E69A3"/>
    <w:rsid w:val="003E6CC4"/>
    <w:rsid w:val="003F3B54"/>
    <w:rsid w:val="003F416F"/>
    <w:rsid w:val="003F4379"/>
    <w:rsid w:val="003F443C"/>
    <w:rsid w:val="003F6956"/>
    <w:rsid w:val="003F69A5"/>
    <w:rsid w:val="0040203F"/>
    <w:rsid w:val="00402C4D"/>
    <w:rsid w:val="00404942"/>
    <w:rsid w:val="00407169"/>
    <w:rsid w:val="0040741D"/>
    <w:rsid w:val="0041164C"/>
    <w:rsid w:val="0041609F"/>
    <w:rsid w:val="00417D36"/>
    <w:rsid w:val="00427362"/>
    <w:rsid w:val="00427903"/>
    <w:rsid w:val="00432739"/>
    <w:rsid w:val="00432CE0"/>
    <w:rsid w:val="00432E7C"/>
    <w:rsid w:val="004374F0"/>
    <w:rsid w:val="004407A8"/>
    <w:rsid w:val="004407CF"/>
    <w:rsid w:val="00455FAA"/>
    <w:rsid w:val="00461F50"/>
    <w:rsid w:val="004630C7"/>
    <w:rsid w:val="00463422"/>
    <w:rsid w:val="00463E81"/>
    <w:rsid w:val="00463F03"/>
    <w:rsid w:val="00465254"/>
    <w:rsid w:val="0046589C"/>
    <w:rsid w:val="00466E71"/>
    <w:rsid w:val="00467866"/>
    <w:rsid w:val="00471C31"/>
    <w:rsid w:val="00471E34"/>
    <w:rsid w:val="004750D2"/>
    <w:rsid w:val="00480231"/>
    <w:rsid w:val="0048147A"/>
    <w:rsid w:val="004826C5"/>
    <w:rsid w:val="0049153D"/>
    <w:rsid w:val="0049452C"/>
    <w:rsid w:val="00495722"/>
    <w:rsid w:val="004A1074"/>
    <w:rsid w:val="004A1EC4"/>
    <w:rsid w:val="004A3B8A"/>
    <w:rsid w:val="004A5E51"/>
    <w:rsid w:val="004A66AC"/>
    <w:rsid w:val="004B108D"/>
    <w:rsid w:val="004B1ACA"/>
    <w:rsid w:val="004B1B0E"/>
    <w:rsid w:val="004B221F"/>
    <w:rsid w:val="004C0AB1"/>
    <w:rsid w:val="004C4B9D"/>
    <w:rsid w:val="004C706D"/>
    <w:rsid w:val="004D118C"/>
    <w:rsid w:val="004D1BC0"/>
    <w:rsid w:val="004D1BDE"/>
    <w:rsid w:val="004D3C60"/>
    <w:rsid w:val="004D49D8"/>
    <w:rsid w:val="004D5807"/>
    <w:rsid w:val="004D7316"/>
    <w:rsid w:val="004E23FB"/>
    <w:rsid w:val="004E2652"/>
    <w:rsid w:val="004E3686"/>
    <w:rsid w:val="004E3E13"/>
    <w:rsid w:val="004F2506"/>
    <w:rsid w:val="004F5BEB"/>
    <w:rsid w:val="004F61AF"/>
    <w:rsid w:val="004F7DC9"/>
    <w:rsid w:val="005005A1"/>
    <w:rsid w:val="0050090B"/>
    <w:rsid w:val="00502423"/>
    <w:rsid w:val="00504B4C"/>
    <w:rsid w:val="0050520E"/>
    <w:rsid w:val="0050647C"/>
    <w:rsid w:val="005103EA"/>
    <w:rsid w:val="0051107A"/>
    <w:rsid w:val="00511C96"/>
    <w:rsid w:val="00514787"/>
    <w:rsid w:val="00517FE4"/>
    <w:rsid w:val="005221DC"/>
    <w:rsid w:val="0053353D"/>
    <w:rsid w:val="0053557F"/>
    <w:rsid w:val="00536408"/>
    <w:rsid w:val="00542217"/>
    <w:rsid w:val="0054554B"/>
    <w:rsid w:val="00546680"/>
    <w:rsid w:val="00550E72"/>
    <w:rsid w:val="0055421E"/>
    <w:rsid w:val="00554C49"/>
    <w:rsid w:val="00557B06"/>
    <w:rsid w:val="00560F53"/>
    <w:rsid w:val="00562C9C"/>
    <w:rsid w:val="00573336"/>
    <w:rsid w:val="00573F69"/>
    <w:rsid w:val="00582089"/>
    <w:rsid w:val="0058262B"/>
    <w:rsid w:val="00584C53"/>
    <w:rsid w:val="0058745B"/>
    <w:rsid w:val="0058795A"/>
    <w:rsid w:val="00591D58"/>
    <w:rsid w:val="00594C6A"/>
    <w:rsid w:val="005A2404"/>
    <w:rsid w:val="005B027C"/>
    <w:rsid w:val="005B1AAC"/>
    <w:rsid w:val="005B4462"/>
    <w:rsid w:val="005B6522"/>
    <w:rsid w:val="005B7066"/>
    <w:rsid w:val="005C04AD"/>
    <w:rsid w:val="005C2B3F"/>
    <w:rsid w:val="005C440B"/>
    <w:rsid w:val="005C5FD2"/>
    <w:rsid w:val="005C707F"/>
    <w:rsid w:val="005C7F22"/>
    <w:rsid w:val="005D0668"/>
    <w:rsid w:val="005D2EF1"/>
    <w:rsid w:val="005D3119"/>
    <w:rsid w:val="005D33C6"/>
    <w:rsid w:val="005D44B5"/>
    <w:rsid w:val="005D4D01"/>
    <w:rsid w:val="005D62F5"/>
    <w:rsid w:val="005D71C1"/>
    <w:rsid w:val="005E409C"/>
    <w:rsid w:val="005E54E2"/>
    <w:rsid w:val="005E553E"/>
    <w:rsid w:val="005E6B22"/>
    <w:rsid w:val="005E771C"/>
    <w:rsid w:val="005E77A4"/>
    <w:rsid w:val="005E7EF5"/>
    <w:rsid w:val="005F0056"/>
    <w:rsid w:val="005F13CC"/>
    <w:rsid w:val="005F17CF"/>
    <w:rsid w:val="005F653A"/>
    <w:rsid w:val="00605033"/>
    <w:rsid w:val="00611A55"/>
    <w:rsid w:val="00613431"/>
    <w:rsid w:val="00614581"/>
    <w:rsid w:val="00615C6D"/>
    <w:rsid w:val="00622953"/>
    <w:rsid w:val="006257F1"/>
    <w:rsid w:val="0062691C"/>
    <w:rsid w:val="0063037B"/>
    <w:rsid w:val="00632DA9"/>
    <w:rsid w:val="006336AA"/>
    <w:rsid w:val="00635B30"/>
    <w:rsid w:val="00640B10"/>
    <w:rsid w:val="00641CDD"/>
    <w:rsid w:val="00642079"/>
    <w:rsid w:val="00642103"/>
    <w:rsid w:val="0064263E"/>
    <w:rsid w:val="00646D0E"/>
    <w:rsid w:val="00650114"/>
    <w:rsid w:val="00650B67"/>
    <w:rsid w:val="00653DA4"/>
    <w:rsid w:val="0065528B"/>
    <w:rsid w:val="0065617D"/>
    <w:rsid w:val="0065718E"/>
    <w:rsid w:val="00657856"/>
    <w:rsid w:val="00661790"/>
    <w:rsid w:val="00661974"/>
    <w:rsid w:val="00666686"/>
    <w:rsid w:val="00670286"/>
    <w:rsid w:val="00670BF4"/>
    <w:rsid w:val="00674509"/>
    <w:rsid w:val="00675DF0"/>
    <w:rsid w:val="00675ED8"/>
    <w:rsid w:val="00680440"/>
    <w:rsid w:val="00682ED3"/>
    <w:rsid w:val="006843C4"/>
    <w:rsid w:val="006943CC"/>
    <w:rsid w:val="006A44D4"/>
    <w:rsid w:val="006A5F0E"/>
    <w:rsid w:val="006A7C52"/>
    <w:rsid w:val="006B1701"/>
    <w:rsid w:val="006B1890"/>
    <w:rsid w:val="006B3B5F"/>
    <w:rsid w:val="006B4C74"/>
    <w:rsid w:val="006B4D8D"/>
    <w:rsid w:val="006B5B07"/>
    <w:rsid w:val="006C4475"/>
    <w:rsid w:val="006C7FE6"/>
    <w:rsid w:val="006D2F92"/>
    <w:rsid w:val="006D4F9C"/>
    <w:rsid w:val="006D6EE8"/>
    <w:rsid w:val="006E064F"/>
    <w:rsid w:val="006E177A"/>
    <w:rsid w:val="006E39FD"/>
    <w:rsid w:val="006E744E"/>
    <w:rsid w:val="006F6DA9"/>
    <w:rsid w:val="00704C6E"/>
    <w:rsid w:val="00706394"/>
    <w:rsid w:val="007118DE"/>
    <w:rsid w:val="00711C82"/>
    <w:rsid w:val="00712A4A"/>
    <w:rsid w:val="00712C7D"/>
    <w:rsid w:val="00714606"/>
    <w:rsid w:val="007202B2"/>
    <w:rsid w:val="00720749"/>
    <w:rsid w:val="0072324A"/>
    <w:rsid w:val="00723958"/>
    <w:rsid w:val="007277CA"/>
    <w:rsid w:val="007306F6"/>
    <w:rsid w:val="0073399B"/>
    <w:rsid w:val="00736E7A"/>
    <w:rsid w:val="007402EF"/>
    <w:rsid w:val="007418D8"/>
    <w:rsid w:val="00743978"/>
    <w:rsid w:val="00745B25"/>
    <w:rsid w:val="00747056"/>
    <w:rsid w:val="00747F37"/>
    <w:rsid w:val="007521FE"/>
    <w:rsid w:val="00754282"/>
    <w:rsid w:val="0075498F"/>
    <w:rsid w:val="00755065"/>
    <w:rsid w:val="00756937"/>
    <w:rsid w:val="00763E60"/>
    <w:rsid w:val="007719D8"/>
    <w:rsid w:val="00771A6F"/>
    <w:rsid w:val="00775391"/>
    <w:rsid w:val="00784676"/>
    <w:rsid w:val="00785CC0"/>
    <w:rsid w:val="00794796"/>
    <w:rsid w:val="007952BC"/>
    <w:rsid w:val="00797E70"/>
    <w:rsid w:val="007A0B8C"/>
    <w:rsid w:val="007A3208"/>
    <w:rsid w:val="007A607A"/>
    <w:rsid w:val="007B1261"/>
    <w:rsid w:val="007B5B25"/>
    <w:rsid w:val="007B6F8E"/>
    <w:rsid w:val="007B7021"/>
    <w:rsid w:val="007D1A72"/>
    <w:rsid w:val="007D545A"/>
    <w:rsid w:val="007E0D6D"/>
    <w:rsid w:val="007E0E35"/>
    <w:rsid w:val="007E1415"/>
    <w:rsid w:val="007E1BAF"/>
    <w:rsid w:val="007E2703"/>
    <w:rsid w:val="007E41FE"/>
    <w:rsid w:val="007E48BF"/>
    <w:rsid w:val="007E5E18"/>
    <w:rsid w:val="007E735C"/>
    <w:rsid w:val="007F1141"/>
    <w:rsid w:val="007F50B8"/>
    <w:rsid w:val="007F7D05"/>
    <w:rsid w:val="00807FE8"/>
    <w:rsid w:val="00815A13"/>
    <w:rsid w:val="00816E76"/>
    <w:rsid w:val="00817C34"/>
    <w:rsid w:val="00823245"/>
    <w:rsid w:val="008243B9"/>
    <w:rsid w:val="00827F0F"/>
    <w:rsid w:val="00830885"/>
    <w:rsid w:val="00831549"/>
    <w:rsid w:val="0083204D"/>
    <w:rsid w:val="00832DFF"/>
    <w:rsid w:val="00833E40"/>
    <w:rsid w:val="008365C0"/>
    <w:rsid w:val="00836AE1"/>
    <w:rsid w:val="00844049"/>
    <w:rsid w:val="00844D82"/>
    <w:rsid w:val="008543F0"/>
    <w:rsid w:val="0085739B"/>
    <w:rsid w:val="008600D3"/>
    <w:rsid w:val="00863028"/>
    <w:rsid w:val="008633CC"/>
    <w:rsid w:val="0087418E"/>
    <w:rsid w:val="00874852"/>
    <w:rsid w:val="008759DE"/>
    <w:rsid w:val="00881C6E"/>
    <w:rsid w:val="008822A3"/>
    <w:rsid w:val="0088478E"/>
    <w:rsid w:val="0088637C"/>
    <w:rsid w:val="0088710B"/>
    <w:rsid w:val="00887AFC"/>
    <w:rsid w:val="0089009A"/>
    <w:rsid w:val="00892FD7"/>
    <w:rsid w:val="00894286"/>
    <w:rsid w:val="0089435F"/>
    <w:rsid w:val="00897BB8"/>
    <w:rsid w:val="008A68DD"/>
    <w:rsid w:val="008B5675"/>
    <w:rsid w:val="008B5869"/>
    <w:rsid w:val="008B5B2D"/>
    <w:rsid w:val="008B7C03"/>
    <w:rsid w:val="008C1999"/>
    <w:rsid w:val="008C59C8"/>
    <w:rsid w:val="008D0C61"/>
    <w:rsid w:val="008D453F"/>
    <w:rsid w:val="008E5313"/>
    <w:rsid w:val="008F3371"/>
    <w:rsid w:val="00900A5A"/>
    <w:rsid w:val="00902E37"/>
    <w:rsid w:val="00903B7D"/>
    <w:rsid w:val="009058E9"/>
    <w:rsid w:val="00906411"/>
    <w:rsid w:val="00910273"/>
    <w:rsid w:val="00911A1A"/>
    <w:rsid w:val="00912BEE"/>
    <w:rsid w:val="009136BF"/>
    <w:rsid w:val="00913C2B"/>
    <w:rsid w:val="009175D3"/>
    <w:rsid w:val="00921D2F"/>
    <w:rsid w:val="0092338A"/>
    <w:rsid w:val="00925C3B"/>
    <w:rsid w:val="009267A4"/>
    <w:rsid w:val="0092783D"/>
    <w:rsid w:val="009317A2"/>
    <w:rsid w:val="009335AE"/>
    <w:rsid w:val="00934474"/>
    <w:rsid w:val="0093782E"/>
    <w:rsid w:val="00937CCA"/>
    <w:rsid w:val="00944B40"/>
    <w:rsid w:val="00946113"/>
    <w:rsid w:val="0095240E"/>
    <w:rsid w:val="00953328"/>
    <w:rsid w:val="009634FE"/>
    <w:rsid w:val="00964E24"/>
    <w:rsid w:val="00966703"/>
    <w:rsid w:val="00966F9D"/>
    <w:rsid w:val="0097180A"/>
    <w:rsid w:val="00977081"/>
    <w:rsid w:val="009825D2"/>
    <w:rsid w:val="00983FA6"/>
    <w:rsid w:val="00985E95"/>
    <w:rsid w:val="00985EAF"/>
    <w:rsid w:val="00986744"/>
    <w:rsid w:val="00990367"/>
    <w:rsid w:val="00990C3C"/>
    <w:rsid w:val="009914AA"/>
    <w:rsid w:val="009924A0"/>
    <w:rsid w:val="0099360D"/>
    <w:rsid w:val="0099464C"/>
    <w:rsid w:val="00994A10"/>
    <w:rsid w:val="00995E84"/>
    <w:rsid w:val="009A11E4"/>
    <w:rsid w:val="009A46A5"/>
    <w:rsid w:val="009A6E8A"/>
    <w:rsid w:val="009B0742"/>
    <w:rsid w:val="009B6C1D"/>
    <w:rsid w:val="009C10BD"/>
    <w:rsid w:val="009C1AF5"/>
    <w:rsid w:val="009C1BD6"/>
    <w:rsid w:val="009C23EC"/>
    <w:rsid w:val="009C612B"/>
    <w:rsid w:val="009D0C29"/>
    <w:rsid w:val="009D0F12"/>
    <w:rsid w:val="009D28F8"/>
    <w:rsid w:val="009D40BE"/>
    <w:rsid w:val="009E43A9"/>
    <w:rsid w:val="009E5756"/>
    <w:rsid w:val="009E79F6"/>
    <w:rsid w:val="00A0018D"/>
    <w:rsid w:val="00A03F68"/>
    <w:rsid w:val="00A0422B"/>
    <w:rsid w:val="00A04C0E"/>
    <w:rsid w:val="00A0562A"/>
    <w:rsid w:val="00A05941"/>
    <w:rsid w:val="00A05EFD"/>
    <w:rsid w:val="00A0607D"/>
    <w:rsid w:val="00A07DAC"/>
    <w:rsid w:val="00A12CBA"/>
    <w:rsid w:val="00A1349A"/>
    <w:rsid w:val="00A13AB3"/>
    <w:rsid w:val="00A158FC"/>
    <w:rsid w:val="00A21C04"/>
    <w:rsid w:val="00A21E6F"/>
    <w:rsid w:val="00A269C0"/>
    <w:rsid w:val="00A30425"/>
    <w:rsid w:val="00A322C0"/>
    <w:rsid w:val="00A32A7F"/>
    <w:rsid w:val="00A33277"/>
    <w:rsid w:val="00A37718"/>
    <w:rsid w:val="00A4581B"/>
    <w:rsid w:val="00A552D2"/>
    <w:rsid w:val="00A561ED"/>
    <w:rsid w:val="00A60911"/>
    <w:rsid w:val="00A6370A"/>
    <w:rsid w:val="00A70EAB"/>
    <w:rsid w:val="00A739CF"/>
    <w:rsid w:val="00A77AD0"/>
    <w:rsid w:val="00A81712"/>
    <w:rsid w:val="00A87F8E"/>
    <w:rsid w:val="00A9111D"/>
    <w:rsid w:val="00AA2F39"/>
    <w:rsid w:val="00AA4149"/>
    <w:rsid w:val="00AB193F"/>
    <w:rsid w:val="00AB21C2"/>
    <w:rsid w:val="00AB7DDC"/>
    <w:rsid w:val="00AC64F3"/>
    <w:rsid w:val="00AD3DC9"/>
    <w:rsid w:val="00AD4A9C"/>
    <w:rsid w:val="00AE3003"/>
    <w:rsid w:val="00AE35BB"/>
    <w:rsid w:val="00AE3894"/>
    <w:rsid w:val="00AE4B85"/>
    <w:rsid w:val="00AF16EB"/>
    <w:rsid w:val="00AF2C1F"/>
    <w:rsid w:val="00B05BB4"/>
    <w:rsid w:val="00B10807"/>
    <w:rsid w:val="00B2109B"/>
    <w:rsid w:val="00B24282"/>
    <w:rsid w:val="00B251CA"/>
    <w:rsid w:val="00B2636C"/>
    <w:rsid w:val="00B31EC1"/>
    <w:rsid w:val="00B349A9"/>
    <w:rsid w:val="00B350F3"/>
    <w:rsid w:val="00B358D2"/>
    <w:rsid w:val="00B3643A"/>
    <w:rsid w:val="00B376C4"/>
    <w:rsid w:val="00B40290"/>
    <w:rsid w:val="00B405CD"/>
    <w:rsid w:val="00B43E76"/>
    <w:rsid w:val="00B4416F"/>
    <w:rsid w:val="00B44BFF"/>
    <w:rsid w:val="00B475BF"/>
    <w:rsid w:val="00B47935"/>
    <w:rsid w:val="00B500C0"/>
    <w:rsid w:val="00B512D0"/>
    <w:rsid w:val="00B56D6E"/>
    <w:rsid w:val="00B61830"/>
    <w:rsid w:val="00B67653"/>
    <w:rsid w:val="00B67A32"/>
    <w:rsid w:val="00B70004"/>
    <w:rsid w:val="00B70BE9"/>
    <w:rsid w:val="00B7399C"/>
    <w:rsid w:val="00B74A31"/>
    <w:rsid w:val="00B80A04"/>
    <w:rsid w:val="00B80C62"/>
    <w:rsid w:val="00B90552"/>
    <w:rsid w:val="00B91744"/>
    <w:rsid w:val="00B9526D"/>
    <w:rsid w:val="00B96335"/>
    <w:rsid w:val="00BA1DDD"/>
    <w:rsid w:val="00BA27F8"/>
    <w:rsid w:val="00BA44FB"/>
    <w:rsid w:val="00BA5AB6"/>
    <w:rsid w:val="00BB5192"/>
    <w:rsid w:val="00BB530C"/>
    <w:rsid w:val="00BC0525"/>
    <w:rsid w:val="00BC30AB"/>
    <w:rsid w:val="00BD0723"/>
    <w:rsid w:val="00BD2DC3"/>
    <w:rsid w:val="00BD3BBD"/>
    <w:rsid w:val="00BD7E6C"/>
    <w:rsid w:val="00BE3B95"/>
    <w:rsid w:val="00BE40A6"/>
    <w:rsid w:val="00BE6CC6"/>
    <w:rsid w:val="00BF0E1F"/>
    <w:rsid w:val="00BF2FA2"/>
    <w:rsid w:val="00BF41B1"/>
    <w:rsid w:val="00BF5653"/>
    <w:rsid w:val="00BF7155"/>
    <w:rsid w:val="00C011CE"/>
    <w:rsid w:val="00C02C2D"/>
    <w:rsid w:val="00C03B0D"/>
    <w:rsid w:val="00C04C54"/>
    <w:rsid w:val="00C06196"/>
    <w:rsid w:val="00C066F8"/>
    <w:rsid w:val="00C104C1"/>
    <w:rsid w:val="00C10561"/>
    <w:rsid w:val="00C11598"/>
    <w:rsid w:val="00C1599B"/>
    <w:rsid w:val="00C20DBA"/>
    <w:rsid w:val="00C2197E"/>
    <w:rsid w:val="00C24454"/>
    <w:rsid w:val="00C31C8B"/>
    <w:rsid w:val="00C31D2E"/>
    <w:rsid w:val="00C37117"/>
    <w:rsid w:val="00C37B63"/>
    <w:rsid w:val="00C45647"/>
    <w:rsid w:val="00C506B3"/>
    <w:rsid w:val="00C5126D"/>
    <w:rsid w:val="00C51EFB"/>
    <w:rsid w:val="00C5366B"/>
    <w:rsid w:val="00C570E0"/>
    <w:rsid w:val="00C619FF"/>
    <w:rsid w:val="00C63F0B"/>
    <w:rsid w:val="00C67023"/>
    <w:rsid w:val="00C702EB"/>
    <w:rsid w:val="00C71868"/>
    <w:rsid w:val="00C7290B"/>
    <w:rsid w:val="00C74004"/>
    <w:rsid w:val="00C74EB6"/>
    <w:rsid w:val="00C75D6C"/>
    <w:rsid w:val="00C820CF"/>
    <w:rsid w:val="00C859DA"/>
    <w:rsid w:val="00C86495"/>
    <w:rsid w:val="00C8796C"/>
    <w:rsid w:val="00C90AD9"/>
    <w:rsid w:val="00C91284"/>
    <w:rsid w:val="00C96DD1"/>
    <w:rsid w:val="00C97FB1"/>
    <w:rsid w:val="00CA0A1A"/>
    <w:rsid w:val="00CA1394"/>
    <w:rsid w:val="00CA4361"/>
    <w:rsid w:val="00CA59B3"/>
    <w:rsid w:val="00CA7A8D"/>
    <w:rsid w:val="00CB134C"/>
    <w:rsid w:val="00CB2E14"/>
    <w:rsid w:val="00CB62AF"/>
    <w:rsid w:val="00CB6D9E"/>
    <w:rsid w:val="00CC2902"/>
    <w:rsid w:val="00CC5DA7"/>
    <w:rsid w:val="00CC6105"/>
    <w:rsid w:val="00CC773E"/>
    <w:rsid w:val="00CD41F9"/>
    <w:rsid w:val="00CD5EAB"/>
    <w:rsid w:val="00CD7685"/>
    <w:rsid w:val="00CE3117"/>
    <w:rsid w:val="00CE79DD"/>
    <w:rsid w:val="00CF1551"/>
    <w:rsid w:val="00CF189A"/>
    <w:rsid w:val="00CF2929"/>
    <w:rsid w:val="00CF29D9"/>
    <w:rsid w:val="00CF2B88"/>
    <w:rsid w:val="00CF4020"/>
    <w:rsid w:val="00CF64AB"/>
    <w:rsid w:val="00CF7DE8"/>
    <w:rsid w:val="00D052A5"/>
    <w:rsid w:val="00D053A7"/>
    <w:rsid w:val="00D12A80"/>
    <w:rsid w:val="00D15118"/>
    <w:rsid w:val="00D21DD2"/>
    <w:rsid w:val="00D24C17"/>
    <w:rsid w:val="00D26965"/>
    <w:rsid w:val="00D26DC4"/>
    <w:rsid w:val="00D27346"/>
    <w:rsid w:val="00D33796"/>
    <w:rsid w:val="00D40EA8"/>
    <w:rsid w:val="00D4481D"/>
    <w:rsid w:val="00D464CC"/>
    <w:rsid w:val="00D56064"/>
    <w:rsid w:val="00D63105"/>
    <w:rsid w:val="00D6320A"/>
    <w:rsid w:val="00D648A2"/>
    <w:rsid w:val="00D71C3C"/>
    <w:rsid w:val="00D75654"/>
    <w:rsid w:val="00D7585F"/>
    <w:rsid w:val="00D91CA8"/>
    <w:rsid w:val="00D93588"/>
    <w:rsid w:val="00D972B1"/>
    <w:rsid w:val="00DA08B4"/>
    <w:rsid w:val="00DA2BE7"/>
    <w:rsid w:val="00DA4D0B"/>
    <w:rsid w:val="00DB2530"/>
    <w:rsid w:val="00DB753C"/>
    <w:rsid w:val="00DB76EA"/>
    <w:rsid w:val="00DC40DB"/>
    <w:rsid w:val="00DC5866"/>
    <w:rsid w:val="00DD079F"/>
    <w:rsid w:val="00DD1591"/>
    <w:rsid w:val="00DD2E6F"/>
    <w:rsid w:val="00DD53BD"/>
    <w:rsid w:val="00DD79C3"/>
    <w:rsid w:val="00DE176D"/>
    <w:rsid w:val="00DF08EE"/>
    <w:rsid w:val="00DF102C"/>
    <w:rsid w:val="00DF5AEE"/>
    <w:rsid w:val="00DF76F0"/>
    <w:rsid w:val="00E06D14"/>
    <w:rsid w:val="00E13CA1"/>
    <w:rsid w:val="00E25EF1"/>
    <w:rsid w:val="00E27A74"/>
    <w:rsid w:val="00E313D4"/>
    <w:rsid w:val="00E31DD3"/>
    <w:rsid w:val="00E43D80"/>
    <w:rsid w:val="00E4609A"/>
    <w:rsid w:val="00E47310"/>
    <w:rsid w:val="00E50F9F"/>
    <w:rsid w:val="00E53C0B"/>
    <w:rsid w:val="00E53C66"/>
    <w:rsid w:val="00E542D4"/>
    <w:rsid w:val="00E56B1A"/>
    <w:rsid w:val="00E622DB"/>
    <w:rsid w:val="00E63164"/>
    <w:rsid w:val="00E65685"/>
    <w:rsid w:val="00E65913"/>
    <w:rsid w:val="00E70017"/>
    <w:rsid w:val="00E73BE0"/>
    <w:rsid w:val="00E763B3"/>
    <w:rsid w:val="00E76616"/>
    <w:rsid w:val="00E76ABA"/>
    <w:rsid w:val="00E77F04"/>
    <w:rsid w:val="00E81344"/>
    <w:rsid w:val="00E81905"/>
    <w:rsid w:val="00E84DFE"/>
    <w:rsid w:val="00E87036"/>
    <w:rsid w:val="00E93647"/>
    <w:rsid w:val="00E96032"/>
    <w:rsid w:val="00E96473"/>
    <w:rsid w:val="00EA2637"/>
    <w:rsid w:val="00EA4B83"/>
    <w:rsid w:val="00EB3565"/>
    <w:rsid w:val="00EC00C0"/>
    <w:rsid w:val="00EC00C9"/>
    <w:rsid w:val="00EC1AB9"/>
    <w:rsid w:val="00EC3739"/>
    <w:rsid w:val="00EC3A9E"/>
    <w:rsid w:val="00EC3E67"/>
    <w:rsid w:val="00EC4B3E"/>
    <w:rsid w:val="00EC570F"/>
    <w:rsid w:val="00EC62A9"/>
    <w:rsid w:val="00ED0271"/>
    <w:rsid w:val="00ED0B80"/>
    <w:rsid w:val="00ED490F"/>
    <w:rsid w:val="00EE1DA8"/>
    <w:rsid w:val="00EE53CF"/>
    <w:rsid w:val="00EE5470"/>
    <w:rsid w:val="00EE55C5"/>
    <w:rsid w:val="00EE63C4"/>
    <w:rsid w:val="00EE6B32"/>
    <w:rsid w:val="00EE7868"/>
    <w:rsid w:val="00EE7D12"/>
    <w:rsid w:val="00EF179F"/>
    <w:rsid w:val="00EF5325"/>
    <w:rsid w:val="00EF6F30"/>
    <w:rsid w:val="00F00443"/>
    <w:rsid w:val="00F0126F"/>
    <w:rsid w:val="00F0240B"/>
    <w:rsid w:val="00F04FE4"/>
    <w:rsid w:val="00F11A91"/>
    <w:rsid w:val="00F12939"/>
    <w:rsid w:val="00F22B7C"/>
    <w:rsid w:val="00F2583A"/>
    <w:rsid w:val="00F25F3F"/>
    <w:rsid w:val="00F26931"/>
    <w:rsid w:val="00F30ECF"/>
    <w:rsid w:val="00F31BA9"/>
    <w:rsid w:val="00F34F6F"/>
    <w:rsid w:val="00F36D9C"/>
    <w:rsid w:val="00F40493"/>
    <w:rsid w:val="00F41927"/>
    <w:rsid w:val="00F44440"/>
    <w:rsid w:val="00F44C90"/>
    <w:rsid w:val="00F462C8"/>
    <w:rsid w:val="00F463B6"/>
    <w:rsid w:val="00F4793D"/>
    <w:rsid w:val="00F5082B"/>
    <w:rsid w:val="00F50E16"/>
    <w:rsid w:val="00F5535E"/>
    <w:rsid w:val="00F6129A"/>
    <w:rsid w:val="00F75D10"/>
    <w:rsid w:val="00F76033"/>
    <w:rsid w:val="00F762EC"/>
    <w:rsid w:val="00F77A06"/>
    <w:rsid w:val="00F870D0"/>
    <w:rsid w:val="00F974F4"/>
    <w:rsid w:val="00F97A41"/>
    <w:rsid w:val="00FA01AD"/>
    <w:rsid w:val="00FA1C5B"/>
    <w:rsid w:val="00FA1EF9"/>
    <w:rsid w:val="00FA357F"/>
    <w:rsid w:val="00FB2D70"/>
    <w:rsid w:val="00FB48B5"/>
    <w:rsid w:val="00FB60BB"/>
    <w:rsid w:val="00FC1EB3"/>
    <w:rsid w:val="00FC6041"/>
    <w:rsid w:val="00FE22AA"/>
    <w:rsid w:val="00FE2C1B"/>
    <w:rsid w:val="00FE385A"/>
    <w:rsid w:val="00FE3D92"/>
    <w:rsid w:val="00FE40DF"/>
    <w:rsid w:val="00FE4466"/>
    <w:rsid w:val="00FE47A7"/>
    <w:rsid w:val="00FF0798"/>
    <w:rsid w:val="00FF54F4"/>
    <w:rsid w:val="00FF59A6"/>
    <w:rsid w:val="00FF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45B673D1-6BC6-4827-9EB8-B73CD86B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7310"/>
    <w:pPr>
      <w:spacing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1F09F3"/>
    <w:pPr>
      <w:tabs>
        <w:tab w:val="center" w:pos="4677"/>
        <w:tab w:val="right" w:pos="9355"/>
      </w:tabs>
      <w:spacing w:line="240" w:lineRule="auto"/>
    </w:pPr>
  </w:style>
  <w:style w:type="paragraph" w:styleId="a6">
    <w:name w:val="footer"/>
    <w:basedOn w:val="a0"/>
    <w:link w:val="a7"/>
    <w:uiPriority w:val="99"/>
    <w:unhideWhenUsed/>
    <w:rsid w:val="001F09F3"/>
    <w:pPr>
      <w:tabs>
        <w:tab w:val="center" w:pos="4677"/>
        <w:tab w:val="right" w:pos="9355"/>
      </w:tabs>
      <w:spacing w:line="240" w:lineRule="auto"/>
    </w:pPr>
  </w:style>
  <w:style w:type="character" w:customStyle="1" w:styleId="a5">
    <w:name w:val="Верхній колонтитул Знак"/>
    <w:link w:val="a4"/>
    <w:uiPriority w:val="99"/>
    <w:locked/>
    <w:rsid w:val="001F09F3"/>
    <w:rPr>
      <w:rFonts w:cs="Times New Roman"/>
    </w:rPr>
  </w:style>
  <w:style w:type="paragraph" w:styleId="a8">
    <w:name w:val="Balloon Text"/>
    <w:basedOn w:val="a0"/>
    <w:link w:val="a9"/>
    <w:uiPriority w:val="99"/>
    <w:semiHidden/>
    <w:unhideWhenUsed/>
    <w:rsid w:val="005B027C"/>
    <w:pPr>
      <w:spacing w:line="240" w:lineRule="auto"/>
    </w:pPr>
    <w:rPr>
      <w:rFonts w:ascii="Tahoma" w:hAnsi="Tahoma" w:cs="Tahoma"/>
      <w:sz w:val="16"/>
      <w:szCs w:val="16"/>
    </w:rPr>
  </w:style>
  <w:style w:type="character" w:customStyle="1" w:styleId="a7">
    <w:name w:val="Нижній колонтитул Знак"/>
    <w:link w:val="a6"/>
    <w:uiPriority w:val="99"/>
    <w:locked/>
    <w:rsid w:val="001F09F3"/>
    <w:rPr>
      <w:rFonts w:cs="Times New Roman"/>
    </w:rPr>
  </w:style>
  <w:style w:type="paragraph" w:styleId="aa">
    <w:name w:val="List Paragraph"/>
    <w:basedOn w:val="a0"/>
    <w:uiPriority w:val="34"/>
    <w:qFormat/>
    <w:rsid w:val="004D118C"/>
    <w:pPr>
      <w:ind w:left="720"/>
      <w:contextualSpacing/>
    </w:pPr>
  </w:style>
  <w:style w:type="character" w:customStyle="1" w:styleId="a9">
    <w:name w:val="Текст у виносці Знак"/>
    <w:link w:val="a8"/>
    <w:uiPriority w:val="99"/>
    <w:semiHidden/>
    <w:locked/>
    <w:rsid w:val="005B027C"/>
    <w:rPr>
      <w:rFonts w:ascii="Tahoma" w:hAnsi="Tahoma" w:cs="Tahoma"/>
      <w:sz w:val="16"/>
      <w:szCs w:val="16"/>
    </w:rPr>
  </w:style>
  <w:style w:type="character" w:styleId="ab">
    <w:name w:val="Placeholder Text"/>
    <w:uiPriority w:val="99"/>
    <w:semiHidden/>
    <w:rsid w:val="00D91CA8"/>
    <w:rPr>
      <w:rFonts w:cs="Times New Roman"/>
      <w:color w:val="808080"/>
    </w:rPr>
  </w:style>
  <w:style w:type="paragraph" w:styleId="ac">
    <w:name w:val="Normal (Web)"/>
    <w:basedOn w:val="a0"/>
    <w:uiPriority w:val="99"/>
    <w:rsid w:val="00EA4B83"/>
    <w:pPr>
      <w:spacing w:before="100" w:beforeAutospacing="1" w:after="100" w:afterAutospacing="1" w:line="240" w:lineRule="auto"/>
    </w:pPr>
    <w:rPr>
      <w:rFonts w:ascii="Times New Roman" w:eastAsia="SimSun" w:hAnsi="Times New Roman"/>
      <w:sz w:val="24"/>
      <w:szCs w:val="24"/>
      <w:lang w:eastAsia="zh-CN"/>
    </w:rPr>
  </w:style>
  <w:style w:type="table" w:styleId="ad">
    <w:name w:val="Table Grid"/>
    <w:basedOn w:val="a2"/>
    <w:uiPriority w:val="1"/>
    <w:rsid w:val="006843C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footnote text"/>
    <w:basedOn w:val="a0"/>
    <w:link w:val="af"/>
    <w:uiPriority w:val="99"/>
    <w:semiHidden/>
    <w:unhideWhenUsed/>
    <w:rsid w:val="001B689C"/>
    <w:pPr>
      <w:spacing w:line="240" w:lineRule="auto"/>
    </w:pPr>
    <w:rPr>
      <w:sz w:val="20"/>
      <w:szCs w:val="20"/>
    </w:rPr>
  </w:style>
  <w:style w:type="character" w:styleId="af0">
    <w:name w:val="footnote reference"/>
    <w:uiPriority w:val="99"/>
    <w:semiHidden/>
    <w:unhideWhenUsed/>
    <w:rsid w:val="001B689C"/>
    <w:rPr>
      <w:rFonts w:cs="Times New Roman"/>
      <w:vertAlign w:val="superscript"/>
    </w:rPr>
  </w:style>
  <w:style w:type="character" w:customStyle="1" w:styleId="af">
    <w:name w:val="Текст виноски Знак"/>
    <w:link w:val="ae"/>
    <w:uiPriority w:val="99"/>
    <w:semiHidden/>
    <w:locked/>
    <w:rsid w:val="001B689C"/>
    <w:rPr>
      <w:rFonts w:cs="Times New Roman"/>
      <w:sz w:val="20"/>
      <w:szCs w:val="20"/>
    </w:rPr>
  </w:style>
  <w:style w:type="paragraph" w:styleId="af1">
    <w:name w:val="endnote text"/>
    <w:basedOn w:val="a0"/>
    <w:link w:val="af2"/>
    <w:uiPriority w:val="99"/>
    <w:semiHidden/>
    <w:unhideWhenUsed/>
    <w:rsid w:val="001B689C"/>
    <w:pPr>
      <w:spacing w:line="240" w:lineRule="auto"/>
    </w:pPr>
    <w:rPr>
      <w:sz w:val="20"/>
      <w:szCs w:val="20"/>
    </w:rPr>
  </w:style>
  <w:style w:type="character" w:styleId="af3">
    <w:name w:val="endnote reference"/>
    <w:uiPriority w:val="99"/>
    <w:semiHidden/>
    <w:unhideWhenUsed/>
    <w:rsid w:val="001B689C"/>
    <w:rPr>
      <w:rFonts w:cs="Times New Roman"/>
      <w:vertAlign w:val="superscript"/>
    </w:rPr>
  </w:style>
  <w:style w:type="character" w:customStyle="1" w:styleId="af2">
    <w:name w:val="Текст кінцевої виноски Знак"/>
    <w:link w:val="af1"/>
    <w:uiPriority w:val="99"/>
    <w:semiHidden/>
    <w:locked/>
    <w:rsid w:val="001B689C"/>
    <w:rPr>
      <w:rFonts w:cs="Times New Roman"/>
      <w:sz w:val="20"/>
      <w:szCs w:val="20"/>
    </w:rPr>
  </w:style>
  <w:style w:type="paragraph" w:styleId="a">
    <w:name w:val="List Bullet"/>
    <w:basedOn w:val="a0"/>
    <w:uiPriority w:val="99"/>
    <w:unhideWhenUsed/>
    <w:rsid w:val="00BB5192"/>
    <w:pPr>
      <w:numPr>
        <w:numId w:val="9"/>
      </w:numPr>
      <w:contextualSpacing/>
    </w:pPr>
  </w:style>
  <w:style w:type="paragraph" w:styleId="af4">
    <w:name w:val="caption"/>
    <w:basedOn w:val="a0"/>
    <w:next w:val="a0"/>
    <w:uiPriority w:val="35"/>
    <w:unhideWhenUsed/>
    <w:qFormat/>
    <w:rsid w:val="0065718E"/>
    <w:pPr>
      <w:spacing w:after="200" w:line="240" w:lineRule="auto"/>
    </w:pPr>
    <w:rPr>
      <w:b/>
      <w:bCs/>
      <w:color w:val="4F81BD"/>
      <w:sz w:val="18"/>
      <w:szCs w:val="18"/>
    </w:rPr>
  </w:style>
  <w:style w:type="character" w:customStyle="1" w:styleId="shorttext">
    <w:name w:val="short_text"/>
    <w:rsid w:val="00763E60"/>
    <w:rPr>
      <w:rFonts w:cs="Times New Roman"/>
    </w:rPr>
  </w:style>
  <w:style w:type="character" w:styleId="af5">
    <w:name w:val="Hyperlink"/>
    <w:uiPriority w:val="99"/>
    <w:unhideWhenUsed/>
    <w:rsid w:val="00455FAA"/>
    <w:rPr>
      <w:rFonts w:cs="Times New Roman"/>
      <w:color w:val="0000FF"/>
      <w:u w:val="single"/>
    </w:rPr>
  </w:style>
  <w:style w:type="character" w:styleId="af6">
    <w:name w:val="Emphasis"/>
    <w:uiPriority w:val="20"/>
    <w:qFormat/>
    <w:rsid w:val="00B61830"/>
    <w:rPr>
      <w:rFonts w:cs="Times New Roman"/>
      <w:i/>
      <w:iCs/>
    </w:rPr>
  </w:style>
  <w:style w:type="character" w:styleId="HTML">
    <w:name w:val="HTML Cite"/>
    <w:uiPriority w:val="99"/>
    <w:semiHidden/>
    <w:unhideWhenUsed/>
    <w:rsid w:val="00C37117"/>
    <w:rPr>
      <w:rFonts w:cs="Times New Roman"/>
      <w:i/>
      <w:iCs/>
    </w:rPr>
  </w:style>
  <w:style w:type="paragraph" w:customStyle="1" w:styleId="1">
    <w:name w:val="Обычный1"/>
    <w:rsid w:val="00E77F04"/>
    <w:pPr>
      <w:widowControl w:val="0"/>
      <w:spacing w:line="600" w:lineRule="auto"/>
      <w:jc w:val="center"/>
    </w:pPr>
    <w:rPr>
      <w:rFonts w:ascii="Times New Roman" w:hAnsi="Times New Roman"/>
      <w:b/>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91345">
      <w:marLeft w:val="0"/>
      <w:marRight w:val="0"/>
      <w:marTop w:val="0"/>
      <w:marBottom w:val="0"/>
      <w:divBdr>
        <w:top w:val="none" w:sz="0" w:space="0" w:color="auto"/>
        <w:left w:val="none" w:sz="0" w:space="0" w:color="auto"/>
        <w:bottom w:val="none" w:sz="0" w:space="0" w:color="auto"/>
        <w:right w:val="none" w:sz="0" w:space="0" w:color="auto"/>
      </w:divBdr>
    </w:div>
    <w:div w:id="1880391346">
      <w:marLeft w:val="0"/>
      <w:marRight w:val="0"/>
      <w:marTop w:val="0"/>
      <w:marBottom w:val="0"/>
      <w:divBdr>
        <w:top w:val="none" w:sz="0" w:space="0" w:color="auto"/>
        <w:left w:val="none" w:sz="0" w:space="0" w:color="auto"/>
        <w:bottom w:val="none" w:sz="0" w:space="0" w:color="auto"/>
        <w:right w:val="none" w:sz="0" w:space="0" w:color="auto"/>
      </w:divBdr>
    </w:div>
    <w:div w:id="1880391347">
      <w:marLeft w:val="0"/>
      <w:marRight w:val="0"/>
      <w:marTop w:val="0"/>
      <w:marBottom w:val="0"/>
      <w:divBdr>
        <w:top w:val="none" w:sz="0" w:space="0" w:color="auto"/>
        <w:left w:val="none" w:sz="0" w:space="0" w:color="auto"/>
        <w:bottom w:val="none" w:sz="0" w:space="0" w:color="auto"/>
        <w:right w:val="none" w:sz="0" w:space="0" w:color="auto"/>
      </w:divBdr>
    </w:div>
    <w:div w:id="1880391348">
      <w:marLeft w:val="0"/>
      <w:marRight w:val="0"/>
      <w:marTop w:val="0"/>
      <w:marBottom w:val="0"/>
      <w:divBdr>
        <w:top w:val="none" w:sz="0" w:space="0" w:color="auto"/>
        <w:left w:val="none" w:sz="0" w:space="0" w:color="auto"/>
        <w:bottom w:val="none" w:sz="0" w:space="0" w:color="auto"/>
        <w:right w:val="none" w:sz="0" w:space="0" w:color="auto"/>
      </w:divBdr>
    </w:div>
    <w:div w:id="1880391349">
      <w:marLeft w:val="0"/>
      <w:marRight w:val="0"/>
      <w:marTop w:val="0"/>
      <w:marBottom w:val="0"/>
      <w:divBdr>
        <w:top w:val="none" w:sz="0" w:space="0" w:color="auto"/>
        <w:left w:val="none" w:sz="0" w:space="0" w:color="auto"/>
        <w:bottom w:val="none" w:sz="0" w:space="0" w:color="auto"/>
        <w:right w:val="none" w:sz="0" w:space="0" w:color="auto"/>
      </w:divBdr>
    </w:div>
    <w:div w:id="1880391350">
      <w:marLeft w:val="0"/>
      <w:marRight w:val="0"/>
      <w:marTop w:val="0"/>
      <w:marBottom w:val="0"/>
      <w:divBdr>
        <w:top w:val="none" w:sz="0" w:space="0" w:color="auto"/>
        <w:left w:val="none" w:sz="0" w:space="0" w:color="auto"/>
        <w:bottom w:val="none" w:sz="0" w:space="0" w:color="auto"/>
        <w:right w:val="none" w:sz="0" w:space="0" w:color="auto"/>
      </w:divBdr>
    </w:div>
    <w:div w:id="1880391351">
      <w:marLeft w:val="0"/>
      <w:marRight w:val="0"/>
      <w:marTop w:val="0"/>
      <w:marBottom w:val="0"/>
      <w:divBdr>
        <w:top w:val="none" w:sz="0" w:space="0" w:color="auto"/>
        <w:left w:val="none" w:sz="0" w:space="0" w:color="auto"/>
        <w:bottom w:val="none" w:sz="0" w:space="0" w:color="auto"/>
        <w:right w:val="none" w:sz="0" w:space="0" w:color="auto"/>
      </w:divBdr>
    </w:div>
    <w:div w:id="1880391352">
      <w:marLeft w:val="0"/>
      <w:marRight w:val="0"/>
      <w:marTop w:val="0"/>
      <w:marBottom w:val="0"/>
      <w:divBdr>
        <w:top w:val="none" w:sz="0" w:space="0" w:color="auto"/>
        <w:left w:val="none" w:sz="0" w:space="0" w:color="auto"/>
        <w:bottom w:val="none" w:sz="0" w:space="0" w:color="auto"/>
        <w:right w:val="none" w:sz="0" w:space="0" w:color="auto"/>
      </w:divBdr>
    </w:div>
    <w:div w:id="1880391353">
      <w:marLeft w:val="0"/>
      <w:marRight w:val="0"/>
      <w:marTop w:val="0"/>
      <w:marBottom w:val="0"/>
      <w:divBdr>
        <w:top w:val="none" w:sz="0" w:space="0" w:color="auto"/>
        <w:left w:val="none" w:sz="0" w:space="0" w:color="auto"/>
        <w:bottom w:val="none" w:sz="0" w:space="0" w:color="auto"/>
        <w:right w:val="none" w:sz="0" w:space="0" w:color="auto"/>
      </w:divBdr>
    </w:div>
    <w:div w:id="1880391354">
      <w:marLeft w:val="0"/>
      <w:marRight w:val="0"/>
      <w:marTop w:val="0"/>
      <w:marBottom w:val="0"/>
      <w:divBdr>
        <w:top w:val="none" w:sz="0" w:space="0" w:color="auto"/>
        <w:left w:val="none" w:sz="0" w:space="0" w:color="auto"/>
        <w:bottom w:val="none" w:sz="0" w:space="0" w:color="auto"/>
        <w:right w:val="none" w:sz="0" w:space="0" w:color="auto"/>
      </w:divBdr>
    </w:div>
    <w:div w:id="1880391355">
      <w:marLeft w:val="0"/>
      <w:marRight w:val="0"/>
      <w:marTop w:val="0"/>
      <w:marBottom w:val="0"/>
      <w:divBdr>
        <w:top w:val="none" w:sz="0" w:space="0" w:color="auto"/>
        <w:left w:val="none" w:sz="0" w:space="0" w:color="auto"/>
        <w:bottom w:val="none" w:sz="0" w:space="0" w:color="auto"/>
        <w:right w:val="none" w:sz="0" w:space="0" w:color="auto"/>
      </w:divBdr>
    </w:div>
    <w:div w:id="1880391356">
      <w:marLeft w:val="0"/>
      <w:marRight w:val="0"/>
      <w:marTop w:val="0"/>
      <w:marBottom w:val="0"/>
      <w:divBdr>
        <w:top w:val="none" w:sz="0" w:space="0" w:color="auto"/>
        <w:left w:val="none" w:sz="0" w:space="0" w:color="auto"/>
        <w:bottom w:val="none" w:sz="0" w:space="0" w:color="auto"/>
        <w:right w:val="none" w:sz="0" w:space="0" w:color="auto"/>
      </w:divBdr>
    </w:div>
    <w:div w:id="1880391357">
      <w:marLeft w:val="0"/>
      <w:marRight w:val="0"/>
      <w:marTop w:val="0"/>
      <w:marBottom w:val="0"/>
      <w:divBdr>
        <w:top w:val="none" w:sz="0" w:space="0" w:color="auto"/>
        <w:left w:val="none" w:sz="0" w:space="0" w:color="auto"/>
        <w:bottom w:val="none" w:sz="0" w:space="0" w:color="auto"/>
        <w:right w:val="none" w:sz="0" w:space="0" w:color="auto"/>
      </w:divBdr>
    </w:div>
    <w:div w:id="1880391358">
      <w:marLeft w:val="0"/>
      <w:marRight w:val="0"/>
      <w:marTop w:val="0"/>
      <w:marBottom w:val="0"/>
      <w:divBdr>
        <w:top w:val="none" w:sz="0" w:space="0" w:color="auto"/>
        <w:left w:val="none" w:sz="0" w:space="0" w:color="auto"/>
        <w:bottom w:val="none" w:sz="0" w:space="0" w:color="auto"/>
        <w:right w:val="none" w:sz="0" w:space="0" w:color="auto"/>
      </w:divBdr>
    </w:div>
    <w:div w:id="1880391359">
      <w:marLeft w:val="0"/>
      <w:marRight w:val="0"/>
      <w:marTop w:val="0"/>
      <w:marBottom w:val="0"/>
      <w:divBdr>
        <w:top w:val="none" w:sz="0" w:space="0" w:color="auto"/>
        <w:left w:val="none" w:sz="0" w:space="0" w:color="auto"/>
        <w:bottom w:val="none" w:sz="0" w:space="0" w:color="auto"/>
        <w:right w:val="none" w:sz="0" w:space="0" w:color="auto"/>
      </w:divBdr>
    </w:div>
    <w:div w:id="1880391360">
      <w:marLeft w:val="0"/>
      <w:marRight w:val="0"/>
      <w:marTop w:val="0"/>
      <w:marBottom w:val="0"/>
      <w:divBdr>
        <w:top w:val="none" w:sz="0" w:space="0" w:color="auto"/>
        <w:left w:val="none" w:sz="0" w:space="0" w:color="auto"/>
        <w:bottom w:val="none" w:sz="0" w:space="0" w:color="auto"/>
        <w:right w:val="none" w:sz="0" w:space="0" w:color="auto"/>
      </w:divBdr>
    </w:div>
    <w:div w:id="1880391361">
      <w:marLeft w:val="0"/>
      <w:marRight w:val="0"/>
      <w:marTop w:val="0"/>
      <w:marBottom w:val="0"/>
      <w:divBdr>
        <w:top w:val="none" w:sz="0" w:space="0" w:color="auto"/>
        <w:left w:val="none" w:sz="0" w:space="0" w:color="auto"/>
        <w:bottom w:val="none" w:sz="0" w:space="0" w:color="auto"/>
        <w:right w:val="none" w:sz="0" w:space="0" w:color="auto"/>
      </w:divBdr>
    </w:div>
    <w:div w:id="1880391362">
      <w:marLeft w:val="0"/>
      <w:marRight w:val="0"/>
      <w:marTop w:val="0"/>
      <w:marBottom w:val="0"/>
      <w:divBdr>
        <w:top w:val="none" w:sz="0" w:space="0" w:color="auto"/>
        <w:left w:val="none" w:sz="0" w:space="0" w:color="auto"/>
        <w:bottom w:val="none" w:sz="0" w:space="0" w:color="auto"/>
        <w:right w:val="none" w:sz="0" w:space="0" w:color="auto"/>
      </w:divBdr>
    </w:div>
    <w:div w:id="1880391363">
      <w:marLeft w:val="0"/>
      <w:marRight w:val="0"/>
      <w:marTop w:val="0"/>
      <w:marBottom w:val="0"/>
      <w:divBdr>
        <w:top w:val="none" w:sz="0" w:space="0" w:color="auto"/>
        <w:left w:val="none" w:sz="0" w:space="0" w:color="auto"/>
        <w:bottom w:val="none" w:sz="0" w:space="0" w:color="auto"/>
        <w:right w:val="none" w:sz="0" w:space="0" w:color="auto"/>
      </w:divBdr>
    </w:div>
    <w:div w:id="1880391364">
      <w:marLeft w:val="0"/>
      <w:marRight w:val="0"/>
      <w:marTop w:val="0"/>
      <w:marBottom w:val="0"/>
      <w:divBdr>
        <w:top w:val="none" w:sz="0" w:space="0" w:color="auto"/>
        <w:left w:val="none" w:sz="0" w:space="0" w:color="auto"/>
        <w:bottom w:val="none" w:sz="0" w:space="0" w:color="auto"/>
        <w:right w:val="none" w:sz="0" w:space="0" w:color="auto"/>
      </w:divBdr>
    </w:div>
    <w:div w:id="1880391365">
      <w:marLeft w:val="0"/>
      <w:marRight w:val="0"/>
      <w:marTop w:val="0"/>
      <w:marBottom w:val="0"/>
      <w:divBdr>
        <w:top w:val="none" w:sz="0" w:space="0" w:color="auto"/>
        <w:left w:val="none" w:sz="0" w:space="0" w:color="auto"/>
        <w:bottom w:val="none" w:sz="0" w:space="0" w:color="auto"/>
        <w:right w:val="none" w:sz="0" w:space="0" w:color="auto"/>
      </w:divBdr>
    </w:div>
    <w:div w:id="1880391366">
      <w:marLeft w:val="0"/>
      <w:marRight w:val="0"/>
      <w:marTop w:val="0"/>
      <w:marBottom w:val="0"/>
      <w:divBdr>
        <w:top w:val="none" w:sz="0" w:space="0" w:color="auto"/>
        <w:left w:val="none" w:sz="0" w:space="0" w:color="auto"/>
        <w:bottom w:val="none" w:sz="0" w:space="0" w:color="auto"/>
        <w:right w:val="none" w:sz="0" w:space="0" w:color="auto"/>
      </w:divBdr>
    </w:div>
    <w:div w:id="1880391367">
      <w:marLeft w:val="0"/>
      <w:marRight w:val="0"/>
      <w:marTop w:val="0"/>
      <w:marBottom w:val="0"/>
      <w:divBdr>
        <w:top w:val="none" w:sz="0" w:space="0" w:color="auto"/>
        <w:left w:val="none" w:sz="0" w:space="0" w:color="auto"/>
        <w:bottom w:val="none" w:sz="0" w:space="0" w:color="auto"/>
        <w:right w:val="none" w:sz="0" w:space="0" w:color="auto"/>
      </w:divBdr>
    </w:div>
    <w:div w:id="1880391368">
      <w:marLeft w:val="0"/>
      <w:marRight w:val="0"/>
      <w:marTop w:val="0"/>
      <w:marBottom w:val="0"/>
      <w:divBdr>
        <w:top w:val="none" w:sz="0" w:space="0" w:color="auto"/>
        <w:left w:val="none" w:sz="0" w:space="0" w:color="auto"/>
        <w:bottom w:val="none" w:sz="0" w:space="0" w:color="auto"/>
        <w:right w:val="none" w:sz="0" w:space="0" w:color="auto"/>
      </w:divBdr>
    </w:div>
    <w:div w:id="1880391369">
      <w:marLeft w:val="0"/>
      <w:marRight w:val="0"/>
      <w:marTop w:val="0"/>
      <w:marBottom w:val="0"/>
      <w:divBdr>
        <w:top w:val="none" w:sz="0" w:space="0" w:color="auto"/>
        <w:left w:val="none" w:sz="0" w:space="0" w:color="auto"/>
        <w:bottom w:val="none" w:sz="0" w:space="0" w:color="auto"/>
        <w:right w:val="none" w:sz="0" w:space="0" w:color="auto"/>
      </w:divBdr>
    </w:div>
    <w:div w:id="1880391370">
      <w:marLeft w:val="0"/>
      <w:marRight w:val="0"/>
      <w:marTop w:val="0"/>
      <w:marBottom w:val="0"/>
      <w:divBdr>
        <w:top w:val="none" w:sz="0" w:space="0" w:color="auto"/>
        <w:left w:val="none" w:sz="0" w:space="0" w:color="auto"/>
        <w:bottom w:val="none" w:sz="0" w:space="0" w:color="auto"/>
        <w:right w:val="none" w:sz="0" w:space="0" w:color="auto"/>
      </w:divBdr>
    </w:div>
    <w:div w:id="1880391371">
      <w:marLeft w:val="0"/>
      <w:marRight w:val="0"/>
      <w:marTop w:val="0"/>
      <w:marBottom w:val="0"/>
      <w:divBdr>
        <w:top w:val="none" w:sz="0" w:space="0" w:color="auto"/>
        <w:left w:val="none" w:sz="0" w:space="0" w:color="auto"/>
        <w:bottom w:val="none" w:sz="0" w:space="0" w:color="auto"/>
        <w:right w:val="none" w:sz="0" w:space="0" w:color="auto"/>
      </w:divBdr>
    </w:div>
    <w:div w:id="1880391372">
      <w:marLeft w:val="0"/>
      <w:marRight w:val="0"/>
      <w:marTop w:val="0"/>
      <w:marBottom w:val="0"/>
      <w:divBdr>
        <w:top w:val="none" w:sz="0" w:space="0" w:color="auto"/>
        <w:left w:val="none" w:sz="0" w:space="0" w:color="auto"/>
        <w:bottom w:val="none" w:sz="0" w:space="0" w:color="auto"/>
        <w:right w:val="none" w:sz="0" w:space="0" w:color="auto"/>
      </w:divBdr>
    </w:div>
    <w:div w:id="1880391373">
      <w:marLeft w:val="0"/>
      <w:marRight w:val="0"/>
      <w:marTop w:val="0"/>
      <w:marBottom w:val="0"/>
      <w:divBdr>
        <w:top w:val="none" w:sz="0" w:space="0" w:color="auto"/>
        <w:left w:val="none" w:sz="0" w:space="0" w:color="auto"/>
        <w:bottom w:val="none" w:sz="0" w:space="0" w:color="auto"/>
        <w:right w:val="none" w:sz="0" w:space="0" w:color="auto"/>
      </w:divBdr>
    </w:div>
    <w:div w:id="1880391374">
      <w:marLeft w:val="0"/>
      <w:marRight w:val="0"/>
      <w:marTop w:val="0"/>
      <w:marBottom w:val="0"/>
      <w:divBdr>
        <w:top w:val="none" w:sz="0" w:space="0" w:color="auto"/>
        <w:left w:val="none" w:sz="0" w:space="0" w:color="auto"/>
        <w:bottom w:val="none" w:sz="0" w:space="0" w:color="auto"/>
        <w:right w:val="none" w:sz="0" w:space="0" w:color="auto"/>
      </w:divBdr>
    </w:div>
    <w:div w:id="1880391375">
      <w:marLeft w:val="0"/>
      <w:marRight w:val="0"/>
      <w:marTop w:val="0"/>
      <w:marBottom w:val="0"/>
      <w:divBdr>
        <w:top w:val="none" w:sz="0" w:space="0" w:color="auto"/>
        <w:left w:val="none" w:sz="0" w:space="0" w:color="auto"/>
        <w:bottom w:val="none" w:sz="0" w:space="0" w:color="auto"/>
        <w:right w:val="none" w:sz="0" w:space="0" w:color="auto"/>
      </w:divBdr>
    </w:div>
    <w:div w:id="1880391376">
      <w:marLeft w:val="0"/>
      <w:marRight w:val="0"/>
      <w:marTop w:val="0"/>
      <w:marBottom w:val="0"/>
      <w:divBdr>
        <w:top w:val="none" w:sz="0" w:space="0" w:color="auto"/>
        <w:left w:val="none" w:sz="0" w:space="0" w:color="auto"/>
        <w:bottom w:val="none" w:sz="0" w:space="0" w:color="auto"/>
        <w:right w:val="none" w:sz="0" w:space="0" w:color="auto"/>
      </w:divBdr>
    </w:div>
    <w:div w:id="1880391377">
      <w:marLeft w:val="0"/>
      <w:marRight w:val="0"/>
      <w:marTop w:val="0"/>
      <w:marBottom w:val="0"/>
      <w:divBdr>
        <w:top w:val="none" w:sz="0" w:space="0" w:color="auto"/>
        <w:left w:val="none" w:sz="0" w:space="0" w:color="auto"/>
        <w:bottom w:val="none" w:sz="0" w:space="0" w:color="auto"/>
        <w:right w:val="none" w:sz="0" w:space="0" w:color="auto"/>
      </w:divBdr>
    </w:div>
    <w:div w:id="1880391378">
      <w:marLeft w:val="0"/>
      <w:marRight w:val="0"/>
      <w:marTop w:val="0"/>
      <w:marBottom w:val="0"/>
      <w:divBdr>
        <w:top w:val="none" w:sz="0" w:space="0" w:color="auto"/>
        <w:left w:val="none" w:sz="0" w:space="0" w:color="auto"/>
        <w:bottom w:val="none" w:sz="0" w:space="0" w:color="auto"/>
        <w:right w:val="none" w:sz="0" w:space="0" w:color="auto"/>
      </w:divBdr>
    </w:div>
    <w:div w:id="1880391379">
      <w:marLeft w:val="0"/>
      <w:marRight w:val="0"/>
      <w:marTop w:val="0"/>
      <w:marBottom w:val="0"/>
      <w:divBdr>
        <w:top w:val="none" w:sz="0" w:space="0" w:color="auto"/>
        <w:left w:val="none" w:sz="0" w:space="0" w:color="auto"/>
        <w:bottom w:val="none" w:sz="0" w:space="0" w:color="auto"/>
        <w:right w:val="none" w:sz="0" w:space="0" w:color="auto"/>
      </w:divBdr>
    </w:div>
    <w:div w:id="1880391380">
      <w:marLeft w:val="0"/>
      <w:marRight w:val="0"/>
      <w:marTop w:val="0"/>
      <w:marBottom w:val="0"/>
      <w:divBdr>
        <w:top w:val="none" w:sz="0" w:space="0" w:color="auto"/>
        <w:left w:val="none" w:sz="0" w:space="0" w:color="auto"/>
        <w:bottom w:val="none" w:sz="0" w:space="0" w:color="auto"/>
        <w:right w:val="none" w:sz="0" w:space="0" w:color="auto"/>
      </w:divBdr>
    </w:div>
    <w:div w:id="1880391381">
      <w:marLeft w:val="0"/>
      <w:marRight w:val="0"/>
      <w:marTop w:val="0"/>
      <w:marBottom w:val="0"/>
      <w:divBdr>
        <w:top w:val="none" w:sz="0" w:space="0" w:color="auto"/>
        <w:left w:val="none" w:sz="0" w:space="0" w:color="auto"/>
        <w:bottom w:val="none" w:sz="0" w:space="0" w:color="auto"/>
        <w:right w:val="none" w:sz="0" w:space="0" w:color="auto"/>
      </w:divBdr>
    </w:div>
    <w:div w:id="1880391382">
      <w:marLeft w:val="0"/>
      <w:marRight w:val="0"/>
      <w:marTop w:val="0"/>
      <w:marBottom w:val="0"/>
      <w:divBdr>
        <w:top w:val="none" w:sz="0" w:space="0" w:color="auto"/>
        <w:left w:val="none" w:sz="0" w:space="0" w:color="auto"/>
        <w:bottom w:val="none" w:sz="0" w:space="0" w:color="auto"/>
        <w:right w:val="none" w:sz="0" w:space="0" w:color="auto"/>
      </w:divBdr>
    </w:div>
    <w:div w:id="1880391383">
      <w:marLeft w:val="0"/>
      <w:marRight w:val="0"/>
      <w:marTop w:val="0"/>
      <w:marBottom w:val="0"/>
      <w:divBdr>
        <w:top w:val="none" w:sz="0" w:space="0" w:color="auto"/>
        <w:left w:val="none" w:sz="0" w:space="0" w:color="auto"/>
        <w:bottom w:val="none" w:sz="0" w:space="0" w:color="auto"/>
        <w:right w:val="none" w:sz="0" w:space="0" w:color="auto"/>
      </w:divBdr>
    </w:div>
    <w:div w:id="1880391384">
      <w:marLeft w:val="0"/>
      <w:marRight w:val="0"/>
      <w:marTop w:val="0"/>
      <w:marBottom w:val="0"/>
      <w:divBdr>
        <w:top w:val="none" w:sz="0" w:space="0" w:color="auto"/>
        <w:left w:val="none" w:sz="0" w:space="0" w:color="auto"/>
        <w:bottom w:val="none" w:sz="0" w:space="0" w:color="auto"/>
        <w:right w:val="none" w:sz="0" w:space="0" w:color="auto"/>
      </w:divBdr>
    </w:div>
    <w:div w:id="1880391385">
      <w:marLeft w:val="0"/>
      <w:marRight w:val="0"/>
      <w:marTop w:val="0"/>
      <w:marBottom w:val="0"/>
      <w:divBdr>
        <w:top w:val="none" w:sz="0" w:space="0" w:color="auto"/>
        <w:left w:val="none" w:sz="0" w:space="0" w:color="auto"/>
        <w:bottom w:val="none" w:sz="0" w:space="0" w:color="auto"/>
        <w:right w:val="none" w:sz="0" w:space="0" w:color="auto"/>
      </w:divBdr>
    </w:div>
    <w:div w:id="1880391386">
      <w:marLeft w:val="0"/>
      <w:marRight w:val="0"/>
      <w:marTop w:val="0"/>
      <w:marBottom w:val="0"/>
      <w:divBdr>
        <w:top w:val="none" w:sz="0" w:space="0" w:color="auto"/>
        <w:left w:val="none" w:sz="0" w:space="0" w:color="auto"/>
        <w:bottom w:val="none" w:sz="0" w:space="0" w:color="auto"/>
        <w:right w:val="none" w:sz="0" w:space="0" w:color="auto"/>
      </w:divBdr>
    </w:div>
    <w:div w:id="1880391387">
      <w:marLeft w:val="0"/>
      <w:marRight w:val="0"/>
      <w:marTop w:val="0"/>
      <w:marBottom w:val="0"/>
      <w:divBdr>
        <w:top w:val="none" w:sz="0" w:space="0" w:color="auto"/>
        <w:left w:val="none" w:sz="0" w:space="0" w:color="auto"/>
        <w:bottom w:val="none" w:sz="0" w:space="0" w:color="auto"/>
        <w:right w:val="none" w:sz="0" w:space="0" w:color="auto"/>
      </w:divBdr>
    </w:div>
    <w:div w:id="1880391388">
      <w:marLeft w:val="0"/>
      <w:marRight w:val="0"/>
      <w:marTop w:val="0"/>
      <w:marBottom w:val="0"/>
      <w:divBdr>
        <w:top w:val="none" w:sz="0" w:space="0" w:color="auto"/>
        <w:left w:val="none" w:sz="0" w:space="0" w:color="auto"/>
        <w:bottom w:val="none" w:sz="0" w:space="0" w:color="auto"/>
        <w:right w:val="none" w:sz="0" w:space="0" w:color="auto"/>
      </w:divBdr>
    </w:div>
    <w:div w:id="1880391389">
      <w:marLeft w:val="0"/>
      <w:marRight w:val="0"/>
      <w:marTop w:val="0"/>
      <w:marBottom w:val="0"/>
      <w:divBdr>
        <w:top w:val="none" w:sz="0" w:space="0" w:color="auto"/>
        <w:left w:val="none" w:sz="0" w:space="0" w:color="auto"/>
        <w:bottom w:val="none" w:sz="0" w:space="0" w:color="auto"/>
        <w:right w:val="none" w:sz="0" w:space="0" w:color="auto"/>
      </w:divBdr>
    </w:div>
    <w:div w:id="1880391390">
      <w:marLeft w:val="0"/>
      <w:marRight w:val="0"/>
      <w:marTop w:val="0"/>
      <w:marBottom w:val="0"/>
      <w:divBdr>
        <w:top w:val="none" w:sz="0" w:space="0" w:color="auto"/>
        <w:left w:val="none" w:sz="0" w:space="0" w:color="auto"/>
        <w:bottom w:val="none" w:sz="0" w:space="0" w:color="auto"/>
        <w:right w:val="none" w:sz="0" w:space="0" w:color="auto"/>
      </w:divBdr>
    </w:div>
    <w:div w:id="1880391391">
      <w:marLeft w:val="0"/>
      <w:marRight w:val="0"/>
      <w:marTop w:val="0"/>
      <w:marBottom w:val="0"/>
      <w:divBdr>
        <w:top w:val="none" w:sz="0" w:space="0" w:color="auto"/>
        <w:left w:val="none" w:sz="0" w:space="0" w:color="auto"/>
        <w:bottom w:val="none" w:sz="0" w:space="0" w:color="auto"/>
        <w:right w:val="none" w:sz="0" w:space="0" w:color="auto"/>
      </w:divBdr>
    </w:div>
    <w:div w:id="1880391392">
      <w:marLeft w:val="0"/>
      <w:marRight w:val="0"/>
      <w:marTop w:val="0"/>
      <w:marBottom w:val="0"/>
      <w:divBdr>
        <w:top w:val="none" w:sz="0" w:space="0" w:color="auto"/>
        <w:left w:val="none" w:sz="0" w:space="0" w:color="auto"/>
        <w:bottom w:val="none" w:sz="0" w:space="0" w:color="auto"/>
        <w:right w:val="none" w:sz="0" w:space="0" w:color="auto"/>
      </w:divBdr>
    </w:div>
    <w:div w:id="1880391393">
      <w:marLeft w:val="0"/>
      <w:marRight w:val="0"/>
      <w:marTop w:val="0"/>
      <w:marBottom w:val="0"/>
      <w:divBdr>
        <w:top w:val="none" w:sz="0" w:space="0" w:color="auto"/>
        <w:left w:val="none" w:sz="0" w:space="0" w:color="auto"/>
        <w:bottom w:val="none" w:sz="0" w:space="0" w:color="auto"/>
        <w:right w:val="none" w:sz="0" w:space="0" w:color="auto"/>
      </w:divBdr>
    </w:div>
    <w:div w:id="1880391394">
      <w:marLeft w:val="0"/>
      <w:marRight w:val="0"/>
      <w:marTop w:val="0"/>
      <w:marBottom w:val="0"/>
      <w:divBdr>
        <w:top w:val="none" w:sz="0" w:space="0" w:color="auto"/>
        <w:left w:val="none" w:sz="0" w:space="0" w:color="auto"/>
        <w:bottom w:val="none" w:sz="0" w:space="0" w:color="auto"/>
        <w:right w:val="none" w:sz="0" w:space="0" w:color="auto"/>
      </w:divBdr>
    </w:div>
    <w:div w:id="1880391395">
      <w:marLeft w:val="0"/>
      <w:marRight w:val="0"/>
      <w:marTop w:val="0"/>
      <w:marBottom w:val="0"/>
      <w:divBdr>
        <w:top w:val="none" w:sz="0" w:space="0" w:color="auto"/>
        <w:left w:val="none" w:sz="0" w:space="0" w:color="auto"/>
        <w:bottom w:val="none" w:sz="0" w:space="0" w:color="auto"/>
        <w:right w:val="none" w:sz="0" w:space="0" w:color="auto"/>
      </w:divBdr>
    </w:div>
    <w:div w:id="1880391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oleObject" Target="embeddings/oleObject8.bin"/><Relationship Id="rId33"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A9299-D035-4197-B4A9-0F4147E80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11366</Words>
  <Characters>64791</Characters>
  <Application>Microsoft Office Word</Application>
  <DocSecurity>0</DocSecurity>
  <Lines>539</Lines>
  <Paragraphs>152</Paragraphs>
  <ScaleCrop>false</ScaleCrop>
  <Company/>
  <LinksUpToDate>false</LinksUpToDate>
  <CharactersWithSpaces>76005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Irina</cp:lastModifiedBy>
  <cp:revision>2</cp:revision>
  <cp:lastPrinted>2010-05-23T20:46:00Z</cp:lastPrinted>
  <dcterms:created xsi:type="dcterms:W3CDTF">2014-10-31T11:44:00Z</dcterms:created>
  <dcterms:modified xsi:type="dcterms:W3CDTF">2014-10-31T11:44:00Z</dcterms:modified>
</cp:coreProperties>
</file>