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Pr="003C72CE" w:rsidRDefault="00445481" w:rsidP="003C72CE">
      <w:pPr>
        <w:pStyle w:val="afd"/>
        <w:rPr>
          <w:lang w:val="uk-UA"/>
        </w:rPr>
      </w:pPr>
      <w:r w:rsidRPr="003C72CE">
        <w:rPr>
          <w:lang w:val="uk-UA"/>
        </w:rPr>
        <w:t>Реферат</w:t>
      </w:r>
    </w:p>
    <w:p w:rsidR="003C72CE" w:rsidRDefault="00445481" w:rsidP="003C72CE">
      <w:pPr>
        <w:pStyle w:val="afd"/>
        <w:rPr>
          <w:lang w:val="uk-UA"/>
        </w:rPr>
      </w:pPr>
      <w:r w:rsidRPr="003C72CE">
        <w:rPr>
          <w:lang w:val="uk-UA"/>
        </w:rPr>
        <w:t>Міжнародно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правовий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Default="003C72CE" w:rsidP="003C72CE">
      <w:pPr>
        <w:pStyle w:val="afd"/>
        <w:rPr>
          <w:lang w:val="uk-UA"/>
        </w:rPr>
      </w:pPr>
    </w:p>
    <w:p w:rsidR="003C72CE" w:rsidRPr="003C72CE" w:rsidRDefault="003C72CE" w:rsidP="003C72CE">
      <w:pPr>
        <w:pStyle w:val="afd"/>
        <w:rPr>
          <w:lang w:val="uk-UA"/>
        </w:rPr>
      </w:pPr>
    </w:p>
    <w:p w:rsidR="003C72CE" w:rsidRPr="003C72CE" w:rsidRDefault="00445481" w:rsidP="003C72CE">
      <w:pPr>
        <w:pStyle w:val="afd"/>
        <w:rPr>
          <w:lang w:val="uk-UA"/>
        </w:rPr>
      </w:pPr>
      <w:r w:rsidRPr="003C72CE">
        <w:rPr>
          <w:lang w:val="uk-UA"/>
        </w:rPr>
        <w:t>2010</w:t>
      </w:r>
    </w:p>
    <w:p w:rsidR="00445481" w:rsidRPr="003C72CE" w:rsidRDefault="003C72CE" w:rsidP="003C72CE">
      <w:pPr>
        <w:pStyle w:val="1"/>
        <w:rPr>
          <w:lang w:val="uk-UA"/>
        </w:rPr>
      </w:pPr>
      <w:r>
        <w:rPr>
          <w:lang w:val="uk-UA"/>
        </w:rPr>
        <w:br w:type="page"/>
      </w:r>
      <w:r w:rsidR="00445481" w:rsidRPr="003C72CE">
        <w:rPr>
          <w:lang w:val="uk-UA"/>
        </w:rPr>
        <w:t>Вступ</w:t>
      </w:r>
    </w:p>
    <w:p w:rsidR="003C72CE" w:rsidRDefault="003C72CE" w:rsidP="003C72CE">
      <w:pPr>
        <w:tabs>
          <w:tab w:val="left" w:pos="726"/>
        </w:tabs>
        <w:rPr>
          <w:lang w:val="uk-UA"/>
        </w:rPr>
      </w:pP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Сьогодні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світове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співтовариство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приділяє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велику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увагу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проблемам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особливо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стосується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Важливе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місце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цьому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процесі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належить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організаціям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відомо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поділяються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міждержавні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міжурядові</w:t>
      </w:r>
      <w:r w:rsidR="003C72CE" w:rsidRPr="003C72CE">
        <w:rPr>
          <w:lang w:val="uk-UA"/>
        </w:rPr>
        <w:t xml:space="preserve">),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неурядові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юридичній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літературі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виділяють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ознаки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міждержавних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організацій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членство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наявність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установчого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договору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постійні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органи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повага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суверенітету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членів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Головною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ознакою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неурядових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вони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створені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основі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міждержавного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договору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поєднують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фізичних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і/або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юридичних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осіб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наприклад,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Асоціація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Ліга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товариств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Червоного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Хреста,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Всесвітня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федерація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науковців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</w:t>
      </w:r>
      <w:r w:rsidR="003C72CE" w:rsidRPr="003C72CE">
        <w:rPr>
          <w:lang w:val="uk-UA"/>
        </w:rPr>
        <w:t>.) [</w:t>
      </w:r>
      <w:r w:rsidRPr="003C72CE">
        <w:rPr>
          <w:lang w:val="uk-UA"/>
        </w:rPr>
        <w:t>1,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</w:t>
      </w:r>
      <w:r w:rsidR="003C72CE">
        <w:rPr>
          <w:lang w:val="uk-UA"/>
        </w:rPr>
        <w:t>. 20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>].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Міжнародні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міждержавні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міжурядові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організації,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наділені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певною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правосуб'єктністю,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беруть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участь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процесі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створення,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розвитку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зміни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міжнародному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нормотворчому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процесі</w:t>
      </w:r>
      <w:r w:rsidR="003C72CE" w:rsidRPr="003C72CE">
        <w:rPr>
          <w:lang w:val="uk-UA"/>
        </w:rPr>
        <w:t>.</w:t>
      </w:r>
    </w:p>
    <w:p w:rsid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Більшість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вчених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виділяють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нормотворчих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функцій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організацій</w:t>
      </w:r>
      <w:r w:rsidR="003C72CE">
        <w:rPr>
          <w:lang w:val="uk-UA"/>
        </w:rPr>
        <w:t>:</w:t>
      </w:r>
    </w:p>
    <w:p w:rsidR="003C72CE" w:rsidRDefault="003C72CE" w:rsidP="003C72CE">
      <w:pPr>
        <w:tabs>
          <w:tab w:val="left" w:pos="726"/>
        </w:tabs>
        <w:rPr>
          <w:lang w:val="uk-UA"/>
        </w:rPr>
      </w:pPr>
      <w:r>
        <w:rPr>
          <w:lang w:val="uk-UA"/>
        </w:rPr>
        <w:t>1)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створення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норм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міжнародного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права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разом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з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іншими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суб'єктами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міжнародного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права</w:t>
      </w:r>
      <w:r>
        <w:rPr>
          <w:lang w:val="uk-UA"/>
        </w:rPr>
        <w:t xml:space="preserve"> (</w:t>
      </w:r>
      <w:r w:rsidR="00445481" w:rsidRPr="003C72CE">
        <w:rPr>
          <w:lang w:val="uk-UA"/>
        </w:rPr>
        <w:t>державами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і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міжнародними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організаціями</w:t>
      </w:r>
      <w:r w:rsidRPr="003C72CE">
        <w:rPr>
          <w:lang w:val="uk-UA"/>
        </w:rPr>
        <w:t xml:space="preserve">) </w:t>
      </w:r>
      <w:r w:rsidR="00445481" w:rsidRPr="003C72CE">
        <w:rPr>
          <w:lang w:val="uk-UA"/>
        </w:rPr>
        <w:t>або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шляхом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прийняття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міжнародними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організаціями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відповідних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рішень</w:t>
      </w:r>
      <w:r>
        <w:rPr>
          <w:lang w:val="uk-UA"/>
        </w:rPr>
        <w:t>;</w:t>
      </w:r>
    </w:p>
    <w:p w:rsidR="003C72CE" w:rsidRDefault="003C72CE" w:rsidP="003C72CE">
      <w:pPr>
        <w:tabs>
          <w:tab w:val="left" w:pos="726"/>
        </w:tabs>
        <w:rPr>
          <w:lang w:val="uk-UA"/>
        </w:rPr>
      </w:pPr>
      <w:r>
        <w:rPr>
          <w:lang w:val="uk-UA"/>
        </w:rPr>
        <w:t>2)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участь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у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створенні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норм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міжнародного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права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державами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на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різних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стадіях,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що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іноді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дослідники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називають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квазінормотворчою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функцією</w:t>
      </w:r>
      <w:r w:rsidRPr="003C72CE">
        <w:rPr>
          <w:lang w:val="uk-UA"/>
        </w:rPr>
        <w:t xml:space="preserve"> [</w:t>
      </w:r>
      <w:r w:rsidR="00445481" w:rsidRPr="003C72CE">
        <w:rPr>
          <w:lang w:val="uk-UA"/>
        </w:rPr>
        <w:t>2,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с</w:t>
      </w:r>
      <w:r>
        <w:rPr>
          <w:lang w:val="uk-UA"/>
        </w:rPr>
        <w:t>.1</w:t>
      </w:r>
      <w:r w:rsidR="00445481" w:rsidRPr="003C72CE">
        <w:rPr>
          <w:lang w:val="uk-UA"/>
        </w:rPr>
        <w:t>06</w:t>
      </w:r>
      <w:r w:rsidRPr="003C72CE">
        <w:rPr>
          <w:lang w:val="uk-UA"/>
        </w:rPr>
        <w:t xml:space="preserve">] </w:t>
      </w:r>
      <w:r w:rsidR="00445481" w:rsidRPr="003C72CE">
        <w:rPr>
          <w:lang w:val="uk-UA"/>
        </w:rPr>
        <w:t>або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допоміжною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функцією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міжнародної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організації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в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міжнародній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правотворчості</w:t>
      </w:r>
      <w:r w:rsidRPr="003C72CE">
        <w:rPr>
          <w:lang w:val="uk-UA"/>
        </w:rPr>
        <w:t xml:space="preserve"> [</w:t>
      </w:r>
      <w:r w:rsidR="00445481" w:rsidRPr="003C72CE">
        <w:rPr>
          <w:lang w:val="uk-UA"/>
        </w:rPr>
        <w:t>3,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с</w:t>
      </w:r>
      <w:r>
        <w:rPr>
          <w:lang w:val="uk-UA"/>
        </w:rPr>
        <w:t>.4</w:t>
      </w:r>
      <w:r w:rsidR="00445481" w:rsidRPr="003C72CE">
        <w:rPr>
          <w:lang w:val="uk-UA"/>
        </w:rPr>
        <w:t>7</w:t>
      </w:r>
      <w:r w:rsidRPr="003C72CE">
        <w:rPr>
          <w:lang w:val="uk-UA"/>
        </w:rPr>
        <w:t>].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Серед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функціонуючих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сьогодні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міждержавних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виділити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Об’єднаних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найбільші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захисниці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Взагалі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ООН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універсальна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створена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метою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підтримки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миру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безпеки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розвитку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співробітництва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державами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статус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підписаний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червня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1945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конференції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Сан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Франциско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набрав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сили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24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жовтня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1945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Особливо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хотілося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відмітити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значення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громадянина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Загальної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декларації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1948р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пакту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економічні,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культурні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1966р</w:t>
      </w:r>
      <w:r w:rsidR="003C72CE" w:rsidRPr="003C72CE">
        <w:rPr>
          <w:lang w:val="uk-UA"/>
        </w:rPr>
        <w:t xml:space="preserve">.), </w:t>
      </w:r>
      <w:r w:rsidRPr="003C72CE">
        <w:rPr>
          <w:lang w:val="uk-UA"/>
        </w:rPr>
        <w:t>прийнятих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Генеральною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Асамблеєю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ООН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документи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складовими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частинами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біля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закріплюють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широкий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перелік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преамбулі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Загальної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декларації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вказується,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Генеральна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Асамблея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ООН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проголосила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Загальну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декларацію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завдання,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повинні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прагнути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народи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тим,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щоб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кожна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кожний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суспільства,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завжди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маючи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увазі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Декларацію,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прагнули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шляхом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освіти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сприяти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поважанню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забезпеченню,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шляхом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прогресивних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заходів,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загального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ефективного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здійснення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серед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народів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членів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ООН,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серед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народів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територій,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перебувають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юрисдикцією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Якщо,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вже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вказувалося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раніше,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Загальна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декларація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приймалася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необов’язковий,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рекомендаційний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документ,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пакт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економічні,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культурні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обов’язковий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акт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країн,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ратифікували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Цей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документ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закріплює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="003C72CE" w:rsidRPr="003C72CE">
        <w:rPr>
          <w:lang w:val="uk-UA"/>
        </w:rPr>
        <w:t xml:space="preserve">),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справедливі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сприятливі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умови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ст</w:t>
      </w:r>
      <w:r w:rsidR="003C72CE">
        <w:rPr>
          <w:lang w:val="uk-UA"/>
        </w:rPr>
        <w:t>.7</w:t>
      </w:r>
      <w:r w:rsidR="003C72CE" w:rsidRPr="003C72CE">
        <w:rPr>
          <w:lang w:val="uk-UA"/>
        </w:rPr>
        <w:t xml:space="preserve">),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створювати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здійснення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своїх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інтересів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професійні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спілки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вступати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них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ст</w:t>
      </w:r>
      <w:r w:rsidR="003C72CE">
        <w:rPr>
          <w:lang w:val="uk-UA"/>
        </w:rPr>
        <w:t>.8</w:t>
      </w:r>
      <w:r w:rsidR="003C72CE" w:rsidRPr="003C72CE">
        <w:rPr>
          <w:lang w:val="uk-UA"/>
        </w:rPr>
        <w:t xml:space="preserve">),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страйк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ст</w:t>
      </w:r>
      <w:r w:rsidR="003C72CE">
        <w:rPr>
          <w:lang w:val="uk-UA"/>
        </w:rPr>
        <w:t>.8</w:t>
      </w:r>
      <w:r w:rsidR="003C72CE" w:rsidRPr="003C72CE">
        <w:rPr>
          <w:lang w:val="uk-UA"/>
        </w:rPr>
        <w:t xml:space="preserve">),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включаючи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страхування</w:t>
      </w:r>
      <w:r w:rsidR="003C72CE" w:rsidRPr="003C72CE">
        <w:rPr>
          <w:lang w:val="uk-UA"/>
        </w:rPr>
        <w:t>.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ст</w:t>
      </w:r>
      <w:r w:rsidR="003C72CE">
        <w:rPr>
          <w:lang w:val="uk-UA"/>
        </w:rPr>
        <w:t>.9</w:t>
      </w:r>
      <w:r w:rsidR="003C72CE" w:rsidRPr="003C72CE">
        <w:rPr>
          <w:lang w:val="uk-UA"/>
        </w:rPr>
        <w:t xml:space="preserve">), </w:t>
      </w:r>
      <w:r w:rsidRPr="003C72CE">
        <w:rPr>
          <w:lang w:val="uk-UA"/>
        </w:rPr>
        <w:t>спеціальні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сімї,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матерів,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дітей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підлітків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ст</w:t>
      </w:r>
      <w:r w:rsidR="003C72CE">
        <w:rPr>
          <w:lang w:val="uk-UA"/>
        </w:rPr>
        <w:t>.1</w:t>
      </w:r>
      <w:r w:rsidRPr="003C72CE">
        <w:rPr>
          <w:lang w:val="uk-UA"/>
        </w:rPr>
        <w:t>0</w:t>
      </w:r>
      <w:r w:rsidR="003C72CE" w:rsidRPr="003C72CE">
        <w:rPr>
          <w:lang w:val="uk-UA"/>
        </w:rPr>
        <w:t xml:space="preserve">),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кожного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достатній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життєвий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нього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сім’ї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ст</w:t>
      </w:r>
      <w:r w:rsidR="003C72CE">
        <w:rPr>
          <w:lang w:val="uk-UA"/>
        </w:rPr>
        <w:t>.1</w:t>
      </w:r>
      <w:r w:rsidRPr="003C72CE">
        <w:rPr>
          <w:lang w:val="uk-UA"/>
        </w:rPr>
        <w:t>1</w:t>
      </w:r>
      <w:r w:rsidR="003C72CE" w:rsidRPr="003C72CE">
        <w:rPr>
          <w:lang w:val="uk-UA"/>
        </w:rPr>
        <w:t xml:space="preserve">),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найвищий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досяжний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фізичного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психічного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здоров’я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ст</w:t>
      </w:r>
      <w:r w:rsidR="003C72CE">
        <w:rPr>
          <w:lang w:val="uk-UA"/>
        </w:rPr>
        <w:t>.1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>).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Важливе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значення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розвитку,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діяльність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особливо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нормотворча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діяльність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Ця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діяльність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виражається,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перше,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інших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організаціях,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укладенні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договорів,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друге,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розробці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питань,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входять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компетенцію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>.</w:t>
      </w:r>
    </w:p>
    <w:p w:rsid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Стаття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39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Статуту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закріплює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положення,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усі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юридичної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особи,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числі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укладати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договори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Укладення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договорів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організаціями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непряме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значення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сфері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оскільки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даних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договорах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закріплюється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положення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території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членів,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основи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співробітництва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іншими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організаціями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державами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членами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Договори,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укладені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класифікувати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>
        <w:rPr>
          <w:lang w:val="uk-UA"/>
        </w:rPr>
        <w:t>:</w:t>
      </w:r>
    </w:p>
    <w:p w:rsidR="003C72CE" w:rsidRDefault="003C72CE" w:rsidP="003C72CE">
      <w:pPr>
        <w:shd w:val="clear" w:color="auto" w:fill="FFFFFF"/>
        <w:tabs>
          <w:tab w:val="left" w:pos="726"/>
        </w:tabs>
        <w:rPr>
          <w:lang w:val="uk-UA"/>
        </w:rPr>
      </w:pPr>
      <w:r>
        <w:rPr>
          <w:lang w:val="uk-UA"/>
        </w:rPr>
        <w:t>1)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угоду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про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штаб</w:t>
      </w:r>
      <w:r w:rsidRPr="003C72CE">
        <w:rPr>
          <w:lang w:val="uk-UA"/>
        </w:rPr>
        <w:t>-</w:t>
      </w:r>
      <w:r w:rsidR="00445481" w:rsidRPr="003C72CE">
        <w:rPr>
          <w:lang w:val="uk-UA"/>
        </w:rPr>
        <w:t>квартиру</w:t>
      </w:r>
      <w:r>
        <w:rPr>
          <w:lang w:val="uk-UA"/>
        </w:rPr>
        <w:t>,</w:t>
      </w:r>
    </w:p>
    <w:p w:rsidR="003C72CE" w:rsidRDefault="003C72CE" w:rsidP="003C72CE">
      <w:pPr>
        <w:shd w:val="clear" w:color="auto" w:fill="FFFFFF"/>
        <w:tabs>
          <w:tab w:val="left" w:pos="726"/>
        </w:tabs>
        <w:rPr>
          <w:lang w:val="uk-UA"/>
        </w:rPr>
      </w:pPr>
      <w:r>
        <w:rPr>
          <w:lang w:val="uk-UA"/>
        </w:rPr>
        <w:t>2)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угода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з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ООН</w:t>
      </w:r>
      <w:r>
        <w:rPr>
          <w:lang w:val="uk-UA"/>
        </w:rPr>
        <w:t>,</w:t>
      </w:r>
    </w:p>
    <w:p w:rsidR="003C72CE" w:rsidRDefault="003C72CE" w:rsidP="003C72CE">
      <w:pPr>
        <w:shd w:val="clear" w:color="auto" w:fill="FFFFFF"/>
        <w:tabs>
          <w:tab w:val="left" w:pos="726"/>
        </w:tabs>
        <w:rPr>
          <w:lang w:val="uk-UA"/>
        </w:rPr>
      </w:pPr>
      <w:r>
        <w:rPr>
          <w:lang w:val="uk-UA"/>
        </w:rPr>
        <w:t>3)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угоди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з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організаціями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системи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ООН</w:t>
      </w:r>
      <w:r>
        <w:rPr>
          <w:lang w:val="uk-UA"/>
        </w:rPr>
        <w:t>,</w:t>
      </w:r>
    </w:p>
    <w:p w:rsidR="003C72CE" w:rsidRDefault="003C72CE" w:rsidP="003C72CE">
      <w:pPr>
        <w:shd w:val="clear" w:color="auto" w:fill="FFFFFF"/>
        <w:tabs>
          <w:tab w:val="left" w:pos="726"/>
        </w:tabs>
        <w:rPr>
          <w:lang w:val="uk-UA"/>
        </w:rPr>
      </w:pPr>
      <w:r>
        <w:rPr>
          <w:lang w:val="uk-UA"/>
        </w:rPr>
        <w:t>4)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угоди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з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регіональними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організаціями</w:t>
      </w:r>
      <w:r>
        <w:rPr>
          <w:lang w:val="uk-UA"/>
        </w:rPr>
        <w:t>,</w:t>
      </w:r>
    </w:p>
    <w:p w:rsidR="003C72CE" w:rsidRPr="003C72CE" w:rsidRDefault="003C72CE" w:rsidP="003C72CE">
      <w:pPr>
        <w:shd w:val="clear" w:color="auto" w:fill="FFFFFF"/>
        <w:tabs>
          <w:tab w:val="left" w:pos="726"/>
        </w:tabs>
        <w:rPr>
          <w:lang w:val="uk-UA"/>
        </w:rPr>
      </w:pPr>
      <w:r>
        <w:rPr>
          <w:lang w:val="uk-UA"/>
        </w:rPr>
        <w:t>5)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угоди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з</w:t>
      </w:r>
      <w:r w:rsidRPr="003C72CE">
        <w:rPr>
          <w:lang w:val="uk-UA"/>
        </w:rPr>
        <w:t xml:space="preserve"> </w:t>
      </w:r>
      <w:r w:rsidR="00445481" w:rsidRPr="003C72CE">
        <w:rPr>
          <w:lang w:val="uk-UA"/>
        </w:rPr>
        <w:t>державами</w:t>
      </w:r>
      <w:r w:rsidRPr="003C72CE">
        <w:rPr>
          <w:lang w:val="uk-UA"/>
        </w:rPr>
        <w:t>-</w:t>
      </w:r>
      <w:r w:rsidR="00445481" w:rsidRPr="003C72CE">
        <w:rPr>
          <w:lang w:val="uk-UA"/>
        </w:rPr>
        <w:t>членами</w:t>
      </w:r>
      <w:r w:rsidRPr="003C72CE">
        <w:rPr>
          <w:lang w:val="uk-UA"/>
        </w:rPr>
        <w:t xml:space="preserve"> [</w:t>
      </w:r>
      <w:r w:rsidR="00445481" w:rsidRPr="003C72CE">
        <w:rPr>
          <w:lang w:val="uk-UA"/>
        </w:rPr>
        <w:t>4</w:t>
      </w:r>
      <w:r w:rsidRPr="003C72CE">
        <w:rPr>
          <w:lang w:val="uk-UA"/>
        </w:rPr>
        <w:t>].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Загальновизнаним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основним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способом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досягнення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розробка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прийняття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рекомендацій</w:t>
      </w:r>
      <w:r w:rsidR="003C72CE" w:rsidRPr="003C72CE">
        <w:rPr>
          <w:lang w:val="uk-UA"/>
        </w:rPr>
        <w:t>.</w:t>
      </w:r>
    </w:p>
    <w:p w:rsid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приймаються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конференцією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використанням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однакової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процедури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Їхньому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прийняттю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передує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обговорення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двох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послідовних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сесіях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МКТ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МБТ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готує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попередні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доповіді,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узагальнюються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законодавство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практика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різних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країн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Кожна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конвенція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рекомендація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обговорюється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спеціальним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комітетом,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сформованим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Конференцією,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повинна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схвалена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більшістю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2/3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присутніх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делегатів</w:t>
      </w:r>
      <w:r w:rsidR="003C72CE" w:rsidRPr="003C72CE">
        <w:rPr>
          <w:lang w:val="uk-UA"/>
        </w:rPr>
        <w:t>.</w:t>
      </w:r>
    </w:p>
    <w:p w:rsidR="003C72CE" w:rsidRPr="003C72CE" w:rsidRDefault="003C72CE" w:rsidP="003C72CE">
      <w:pPr>
        <w:pStyle w:val="af5"/>
        <w:rPr>
          <w:lang w:val="uk-UA"/>
        </w:rPr>
      </w:pPr>
      <w:r w:rsidRPr="003C72CE">
        <w:rPr>
          <w:lang w:val="uk-UA"/>
        </w:rPr>
        <w:t>міжнародний правовий захист право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Хоча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процедура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обговорення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прийняття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однакова,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їхня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юридична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чинність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порядок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різні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Так,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після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ратифікації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звичайно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двома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державами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членами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багатобічною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угодою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накладає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зобов'язання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ратифікували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ратифікували</w:t>
      </w:r>
      <w:r w:rsidR="003C72CE" w:rsidRPr="003C72CE">
        <w:rPr>
          <w:lang w:val="uk-UA"/>
        </w:rPr>
        <w:t xml:space="preserve"> [</w:t>
      </w:r>
      <w:r w:rsidRPr="003C72CE">
        <w:rPr>
          <w:lang w:val="uk-UA"/>
        </w:rPr>
        <w:t>5,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</w:t>
      </w:r>
      <w:r w:rsidR="003C72CE">
        <w:rPr>
          <w:lang w:val="uk-UA"/>
        </w:rPr>
        <w:t>.4</w:t>
      </w:r>
      <w:r w:rsidRPr="003C72CE">
        <w:rPr>
          <w:lang w:val="uk-UA"/>
        </w:rPr>
        <w:t>59</w:t>
      </w:r>
      <w:r w:rsidR="003C72CE" w:rsidRPr="003C72CE">
        <w:rPr>
          <w:lang w:val="uk-UA"/>
        </w:rPr>
        <w:t xml:space="preserve">]. </w:t>
      </w:r>
      <w:r w:rsidRPr="003C72CE">
        <w:rPr>
          <w:lang w:val="uk-UA"/>
        </w:rPr>
        <w:t>Рекомендація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договором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підлягає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ратифікації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Рекомендація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побажанням,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пропозицією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ввести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законодавства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Рекомендація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доповнює,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уточнює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деталізує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положення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можливість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вибору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державам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застосуванні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Рекомендація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подається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уряду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держави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члена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тим,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щоб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положення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шляхом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прийняття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іншого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нормативно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правового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акта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набрали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юридичної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сили</w:t>
      </w:r>
      <w:r w:rsidR="003C72CE" w:rsidRPr="003C72CE">
        <w:rPr>
          <w:lang w:val="uk-UA"/>
        </w:rPr>
        <w:t xml:space="preserve"> [</w:t>
      </w:r>
      <w:r w:rsidRPr="003C72CE">
        <w:rPr>
          <w:lang w:val="uk-UA"/>
        </w:rPr>
        <w:t>6,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58</w:t>
      </w:r>
      <w:r w:rsidR="003C72CE" w:rsidRPr="003C72CE">
        <w:rPr>
          <w:lang w:val="uk-UA"/>
        </w:rPr>
        <w:t>].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січня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2004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Міжнародна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185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більше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рекомендацій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трохи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більше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50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близько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80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рекомендацій</w:t>
      </w:r>
      <w:r w:rsidR="003C72CE" w:rsidRPr="003C72CE">
        <w:rPr>
          <w:lang w:val="uk-UA"/>
        </w:rPr>
        <w:t xml:space="preserve"> [</w:t>
      </w:r>
      <w:r w:rsidRPr="003C72CE">
        <w:rPr>
          <w:lang w:val="uk-UA"/>
        </w:rPr>
        <w:t>7,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</w:t>
      </w:r>
      <w:r w:rsidR="003C72CE">
        <w:rPr>
          <w:lang w:val="uk-UA"/>
        </w:rPr>
        <w:t>.6</w:t>
      </w:r>
      <w:r w:rsidRPr="003C72CE">
        <w:rPr>
          <w:lang w:val="uk-UA"/>
        </w:rPr>
        <w:t>4</w:t>
      </w:r>
      <w:r w:rsidR="003C72CE" w:rsidRPr="003C72CE">
        <w:rPr>
          <w:lang w:val="uk-UA"/>
        </w:rPr>
        <w:t xml:space="preserve">].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порівняння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зазначити,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ряд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ратифікував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більшість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Франція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116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Італія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103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Великобританія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82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Німеччина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75</w:t>
      </w:r>
      <w:r w:rsidR="003C72CE" w:rsidRPr="003C72CE">
        <w:rPr>
          <w:lang w:val="uk-UA"/>
        </w:rPr>
        <w:t>) [</w:t>
      </w:r>
      <w:r w:rsidRPr="003C72CE">
        <w:rPr>
          <w:lang w:val="uk-UA"/>
        </w:rPr>
        <w:t>8,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81</w:t>
      </w:r>
      <w:r w:rsidR="003C72CE" w:rsidRPr="003C72CE">
        <w:rPr>
          <w:lang w:val="uk-UA"/>
        </w:rPr>
        <w:t>].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Слід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зазначити,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виключення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спрямовані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виділити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найбільш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важливі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них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примусову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обов'язкову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№29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1930р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99</w:t>
      </w:r>
      <w:r w:rsidR="003C72CE" w:rsidRPr="003C72CE">
        <w:rPr>
          <w:lang w:val="uk-UA"/>
        </w:rPr>
        <w:t xml:space="preserve">],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асоціації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організацію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87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1948р</w:t>
      </w:r>
      <w:r w:rsidR="003C72CE" w:rsidRPr="003C72CE">
        <w:rPr>
          <w:lang w:val="uk-UA"/>
        </w:rPr>
        <w:t>.) [</w:t>
      </w:r>
      <w:r w:rsidRPr="003C72CE">
        <w:rPr>
          <w:lang w:val="uk-UA"/>
        </w:rPr>
        <w:t>10</w:t>
      </w:r>
      <w:r w:rsidR="003C72CE" w:rsidRPr="003C72CE">
        <w:rPr>
          <w:lang w:val="uk-UA"/>
        </w:rPr>
        <w:t xml:space="preserve">],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принципів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ведення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колективних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переговорів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98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1949р</w:t>
      </w:r>
      <w:r w:rsidR="003C72CE" w:rsidRPr="003C72CE">
        <w:rPr>
          <w:lang w:val="uk-UA"/>
        </w:rPr>
        <w:t>.) [</w:t>
      </w:r>
      <w:r w:rsidRPr="003C72CE">
        <w:rPr>
          <w:lang w:val="uk-UA"/>
        </w:rPr>
        <w:t>11</w:t>
      </w:r>
      <w:r w:rsidR="003C72CE" w:rsidRPr="003C72CE">
        <w:rPr>
          <w:lang w:val="uk-UA"/>
        </w:rPr>
        <w:t xml:space="preserve">],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винагородження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чоловіків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жінок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цінності”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№100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1951р</w:t>
      </w:r>
      <w:r w:rsidR="003C72CE" w:rsidRPr="003C72CE">
        <w:rPr>
          <w:lang w:val="uk-UA"/>
        </w:rPr>
        <w:t>.) [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 xml:space="preserve">],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мінімальні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соціального</w:t>
      </w:r>
      <w:r w:rsidR="003C72CE" w:rsidRPr="003C72CE">
        <w:rPr>
          <w:lang w:val="uk-UA"/>
        </w:rPr>
        <w:t xml:space="preserve"> </w:t>
      </w:r>
      <w:r w:rsidR="003C72CE">
        <w:rPr>
          <w:lang w:val="uk-UA"/>
        </w:rPr>
        <w:t>забез</w:t>
      </w:r>
      <w:r w:rsidRPr="003C72CE">
        <w:rPr>
          <w:lang w:val="uk-UA"/>
        </w:rPr>
        <w:t>печення”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№102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1952р</w:t>
      </w:r>
      <w:r w:rsidR="003C72CE" w:rsidRPr="003C72CE">
        <w:rPr>
          <w:lang w:val="uk-UA"/>
        </w:rPr>
        <w:t>.) [</w:t>
      </w:r>
      <w:r w:rsidRPr="003C72CE">
        <w:rPr>
          <w:lang w:val="uk-UA"/>
        </w:rPr>
        <w:t>3</w:t>
      </w:r>
      <w:r w:rsidR="003C72CE" w:rsidRPr="003C72CE">
        <w:rPr>
          <w:lang w:val="uk-UA"/>
        </w:rPr>
        <w:t xml:space="preserve">],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примусової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105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1957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p</w:t>
      </w:r>
      <w:r w:rsidR="003C72CE" w:rsidRPr="003C72CE">
        <w:rPr>
          <w:lang w:val="uk-UA"/>
        </w:rPr>
        <w:t>.) [</w:t>
      </w:r>
      <w:r w:rsidRPr="003C72CE">
        <w:rPr>
          <w:lang w:val="uk-UA"/>
        </w:rPr>
        <w:t>14</w:t>
      </w:r>
      <w:r w:rsidR="003C72CE" w:rsidRPr="003C72CE">
        <w:rPr>
          <w:lang w:val="uk-UA"/>
        </w:rPr>
        <w:t xml:space="preserve">],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дискримінацію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галузі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занять”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111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1958р</w:t>
      </w:r>
      <w:r w:rsidR="003C72CE" w:rsidRPr="003C72CE">
        <w:rPr>
          <w:lang w:val="uk-UA"/>
        </w:rPr>
        <w:t>.) [</w:t>
      </w:r>
      <w:r w:rsidRPr="003C72CE">
        <w:rPr>
          <w:lang w:val="uk-UA"/>
        </w:rPr>
        <w:t>15</w:t>
      </w:r>
      <w:r w:rsidR="003C72CE" w:rsidRPr="003C72CE">
        <w:rPr>
          <w:lang w:val="uk-UA"/>
        </w:rPr>
        <w:t xml:space="preserve">],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мінімальний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прийняття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роботу”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138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1973р</w:t>
      </w:r>
      <w:r w:rsidR="003C72CE" w:rsidRPr="003C72CE">
        <w:rPr>
          <w:lang w:val="uk-UA"/>
        </w:rPr>
        <w:t>.) [</w:t>
      </w:r>
      <w:r w:rsidRPr="003C72CE">
        <w:rPr>
          <w:lang w:val="uk-UA"/>
        </w:rPr>
        <w:t>16</w:t>
      </w:r>
      <w:r w:rsidR="003C72CE" w:rsidRPr="003C72CE">
        <w:rPr>
          <w:lang w:val="uk-UA"/>
        </w:rPr>
        <w:t xml:space="preserve">],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заборону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негайні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заходи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ліквідації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найгірших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форм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дитячої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пращ”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182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1999р</w:t>
      </w:r>
      <w:r w:rsidR="003C72CE" w:rsidRPr="003C72CE">
        <w:rPr>
          <w:lang w:val="uk-UA"/>
        </w:rPr>
        <w:t>.) [</w:t>
      </w:r>
      <w:r w:rsidRPr="003C72CE">
        <w:rPr>
          <w:lang w:val="uk-UA"/>
        </w:rPr>
        <w:t>7</w:t>
      </w:r>
      <w:r w:rsidR="003C72CE" w:rsidRPr="003C72CE">
        <w:rPr>
          <w:lang w:val="uk-UA"/>
        </w:rPr>
        <w:t xml:space="preserve">].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ратифікована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тільки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мінімальні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забезпечення”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№102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Важливе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значення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належного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здійснення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профспілкової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діяльності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сфері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працівників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положення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асоціації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організацію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87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Так,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87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працівники,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різниці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створювати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вибір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попереднього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дозволу,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вступати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єдиною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умовою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підлягати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статутам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останніх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87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забороняє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органам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влади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здійснювати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втручання,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здатне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обмежити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перешкодити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профспілкових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опрацьовувати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статути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адміністративні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регламенти,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вільно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обирати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своїх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представників,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організовувати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апарат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діяльність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формулювати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програму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дій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працівників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підлягають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розпускові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тимчасовій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забороні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адміністративному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порядку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принципів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ведення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колективних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переговорів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98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захищає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працівників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об’єднання,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запоруку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належного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колективного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інтересів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Так,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98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трудівники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належний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дискримінаційних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дій,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спрямованих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обмеження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об’єднання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галузі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Такий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застосовується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особливо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дій,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метою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підпорядкувати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прийняття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трудівника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збереження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умові,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щоб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вступав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профспілки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вийшов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профспілки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b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звільняти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інший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спосіб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завдавати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шкоди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трудівникові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підставі,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членом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профспілки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бере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участь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профспілковій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діяльності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неробочий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згодою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підприємця,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робочий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Відповідно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98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трудівників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повинні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належний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актів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втручання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підприємців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їхніх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агентів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членів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створення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діяльність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керування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ними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Зокрема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розглядаються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втручання,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сприяти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заснуванню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трудівників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пануванням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підприємців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підприємців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підтримувати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трудівників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шляхом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фінансування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іншим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шляхом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метою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поставити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контроль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підприємців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підприємців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Без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сумніву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велике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значення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гендерної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відносинах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винагородження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чоловіків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жінок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цінності”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№100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Так,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№100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закріплює,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ратифікувала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повинна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всіх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трудівників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принципу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винагородження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чоловіків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жінок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цінності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Цей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принцип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застосовуватись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шляхом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законодавства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b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системи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винагородження,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встановленої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законодавством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с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колективних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договорів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підприємцями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трудівниками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d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поєднання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різних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способів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суперечить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принципові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винагородження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чоловіків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жінок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цінності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різниця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ставках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винагородження,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котра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незалежно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різниці,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випливає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об’єктивної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оцінки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виконуваної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роботи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Методи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оцінки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можуть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об’єктом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влади,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компетентної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галузі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ставок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винагородження,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сторін,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котрі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беруть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участь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колективних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договорах,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ставки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винагородження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визначається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договорами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rPr>
          <w:lang w:val="uk-UA"/>
        </w:rPr>
      </w:pPr>
      <w:r w:rsidRPr="003C72CE">
        <w:rPr>
          <w:lang w:val="uk-UA"/>
        </w:rPr>
        <w:t>Важко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переоцінити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важливість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дискримінацію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галузі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занять”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111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інтересів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Передусім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цей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акт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терміну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„дискримінація”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Так,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№111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термін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„дискримінація”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охоплює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a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розрізнення,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недопущення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перевагу,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робиться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ознакою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раси,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кольору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шкіри,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статі,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релігії,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політичних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переконань,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іноземного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походження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походження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призводить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знищення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можливостей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галузі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занять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b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інше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розрізнення,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недопущення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перевагу,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призводить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знищення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можливостей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галузі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занять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визначається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членом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після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консультації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представницькими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організаціями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роботодавців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працівників,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іншими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відповідними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органами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3C72CE">
        <w:rPr>
          <w:lang w:val="uk-UA"/>
        </w:rPr>
        <w:t>Дискримінацією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розумінні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№111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вважається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розрізнення,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недопущення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перевага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відносно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певної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роботи,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ґрунтується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специфічних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вимогах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№111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зобов’язує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країну,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ратифікувала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визначити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проводити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політику,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спрямовану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заохочення,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методами,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узгоджуються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умовами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практикою,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можливостей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стосовно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занять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метою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викорінення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дискримінації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приводу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них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метою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політики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кожний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член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чинною,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зобов’язується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методами,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відповідають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умовам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практиці</w:t>
      </w:r>
      <w:r w:rsidR="003C72CE" w:rsidRPr="003C72CE">
        <w:rPr>
          <w:lang w:val="uk-UA"/>
        </w:rPr>
        <w:t>: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a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прагнути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забезпечити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співробітництво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організацій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роботодавців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працівників,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також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інших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належних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органів</w:t>
      </w:r>
      <w:r w:rsidR="003C72CE" w:rsidRPr="003C72CE">
        <w:rPr>
          <w:color w:val="000000"/>
          <w:sz w:val="28"/>
          <w:szCs w:val="28"/>
          <w:lang w:val="uk-UA"/>
        </w:rPr>
        <w:t>;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b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ввести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таке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законодавство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заохочувати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такі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освітні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програми,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які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зможуть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забезпечити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ухвалення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дотримання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цієї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політики</w:t>
      </w:r>
      <w:r w:rsidR="003C72CE" w:rsidRPr="003C72CE">
        <w:rPr>
          <w:color w:val="000000"/>
          <w:sz w:val="28"/>
          <w:szCs w:val="28"/>
          <w:lang w:val="uk-UA"/>
        </w:rPr>
        <w:t>;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c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скасовувати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будь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які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законодавчі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положення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змінювати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будь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які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адміністративні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інструкції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або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практику,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збігаються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цією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політикою</w:t>
      </w:r>
      <w:r w:rsidR="003C72CE" w:rsidRPr="003C72CE">
        <w:rPr>
          <w:color w:val="000000"/>
          <w:sz w:val="28"/>
          <w:szCs w:val="28"/>
          <w:lang w:val="uk-UA"/>
        </w:rPr>
        <w:t>;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d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проводити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встановлену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політику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галузі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під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безпосереднім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контролем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державної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влади</w:t>
      </w:r>
      <w:r w:rsidR="003C72CE" w:rsidRPr="003C72CE">
        <w:rPr>
          <w:color w:val="000000"/>
          <w:sz w:val="28"/>
          <w:szCs w:val="28"/>
          <w:lang w:val="uk-UA"/>
        </w:rPr>
        <w:t>;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e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забезпечувати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дотримання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встановленої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політики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діяльності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установ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питань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професійної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орієнтації,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професійного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навчання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працевлаштування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під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керівництвом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державної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влади</w:t>
      </w:r>
      <w:r w:rsidR="003C72CE" w:rsidRPr="003C72CE">
        <w:rPr>
          <w:color w:val="000000"/>
          <w:sz w:val="28"/>
          <w:szCs w:val="28"/>
          <w:lang w:val="uk-UA"/>
        </w:rPr>
        <w:t>;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f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зазначати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своїй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щорічній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доповіді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застосування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Конвенції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заходи,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проведені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відповідно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згаданої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політики,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досягнуті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допомогою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цих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заходів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результати</w:t>
      </w:r>
      <w:r w:rsidR="003C72CE" w:rsidRPr="003C72CE">
        <w:rPr>
          <w:color w:val="000000"/>
          <w:sz w:val="28"/>
          <w:szCs w:val="28"/>
          <w:lang w:val="uk-UA"/>
        </w:rPr>
        <w:t>.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Не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можна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оминути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увагою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Конвенцію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МОП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„Про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заборону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негайні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заходи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щодо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ліквідації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найгірших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форм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дитячої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пращ”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182,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як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таку,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яка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стоїть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сторожі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свобод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підлітків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сфері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</w:t>
      </w:r>
      <w:r w:rsidR="003C72CE" w:rsidRPr="003C72CE">
        <w:rPr>
          <w:color w:val="000000"/>
          <w:sz w:val="28"/>
          <w:szCs w:val="28"/>
          <w:lang w:val="uk-UA"/>
        </w:rPr>
        <w:t>.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Слід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зазначити,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захист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 - </w:t>
      </w:r>
      <w:r w:rsidRPr="003C72CE">
        <w:rPr>
          <w:color w:val="000000"/>
          <w:sz w:val="28"/>
          <w:szCs w:val="28"/>
          <w:lang w:val="uk-UA"/>
        </w:rPr>
        <w:t>головний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предмет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заклопотаності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багатьох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людей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організацій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дитячою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працею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Діти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вразливі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багатьох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відносинах,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дитинство</w:t>
      </w:r>
      <w:r w:rsidR="003C72CE" w:rsidRPr="003C72CE">
        <w:rPr>
          <w:color w:val="000000"/>
          <w:sz w:val="28"/>
          <w:szCs w:val="28"/>
          <w:lang w:val="uk-UA"/>
        </w:rPr>
        <w:t xml:space="preserve"> - </w:t>
      </w:r>
      <w:r w:rsidRPr="003C72CE">
        <w:rPr>
          <w:color w:val="000000"/>
          <w:sz w:val="28"/>
          <w:szCs w:val="28"/>
          <w:lang w:val="uk-UA"/>
        </w:rPr>
        <w:t>це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період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життя,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коли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потрібен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особливий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захист</w:t>
      </w:r>
      <w:r w:rsidR="003C72CE" w:rsidRPr="003C72CE">
        <w:rPr>
          <w:color w:val="000000"/>
          <w:sz w:val="28"/>
          <w:szCs w:val="28"/>
          <w:lang w:val="uk-UA"/>
        </w:rPr>
        <w:t xml:space="preserve">; </w:t>
      </w:r>
      <w:r w:rsidRPr="003C72CE">
        <w:rPr>
          <w:color w:val="000000"/>
          <w:sz w:val="28"/>
          <w:szCs w:val="28"/>
          <w:lang w:val="uk-UA"/>
        </w:rPr>
        <w:t>крім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того,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працю</w:t>
      </w:r>
      <w:r w:rsidR="003C72CE">
        <w:rPr>
          <w:color w:val="000000"/>
          <w:sz w:val="28"/>
          <w:szCs w:val="28"/>
          <w:lang w:val="uk-UA"/>
        </w:rPr>
        <w:t>ю</w:t>
      </w:r>
      <w:r w:rsidRPr="003C72CE">
        <w:rPr>
          <w:color w:val="000000"/>
          <w:sz w:val="28"/>
          <w:szCs w:val="28"/>
          <w:lang w:val="uk-UA"/>
        </w:rPr>
        <w:t>чі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часто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служать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об'єктами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зловживань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експлуатації</w:t>
      </w:r>
      <w:r w:rsidR="003C72CE" w:rsidRPr="003C72CE">
        <w:rPr>
          <w:color w:val="000000"/>
          <w:sz w:val="28"/>
          <w:szCs w:val="28"/>
          <w:lang w:val="uk-UA"/>
        </w:rPr>
        <w:t>.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Комітет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Міжнародної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Організації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застосуванню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конвенцій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рекомендацій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володіє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інформацію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використання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рабської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Діти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продаються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батьками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роботи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килимарстві,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скляних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майстернях,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занять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проституцією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Дитяче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рабство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подібного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роду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відомо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Південно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Східній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Азії,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Західній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Африці,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незважаючи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офіційно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така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практика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рішуче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відкидається,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насправді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вона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широко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поширена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документально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підтверджується</w:t>
      </w:r>
      <w:r w:rsidR="003C72CE" w:rsidRPr="003C72CE">
        <w:rPr>
          <w:color w:val="000000"/>
          <w:sz w:val="28"/>
          <w:szCs w:val="28"/>
          <w:lang w:val="uk-UA"/>
        </w:rPr>
        <w:t>.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Останнім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часом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сексуальна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експлуатація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стала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серйозною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глобальною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проблемою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Усе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більше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продається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купується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вивіз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кордон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Вважається,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існує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п'ять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міжнародних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злочинних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мереж,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займаються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кримінальним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постачанням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: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Латинської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Америки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Європу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Близькій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Схід</w:t>
      </w:r>
      <w:r w:rsidR="003C72CE" w:rsidRPr="003C72CE">
        <w:rPr>
          <w:color w:val="000000"/>
          <w:sz w:val="28"/>
          <w:szCs w:val="28"/>
          <w:lang w:val="uk-UA"/>
        </w:rPr>
        <w:t xml:space="preserve">;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Південної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Південно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Східної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Азії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Північну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Європу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Близький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Схід</w:t>
      </w:r>
      <w:r w:rsidR="003C72CE" w:rsidRPr="003C72CE">
        <w:rPr>
          <w:color w:val="000000"/>
          <w:sz w:val="28"/>
          <w:szCs w:val="28"/>
          <w:lang w:val="uk-UA"/>
        </w:rPr>
        <w:t xml:space="preserve">; </w:t>
      </w:r>
      <w:r w:rsidRPr="003C72CE">
        <w:rPr>
          <w:color w:val="000000"/>
          <w:sz w:val="28"/>
          <w:szCs w:val="28"/>
          <w:lang w:val="uk-UA"/>
        </w:rPr>
        <w:t>європейський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регіональний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ринок</w:t>
      </w:r>
      <w:r w:rsidR="003C72CE" w:rsidRPr="003C72CE">
        <w:rPr>
          <w:color w:val="000000"/>
          <w:sz w:val="28"/>
          <w:szCs w:val="28"/>
          <w:lang w:val="uk-UA"/>
        </w:rPr>
        <w:t xml:space="preserve">; </w:t>
      </w:r>
      <w:r w:rsidRPr="003C72CE">
        <w:rPr>
          <w:color w:val="000000"/>
          <w:sz w:val="28"/>
          <w:szCs w:val="28"/>
          <w:lang w:val="uk-UA"/>
        </w:rPr>
        <w:t>об'єднаний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арабський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регіональний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ринок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Західно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Африканський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експорт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дівчат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Східній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Європі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даний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час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вивіз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йде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сходу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захід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Дівчата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</w:t>
      </w:r>
      <w:r w:rsidR="003C72CE">
        <w:rPr>
          <w:color w:val="000000"/>
          <w:sz w:val="28"/>
          <w:szCs w:val="28"/>
          <w:lang w:val="uk-UA"/>
        </w:rPr>
        <w:t>і</w:t>
      </w:r>
      <w:r w:rsidRPr="003C72CE">
        <w:rPr>
          <w:color w:val="000000"/>
          <w:sz w:val="28"/>
          <w:szCs w:val="28"/>
          <w:lang w:val="uk-UA"/>
        </w:rPr>
        <w:t>л</w:t>
      </w:r>
      <w:r w:rsidR="003C72CE">
        <w:rPr>
          <w:color w:val="000000"/>
          <w:sz w:val="28"/>
          <w:szCs w:val="28"/>
          <w:lang w:val="uk-UA"/>
        </w:rPr>
        <w:t>о</w:t>
      </w:r>
      <w:r w:rsidRPr="003C72CE">
        <w:rPr>
          <w:color w:val="000000"/>
          <w:sz w:val="28"/>
          <w:szCs w:val="28"/>
          <w:lang w:val="uk-UA"/>
        </w:rPr>
        <w:t>русі,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Росії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України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вивозяться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Угорщину,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Польщу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Прибалтику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або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західноєвропейські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столиці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Мається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ряд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чітко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сформованих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шляхів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торгівлі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„білим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товаром”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Румунії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потік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повій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спрямований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Італію,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Кіпр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Туреччину</w:t>
      </w:r>
      <w:r w:rsidR="003C72CE" w:rsidRPr="003C72CE">
        <w:rPr>
          <w:color w:val="000000"/>
          <w:sz w:val="28"/>
          <w:szCs w:val="28"/>
          <w:lang w:val="uk-UA"/>
        </w:rPr>
        <w:t xml:space="preserve">;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Південно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Східної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Азії</w:t>
      </w:r>
      <w:r w:rsidR="003C72CE" w:rsidRPr="003C72CE">
        <w:rPr>
          <w:color w:val="000000"/>
          <w:sz w:val="28"/>
          <w:szCs w:val="28"/>
          <w:lang w:val="uk-UA"/>
        </w:rPr>
        <w:t xml:space="preserve"> -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Австралію,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Нову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Зеландію,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Японію,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США,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Тайвань</w:t>
      </w:r>
      <w:r w:rsidR="003C72CE" w:rsidRPr="003C72CE">
        <w:rPr>
          <w:color w:val="000000"/>
          <w:sz w:val="28"/>
          <w:szCs w:val="28"/>
          <w:lang w:val="uk-UA"/>
        </w:rPr>
        <w:t xml:space="preserve">;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Індії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Пакистану</w:t>
      </w:r>
      <w:r w:rsidR="003C72CE" w:rsidRPr="003C72CE">
        <w:rPr>
          <w:color w:val="000000"/>
          <w:sz w:val="28"/>
          <w:szCs w:val="28"/>
          <w:lang w:val="uk-UA"/>
        </w:rPr>
        <w:t xml:space="preserve"> -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Близький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Схід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За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даними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bCs/>
          <w:color w:val="000000"/>
          <w:sz w:val="28"/>
          <w:szCs w:val="28"/>
          <w:lang w:val="uk-UA"/>
        </w:rPr>
        <w:t>ООН,</w:t>
      </w:r>
      <w:r w:rsidR="003C72CE" w:rsidRPr="003C72CE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близько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1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млн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Азії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є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жертвами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сексуальної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торгівлі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Зведення,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почерпнуті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преси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неурядових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організацій,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указують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те,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торгівля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дівчинками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між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Таїландом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сусідніми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країнами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розростається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Латинській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Америці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значне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число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працює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живе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вулиці,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вони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легко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стають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жертвами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комерційної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сексуальної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експлуатації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Африці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також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багато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країн</w:t>
      </w:r>
      <w:r w:rsidR="003C72CE">
        <w:rPr>
          <w:color w:val="000000"/>
          <w:sz w:val="28"/>
          <w:szCs w:val="28"/>
          <w:lang w:val="uk-UA"/>
        </w:rPr>
        <w:t xml:space="preserve"> (</w:t>
      </w:r>
      <w:r w:rsidRPr="003C72CE">
        <w:rPr>
          <w:color w:val="000000"/>
          <w:sz w:val="28"/>
          <w:szCs w:val="28"/>
          <w:lang w:val="uk-UA"/>
        </w:rPr>
        <w:t>Буркіна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Фасо,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Кот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д'Івуар,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Гана,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Кенія,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Замбія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Зімбабве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зштовхнулися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ростом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дитячої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проституції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Збільшення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дитячої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сексуальної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торгівлі,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безсумнівно,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стало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результатом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інтернаціоналізації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секс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туризму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разом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неправильним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уявленням,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ризик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заразитися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ВІЛ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інфекцією/СНІДом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малолітніми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партнерами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менше,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ніж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дорослими</w:t>
      </w:r>
      <w:r w:rsidR="003C72CE" w:rsidRPr="003C72CE">
        <w:rPr>
          <w:color w:val="000000"/>
          <w:sz w:val="28"/>
          <w:szCs w:val="28"/>
          <w:lang w:val="uk-UA"/>
        </w:rPr>
        <w:t xml:space="preserve"> [</w:t>
      </w:r>
      <w:r w:rsidRPr="003C72CE">
        <w:rPr>
          <w:color w:val="000000"/>
          <w:sz w:val="28"/>
          <w:szCs w:val="28"/>
          <w:lang w:val="uk-UA"/>
        </w:rPr>
        <w:t>9,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</w:t>
      </w:r>
      <w:r w:rsidR="003C72CE">
        <w:rPr>
          <w:color w:val="000000"/>
          <w:sz w:val="28"/>
          <w:szCs w:val="28"/>
          <w:lang w:val="uk-UA"/>
        </w:rPr>
        <w:t>.3</w:t>
      </w:r>
      <w:r w:rsidRPr="003C72CE">
        <w:rPr>
          <w:color w:val="000000"/>
          <w:sz w:val="28"/>
          <w:szCs w:val="28"/>
          <w:lang w:val="uk-UA"/>
        </w:rPr>
        <w:t>8</w:t>
      </w:r>
      <w:r w:rsidR="003C72CE" w:rsidRPr="003C72CE">
        <w:rPr>
          <w:color w:val="000000"/>
          <w:sz w:val="28"/>
          <w:szCs w:val="28"/>
          <w:lang w:val="uk-UA"/>
        </w:rPr>
        <w:t>].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Розуміючи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такий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стан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справ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світова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спільнота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прийшла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загальної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думки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щодо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того,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необхідно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вважати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неприйнятними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формами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дитячої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Конвенція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МОП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„Про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заборону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негайні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заходи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щодо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ліквідації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найгірших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форм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дитячої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пращ”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182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відбиває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цю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заклопотаність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прихильність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міжнародного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співтовариства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справі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ліквідації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найгірших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форм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дитячої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Так,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під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найгіршими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формами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дитячої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Конвенції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розуміються</w:t>
      </w:r>
      <w:r w:rsidR="003C72CE" w:rsidRPr="003C72CE">
        <w:rPr>
          <w:color w:val="000000"/>
          <w:sz w:val="28"/>
          <w:szCs w:val="28"/>
          <w:lang w:val="uk-UA"/>
        </w:rPr>
        <w:t xml:space="preserve">: </w:t>
      </w:r>
      <w:r w:rsidRPr="003C72CE">
        <w:rPr>
          <w:color w:val="000000"/>
          <w:sz w:val="28"/>
          <w:szCs w:val="28"/>
          <w:lang w:val="uk-UA"/>
        </w:rPr>
        <w:t>a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усі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форми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рабства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або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практика,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подібна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рабства,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як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наприклад,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продаж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торгівля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ними,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боргова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кабала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кріпосна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залежність,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також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примусова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обов’язкова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праця,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включаючи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примусове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обов’язкове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вербування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використання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їх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збройних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конфліктах</w:t>
      </w:r>
      <w:r w:rsidR="003C72CE" w:rsidRPr="003C72CE">
        <w:rPr>
          <w:color w:val="000000"/>
          <w:sz w:val="28"/>
          <w:szCs w:val="28"/>
          <w:lang w:val="uk-UA"/>
        </w:rPr>
        <w:t xml:space="preserve">; </w:t>
      </w:r>
      <w:r w:rsidRPr="003C72CE">
        <w:rPr>
          <w:color w:val="000000"/>
          <w:sz w:val="28"/>
          <w:szCs w:val="28"/>
          <w:lang w:val="uk-UA"/>
        </w:rPr>
        <w:t>b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використання,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вербування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або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пропонування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дитини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заняття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проституцією,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виробництва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порнографічної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продукції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порнографічних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вистав</w:t>
      </w:r>
      <w:r w:rsidR="003C72CE" w:rsidRPr="003C72CE">
        <w:rPr>
          <w:color w:val="000000"/>
          <w:sz w:val="28"/>
          <w:szCs w:val="28"/>
          <w:lang w:val="uk-UA"/>
        </w:rPr>
        <w:t xml:space="preserve">; </w:t>
      </w:r>
      <w:r w:rsidRPr="003C72CE">
        <w:rPr>
          <w:color w:val="000000"/>
          <w:sz w:val="28"/>
          <w:szCs w:val="28"/>
          <w:lang w:val="uk-UA"/>
        </w:rPr>
        <w:t>c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використання,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вербування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або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пропонування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дитини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незаконної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діяльності,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зокрема,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виробництва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продажу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наркотиків,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як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це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визначено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відповідних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міжнародних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договорах</w:t>
      </w:r>
      <w:r w:rsidR="003C72CE" w:rsidRPr="003C72CE">
        <w:rPr>
          <w:color w:val="000000"/>
          <w:sz w:val="28"/>
          <w:szCs w:val="28"/>
          <w:lang w:val="uk-UA"/>
        </w:rPr>
        <w:t xml:space="preserve">; </w:t>
      </w:r>
      <w:r w:rsidRPr="003C72CE">
        <w:rPr>
          <w:color w:val="000000"/>
          <w:sz w:val="28"/>
          <w:szCs w:val="28"/>
          <w:lang w:val="uk-UA"/>
        </w:rPr>
        <w:t>d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робота,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яка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своїм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характером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умовами,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яких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вона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виконується,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може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завдати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шкоди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здоров’ю,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безпеці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моральності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дітей</w:t>
      </w:r>
      <w:r w:rsidR="003C72CE" w:rsidRPr="003C72CE">
        <w:rPr>
          <w:color w:val="000000"/>
          <w:sz w:val="28"/>
          <w:szCs w:val="28"/>
          <w:lang w:val="uk-UA"/>
        </w:rPr>
        <w:t>.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Стаття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1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Конвенції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182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містить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імперативну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норму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держав,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які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її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ратифікували,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щодо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негайного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вживання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ефективних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заходів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щодо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забезпечення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терміновому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порядку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заборони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ліквідації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вищенаведених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форм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дитячої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</w:t>
      </w:r>
      <w:r w:rsidR="003C72CE" w:rsidRPr="003C72CE">
        <w:rPr>
          <w:color w:val="000000"/>
          <w:sz w:val="28"/>
          <w:szCs w:val="28"/>
          <w:lang w:val="uk-UA"/>
        </w:rPr>
        <w:t>.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Досі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ратифікована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Конвенція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МОП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„Про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мінімальні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норми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соціального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забезпечення”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№102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містить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доволі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високі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стандарти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сфері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соціального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забезпечення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Виходячи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положень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даної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конвенції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Міжнародна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організація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складових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соціального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забезпечення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населення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відносить</w:t>
      </w:r>
      <w:r w:rsidR="003C72CE" w:rsidRPr="003C72CE">
        <w:rPr>
          <w:color w:val="000000"/>
          <w:sz w:val="28"/>
          <w:szCs w:val="28"/>
          <w:lang w:val="uk-UA"/>
        </w:rPr>
        <w:t xml:space="preserve">: </w:t>
      </w:r>
      <w:r w:rsidRPr="003C72CE">
        <w:rPr>
          <w:color w:val="000000"/>
          <w:sz w:val="28"/>
          <w:szCs w:val="28"/>
          <w:lang w:val="uk-UA"/>
        </w:rPr>
        <w:t>медичну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допомогу,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допомогу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зв’язку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хворобою,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допомогу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безробіттю,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допомогу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старості,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допомогу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разі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трудового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каліцтва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або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професійного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захворювання,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сімейні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допомоги,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допомогу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зв’язку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вагітністю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пологами,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допомогу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інвалідності,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допомогу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зв’язку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втратою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годувальника</w:t>
      </w:r>
      <w:r w:rsidR="003C72CE" w:rsidRPr="003C72CE">
        <w:rPr>
          <w:color w:val="000000"/>
          <w:sz w:val="28"/>
          <w:szCs w:val="28"/>
          <w:lang w:val="uk-UA"/>
        </w:rPr>
        <w:t>.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Слід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зазначити,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національне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законодавство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цілому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відповідає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нормам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вищезазначених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конвенцій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Міжнародної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Організації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Праці,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той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же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час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небажання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ратифікувати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таку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важливу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для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захисту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соціально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економічних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громадян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України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конвенцію</w:t>
      </w:r>
      <w:r w:rsidR="003C72CE">
        <w:rPr>
          <w:color w:val="000000"/>
          <w:sz w:val="28"/>
          <w:szCs w:val="28"/>
          <w:lang w:val="uk-UA"/>
        </w:rPr>
        <w:t xml:space="preserve"> (</w:t>
      </w:r>
      <w:r w:rsidRPr="003C72CE">
        <w:rPr>
          <w:color w:val="000000"/>
          <w:sz w:val="28"/>
          <w:szCs w:val="28"/>
          <w:lang w:val="uk-UA"/>
        </w:rPr>
        <w:t>Конвенція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№102</w:t>
      </w:r>
      <w:r w:rsidR="003C72CE" w:rsidRPr="003C72CE">
        <w:rPr>
          <w:color w:val="000000"/>
          <w:sz w:val="28"/>
          <w:szCs w:val="28"/>
          <w:lang w:val="uk-UA"/>
        </w:rPr>
        <w:t xml:space="preserve">) </w:t>
      </w:r>
      <w:r w:rsidRPr="003C72CE">
        <w:rPr>
          <w:color w:val="000000"/>
          <w:sz w:val="28"/>
          <w:szCs w:val="28"/>
          <w:lang w:val="uk-UA"/>
        </w:rPr>
        <w:t>свідчить,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сьогодні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ще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не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все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добре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можливостями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держави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соціальній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сфері</w:t>
      </w:r>
      <w:r w:rsidR="003C72CE" w:rsidRPr="003C72CE">
        <w:rPr>
          <w:color w:val="000000"/>
          <w:sz w:val="28"/>
          <w:szCs w:val="28"/>
          <w:lang w:val="uk-UA"/>
        </w:rPr>
        <w:t>.</w:t>
      </w:r>
    </w:p>
    <w:p w:rsidR="003C72CE" w:rsidRPr="003C72CE" w:rsidRDefault="00445481" w:rsidP="003C72CE">
      <w:pPr>
        <w:pStyle w:val="Just"/>
        <w:tabs>
          <w:tab w:val="left" w:pos="726"/>
        </w:tabs>
        <w:spacing w:before="0" w:after="0" w:line="360" w:lineRule="auto"/>
        <w:ind w:firstLine="709"/>
        <w:rPr>
          <w:color w:val="000000"/>
          <w:sz w:val="28"/>
          <w:szCs w:val="28"/>
          <w:lang w:val="uk-UA"/>
        </w:rPr>
      </w:pPr>
      <w:r w:rsidRPr="003C72CE">
        <w:rPr>
          <w:color w:val="000000"/>
          <w:sz w:val="28"/>
          <w:szCs w:val="28"/>
          <w:lang w:val="uk-UA"/>
        </w:rPr>
        <w:t>Поряд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міжнародними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стандартами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сфері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забезпечення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та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захисту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соціально</w:t>
      </w:r>
      <w:r w:rsidR="003C72CE" w:rsidRPr="003C72CE">
        <w:rPr>
          <w:color w:val="000000"/>
          <w:sz w:val="28"/>
          <w:szCs w:val="28"/>
          <w:lang w:val="uk-UA"/>
        </w:rPr>
        <w:t>-</w:t>
      </w:r>
      <w:r w:rsidRPr="003C72CE">
        <w:rPr>
          <w:color w:val="000000"/>
          <w:sz w:val="28"/>
          <w:szCs w:val="28"/>
          <w:lang w:val="uk-UA"/>
        </w:rPr>
        <w:t>економічних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людини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слід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виділити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європейські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стандарти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цій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галузі</w:t>
      </w:r>
      <w:r w:rsidR="003C72CE" w:rsidRPr="003C72CE">
        <w:rPr>
          <w:color w:val="000000"/>
          <w:sz w:val="28"/>
          <w:szCs w:val="28"/>
          <w:lang w:val="uk-UA"/>
        </w:rPr>
        <w:t xml:space="preserve">. </w:t>
      </w:r>
      <w:r w:rsidRPr="003C72CE">
        <w:rPr>
          <w:color w:val="000000"/>
          <w:sz w:val="28"/>
          <w:szCs w:val="28"/>
          <w:lang w:val="uk-UA"/>
        </w:rPr>
        <w:t>Останні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закріплені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головним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чином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Європейській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конвенції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про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захист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прав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людини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основних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свобод</w:t>
      </w:r>
      <w:r w:rsidR="003C72CE">
        <w:rPr>
          <w:color w:val="000000"/>
          <w:sz w:val="28"/>
          <w:szCs w:val="28"/>
          <w:lang w:val="uk-UA"/>
        </w:rPr>
        <w:t xml:space="preserve"> (</w:t>
      </w:r>
      <w:r w:rsidRPr="003C72CE">
        <w:rPr>
          <w:color w:val="000000"/>
          <w:sz w:val="28"/>
          <w:szCs w:val="28"/>
          <w:lang w:val="uk-UA"/>
        </w:rPr>
        <w:t>1950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</w:t>
      </w:r>
      <w:r w:rsidR="003C72CE" w:rsidRPr="003C72CE">
        <w:rPr>
          <w:color w:val="000000"/>
          <w:sz w:val="28"/>
          <w:szCs w:val="28"/>
          <w:lang w:val="uk-UA"/>
        </w:rPr>
        <w:t xml:space="preserve">.), </w:t>
      </w:r>
      <w:r w:rsidRPr="003C72CE">
        <w:rPr>
          <w:color w:val="000000"/>
          <w:sz w:val="28"/>
          <w:szCs w:val="28"/>
          <w:lang w:val="uk-UA"/>
        </w:rPr>
        <w:t>в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Європейській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соціальній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хартії</w:t>
      </w:r>
      <w:r w:rsidR="003C72CE">
        <w:rPr>
          <w:color w:val="000000"/>
          <w:sz w:val="28"/>
          <w:szCs w:val="28"/>
          <w:lang w:val="uk-UA"/>
        </w:rPr>
        <w:t xml:space="preserve"> (</w:t>
      </w:r>
      <w:r w:rsidRPr="003C72CE">
        <w:rPr>
          <w:color w:val="000000"/>
          <w:sz w:val="28"/>
          <w:szCs w:val="28"/>
          <w:lang w:val="uk-UA"/>
        </w:rPr>
        <w:t>1961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</w:t>
      </w:r>
      <w:r w:rsidR="003C72CE" w:rsidRPr="003C72CE">
        <w:rPr>
          <w:color w:val="000000"/>
          <w:sz w:val="28"/>
          <w:szCs w:val="28"/>
          <w:lang w:val="uk-UA"/>
        </w:rPr>
        <w:t xml:space="preserve">.) </w:t>
      </w:r>
      <w:r w:rsidRPr="003C72CE">
        <w:rPr>
          <w:color w:val="000000"/>
          <w:sz w:val="28"/>
          <w:szCs w:val="28"/>
          <w:lang w:val="uk-UA"/>
        </w:rPr>
        <w:t>і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у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Європейській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соціальній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хартії</w:t>
      </w:r>
      <w:r w:rsidR="003C72CE">
        <w:rPr>
          <w:color w:val="000000"/>
          <w:sz w:val="28"/>
          <w:szCs w:val="28"/>
          <w:lang w:val="uk-UA"/>
        </w:rPr>
        <w:t xml:space="preserve"> (</w:t>
      </w:r>
      <w:r w:rsidRPr="003C72CE">
        <w:rPr>
          <w:color w:val="000000"/>
          <w:sz w:val="28"/>
          <w:szCs w:val="28"/>
          <w:lang w:val="uk-UA"/>
        </w:rPr>
        <w:t>переглянутій</w:t>
      </w:r>
      <w:r w:rsidR="003C72CE" w:rsidRPr="003C72CE">
        <w:rPr>
          <w:color w:val="000000"/>
          <w:sz w:val="28"/>
          <w:szCs w:val="28"/>
          <w:lang w:val="uk-UA"/>
        </w:rPr>
        <w:t>)</w:t>
      </w:r>
      <w:r w:rsidR="003C72CE">
        <w:rPr>
          <w:color w:val="000000"/>
          <w:sz w:val="28"/>
          <w:szCs w:val="28"/>
          <w:lang w:val="uk-UA"/>
        </w:rPr>
        <w:t xml:space="preserve"> (</w:t>
      </w:r>
      <w:r w:rsidRPr="003C72CE">
        <w:rPr>
          <w:color w:val="000000"/>
          <w:sz w:val="28"/>
          <w:szCs w:val="28"/>
          <w:lang w:val="uk-UA"/>
        </w:rPr>
        <w:t>1996</w:t>
      </w:r>
      <w:r w:rsidR="003C72CE" w:rsidRPr="003C72CE">
        <w:rPr>
          <w:color w:val="000000"/>
          <w:sz w:val="28"/>
          <w:szCs w:val="28"/>
          <w:lang w:val="uk-UA"/>
        </w:rPr>
        <w:t xml:space="preserve"> </w:t>
      </w:r>
      <w:r w:rsidRPr="003C72CE">
        <w:rPr>
          <w:color w:val="000000"/>
          <w:sz w:val="28"/>
          <w:szCs w:val="28"/>
          <w:lang w:val="uk-UA"/>
        </w:rPr>
        <w:t>р</w:t>
      </w:r>
      <w:r w:rsidR="003C72CE" w:rsidRPr="003C72CE">
        <w:rPr>
          <w:color w:val="000000"/>
          <w:sz w:val="28"/>
          <w:szCs w:val="28"/>
          <w:lang w:val="uk-UA"/>
        </w:rPr>
        <w:t>.).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документах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зведені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закріплені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актах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ООН,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конвенціях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рекомендаціях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Вони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вносять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деякі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зміни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урахуванням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регіональної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специфіки,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доповнюють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урахуванням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новітніх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тенденцій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розвитку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країн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цілому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світовому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масштабі,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втіленням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еталона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умов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охорони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трудових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працівників,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еталона,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повинні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системи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країн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учасниць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Європи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основних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присвячена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Pr="003C72CE">
        <w:rPr>
          <w:lang w:val="uk-UA"/>
        </w:rPr>
        <w:t>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забороняє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примусову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обов'язкову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Проте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поняття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примусової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виключається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a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робота,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звичайно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вимагається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тримання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вартою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умовного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звільнення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під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варти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b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служба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військового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характеру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або,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випадку,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особа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відмовляється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релігійних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політичних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мотивів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країнах,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відмова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визнається,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служба,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виконуватися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замість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обов’язкової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військової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служби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c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служба,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виконуватися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випадку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надзвичайної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ситуації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стихійного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лиха,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загрожує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життю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благополуччю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суспільства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d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будь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служба,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входить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звичайні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громадянські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обов’язки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Стосовно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хартії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1961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хартії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переглянутій</w:t>
      </w:r>
      <w:r w:rsidR="003C72CE" w:rsidRPr="003C72CE">
        <w:rPr>
          <w:lang w:val="uk-UA"/>
        </w:rPr>
        <w:t>)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1996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</w:t>
      </w:r>
      <w:r w:rsidR="003C72CE" w:rsidRPr="003C72CE">
        <w:rPr>
          <w:lang w:val="uk-UA"/>
        </w:rPr>
        <w:t xml:space="preserve">.), </w:t>
      </w:r>
      <w:r w:rsidRPr="003C72CE">
        <w:rPr>
          <w:lang w:val="uk-UA"/>
        </w:rPr>
        <w:t>то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документи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повністю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присвячені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закріпленню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Різниця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складається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хартія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переглянута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включає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більше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позитиву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діяльності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нашої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віднести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саме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хартію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переглянуту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ратифікувала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Україна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сторожі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правових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закріплюють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стоять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спеціально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створені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інституції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Серед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чільне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місце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посідає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Діяльність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регулюється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розділом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II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„Європейський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основних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Виходячи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пріоритету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стандартів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галузі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законодавством,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сприяє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практиці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безпосереднього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цього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принципу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органами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самим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затверджується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принципово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звертатися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позовом,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заснованим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діючих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нормах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іншими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словами,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порядок,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забезпечує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[</w:t>
      </w:r>
      <w:r w:rsidRPr="003C72CE">
        <w:rPr>
          <w:lang w:val="uk-UA"/>
        </w:rPr>
        <w:t>18,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15</w:t>
      </w:r>
      <w:r w:rsidR="003C72CE" w:rsidRPr="003C72CE">
        <w:rPr>
          <w:lang w:val="uk-UA"/>
        </w:rPr>
        <w:t>].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відомо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велика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кількість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скарг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надходить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свідчить,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становище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нашій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країні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продовжує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залишатися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несприятливим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громадян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зберігається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низький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довіри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вітчизняних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спрямовані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недостатньо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виконуються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багатьох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регіонах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країни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Існує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багато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невирішених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правових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проблем,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досить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значна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кількість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правопорушень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числі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питаннях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дотримання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конституційних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</w:t>
      </w:r>
      <w:r w:rsidR="003C72CE" w:rsidRPr="003C72CE">
        <w:rPr>
          <w:lang w:val="uk-UA"/>
        </w:rPr>
        <w:t xml:space="preserve">; </w:t>
      </w:r>
      <w:r w:rsidRPr="003C72CE">
        <w:rPr>
          <w:lang w:val="uk-UA"/>
        </w:rPr>
        <w:t>невелика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кількість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позитивних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випадків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розгляду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питань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часте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невиконання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різних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рівнів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громадяни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звертаються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самим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різним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питанням,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пов'язаним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Слід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зазначити,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великий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відсоток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скарг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стосується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саме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Характерними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справи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„</w:t>
      </w:r>
      <w:r w:rsidRPr="003C72CE">
        <w:rPr>
          <w:bCs/>
          <w:lang w:val="uk-UA"/>
        </w:rPr>
        <w:t>Сікорська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проти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України</w:t>
      </w:r>
      <w:r w:rsidR="003C72CE">
        <w:rPr>
          <w:bCs/>
          <w:lang w:val="uk-UA"/>
        </w:rPr>
        <w:t xml:space="preserve">" </w:t>
      </w:r>
      <w:r w:rsidRPr="003C72CE">
        <w:rPr>
          <w:bCs/>
          <w:lang w:val="uk-UA"/>
        </w:rPr>
        <w:t>та</w:t>
      </w:r>
      <w:r w:rsidR="003C72CE" w:rsidRPr="003C72CE">
        <w:rPr>
          <w:bCs/>
          <w:lang w:val="uk-UA"/>
        </w:rPr>
        <w:t xml:space="preserve"> </w:t>
      </w:r>
      <w:r w:rsidRPr="003C72CE">
        <w:rPr>
          <w:lang w:val="uk-UA"/>
        </w:rPr>
        <w:t>„Моргуненко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України”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Так,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</w:t>
      </w:r>
      <w:r w:rsidRPr="003C72CE">
        <w:rPr>
          <w:bCs/>
          <w:lang w:val="uk-UA"/>
        </w:rPr>
        <w:t>Сікорська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проти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України</w:t>
      </w:r>
      <w:r w:rsidR="003C72CE">
        <w:rPr>
          <w:bCs/>
          <w:lang w:val="uk-UA"/>
        </w:rPr>
        <w:t xml:space="preserve">" </w:t>
      </w:r>
      <w:r w:rsidRPr="003C72CE">
        <w:rPr>
          <w:bCs/>
          <w:lang w:val="uk-UA"/>
        </w:rPr>
        <w:t>обставинами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справи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було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наступне</w:t>
      </w:r>
      <w:r w:rsidR="003C72CE" w:rsidRPr="003C72CE">
        <w:rPr>
          <w:bCs/>
          <w:lang w:val="uk-UA"/>
        </w:rPr>
        <w:t xml:space="preserve">. </w:t>
      </w:r>
      <w:r w:rsidRPr="003C72CE">
        <w:rPr>
          <w:lang w:val="uk-UA"/>
        </w:rPr>
        <w:t>Заявниця,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Ольга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Степанівна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Сікорська,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1952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н</w:t>
      </w:r>
      <w:r w:rsidR="003C72CE" w:rsidRPr="003C72CE">
        <w:rPr>
          <w:lang w:val="uk-UA"/>
        </w:rPr>
        <w:t xml:space="preserve">., </w:t>
      </w:r>
      <w:r w:rsidRPr="003C72CE">
        <w:rPr>
          <w:lang w:val="uk-UA"/>
        </w:rPr>
        <w:t>проживає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Житомирі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1988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працювала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вчителем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Житомирському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обласному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будинку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дитини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далі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будинок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дитини</w:t>
      </w:r>
      <w:r w:rsidR="003C72CE" w:rsidRPr="003C72CE">
        <w:rPr>
          <w:lang w:val="uk-UA"/>
        </w:rPr>
        <w:t>)</w:t>
      </w:r>
      <w:r w:rsidR="003C72CE">
        <w:rPr>
          <w:lang w:val="uk-UA"/>
        </w:rPr>
        <w:t>.2</w:t>
      </w:r>
      <w:r w:rsidRPr="003C72CE">
        <w:rPr>
          <w:lang w:val="uk-UA"/>
        </w:rPr>
        <w:t>7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вересня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Богунський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районний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Житомира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далі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) </w:t>
      </w:r>
      <w:r w:rsidRPr="003C72CE">
        <w:rPr>
          <w:lang w:val="uk-UA"/>
        </w:rPr>
        <w:t>зобов'язав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будинок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дитини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сплатити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3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483,60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грн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відшкодування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боргів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заробітної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плати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виплат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Житомирське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обласне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управління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юстиції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своєму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листі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жовтня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2003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поінформувало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користь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через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відсутність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коштів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боржника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листі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зазначено,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бюджет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2003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передбачав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виплати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вчителів,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Житомирська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обласна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адміністрація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звернулася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Міністерства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фінансів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запозичення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коштів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виплату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боргу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заявниці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27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вересня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залишається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невиконаним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листопаді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розпочала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будинку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дитини,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вимагаючи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поновлення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компенсацію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втрати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заробітної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плати</w:t>
      </w:r>
      <w:r w:rsidR="003C72CE">
        <w:rPr>
          <w:lang w:val="uk-UA"/>
        </w:rPr>
        <w:t>.3</w:t>
      </w:r>
      <w:r w:rsidRPr="003C72CE">
        <w:rPr>
          <w:lang w:val="uk-UA"/>
        </w:rPr>
        <w:t>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травня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відхилив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вимогу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необгрунтовану</w:t>
      </w:r>
      <w:r w:rsidR="003C72CE">
        <w:rPr>
          <w:lang w:val="uk-UA"/>
        </w:rPr>
        <w:t>.1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вересня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Житомирський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обласний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апеляційний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підтримав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>
        <w:rPr>
          <w:lang w:val="uk-UA"/>
        </w:rPr>
        <w:t>.1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лютого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2003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Верховний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відхилив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касаційну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скаргу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заявниці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bCs/>
          <w:lang w:val="uk-UA"/>
        </w:rPr>
        <w:t>Зміст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рішення</w:t>
      </w:r>
      <w:r w:rsidR="003C72CE" w:rsidRPr="003C72CE">
        <w:rPr>
          <w:bCs/>
          <w:lang w:val="uk-UA"/>
        </w:rPr>
        <w:t xml:space="preserve"> </w:t>
      </w:r>
      <w:r w:rsidRPr="003C72CE">
        <w:rPr>
          <w:lang w:val="uk-UA"/>
        </w:rPr>
        <w:t>Європейського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далі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). </w:t>
      </w:r>
      <w:r w:rsidRPr="003C72CE">
        <w:rPr>
          <w:lang w:val="uk-UA"/>
        </w:rPr>
        <w:t>Посилаючись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</w:t>
      </w:r>
      <w:r w:rsidR="003C72CE">
        <w:rPr>
          <w:lang w:val="uk-UA"/>
        </w:rPr>
        <w:t>.1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основних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далі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), </w:t>
      </w:r>
      <w:r w:rsidRPr="003C72CE">
        <w:rPr>
          <w:lang w:val="uk-UA"/>
        </w:rPr>
        <w:t>заявниця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скаржилася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невиконання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остаточного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користь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дійшов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висновку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скарга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згідно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торкається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питань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факту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питань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згідно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Конвенцією,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прийнятною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Уряд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необхідність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користь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заявниці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Він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стверджував,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27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вересня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залишилося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невиконаним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через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відсутність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бюджетних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коштів,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чергу,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спричинене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скрутною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фінансовою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ситуацією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державі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погодилася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заявниця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думку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даній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користь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затримано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п'ять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дев'ять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місяців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через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неможливість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передбачити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витрати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бюджеті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погодився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тим,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асигнації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бюджету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коштів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виплату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боргів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можуть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спричинити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певну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затримку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виконанні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рішень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Проте,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думку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держава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відповідач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досягнула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цілей,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передбачених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</w:t>
      </w:r>
      <w:r w:rsidR="003C72CE">
        <w:rPr>
          <w:lang w:val="uk-UA"/>
        </w:rPr>
        <w:t>.1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спромігшись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зробити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асигнування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протягом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декількох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років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Більше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того,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нестача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коштів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виправдати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невиконання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користь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Вищенаведені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міркування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дозволили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дійти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висновку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користь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здійснено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межах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розумного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строку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Таким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чином,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даній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місце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</w:t>
      </w:r>
      <w:r w:rsidR="003C72CE">
        <w:rPr>
          <w:lang w:val="uk-UA"/>
        </w:rPr>
        <w:t>.1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Заявниця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скаржилася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Першого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протоколу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</w:t>
      </w:r>
      <w:r w:rsidR="003C72CE">
        <w:rPr>
          <w:lang w:val="uk-UA"/>
        </w:rPr>
        <w:t>.1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зокрема,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несправедливість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результат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процедур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відновлення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Проте,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дослідивши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усі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матеріали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вважає,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немає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більше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ознак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передбачених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Протоколах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неї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частина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скарги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неприйнятною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необгрунтована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вимог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</w:t>
      </w:r>
      <w:r w:rsidR="003C72CE">
        <w:rPr>
          <w:lang w:val="uk-UA"/>
        </w:rPr>
        <w:t>.1</w:t>
      </w:r>
      <w:r w:rsidRPr="003C72CE">
        <w:rPr>
          <w:lang w:val="uk-UA"/>
        </w:rPr>
        <w:t>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3,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4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.3</w:t>
      </w:r>
      <w:r w:rsidRPr="003C72CE">
        <w:rPr>
          <w:lang w:val="uk-UA"/>
        </w:rPr>
        <w:t>5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Відповідно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вимог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.4</w:t>
      </w:r>
      <w:r w:rsidRPr="003C72CE">
        <w:rPr>
          <w:lang w:val="uk-UA"/>
        </w:rPr>
        <w:t>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призначив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сплатити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600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відшкодування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моральної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шкоди,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користь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заявниці</w:t>
      </w:r>
      <w:r w:rsidR="003C72CE" w:rsidRPr="003C72CE">
        <w:rPr>
          <w:lang w:val="uk-UA"/>
        </w:rPr>
        <w:t xml:space="preserve"> [</w:t>
      </w:r>
      <w:r w:rsidRPr="003C72CE">
        <w:rPr>
          <w:lang w:val="uk-UA"/>
        </w:rPr>
        <w:t>9,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>].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„Моргуненко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обставинами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наступне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Заявник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Іван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Андрійович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Моргуненко,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1937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н</w:t>
      </w:r>
      <w:r w:rsidR="003C72CE" w:rsidRPr="003C72CE">
        <w:rPr>
          <w:lang w:val="uk-UA"/>
        </w:rPr>
        <w:t xml:space="preserve">., </w:t>
      </w:r>
      <w:r w:rsidRPr="003C72CE">
        <w:rPr>
          <w:lang w:val="uk-UA"/>
        </w:rPr>
        <w:t>проживає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Кривий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Ріг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Він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працював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Відкритому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акціонерному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товаристві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„Кривбасзалізрудком</w:t>
      </w:r>
      <w:r w:rsidR="003C72CE">
        <w:rPr>
          <w:lang w:val="uk-UA"/>
        </w:rPr>
        <w:t>" (</w:t>
      </w:r>
      <w:r w:rsidRPr="003C72CE">
        <w:rPr>
          <w:lang w:val="uk-UA"/>
        </w:rPr>
        <w:t>далі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ВАТ</w:t>
      </w:r>
      <w:r w:rsidR="003C72CE" w:rsidRPr="003C72CE">
        <w:rPr>
          <w:lang w:val="uk-UA"/>
        </w:rPr>
        <w:t xml:space="preserve">). </w:t>
      </w:r>
      <w:r w:rsidRPr="003C72CE">
        <w:rPr>
          <w:lang w:val="uk-UA"/>
        </w:rPr>
        <w:t>Державне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відкрите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акціонерне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товариство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„Укррудпром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власником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100%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акцій</w:t>
      </w:r>
      <w:r w:rsidR="003C72CE" w:rsidRPr="003C72CE">
        <w:rPr>
          <w:lang w:val="uk-UA"/>
        </w:rPr>
        <w:t xml:space="preserve"> </w:t>
      </w:r>
      <w:r w:rsidRPr="003C72CE">
        <w:rPr>
          <w:bCs/>
          <w:lang w:val="uk-UA"/>
        </w:rPr>
        <w:t>ВАТ</w:t>
      </w:r>
      <w:r w:rsidR="003C72CE" w:rsidRPr="003C72CE">
        <w:rPr>
          <w:bCs/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березні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розпочав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цивільній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Дзержинському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районному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Кривого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Рогу,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вимагаючи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поновлення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посаді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гірничого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майстра</w:t>
      </w:r>
      <w:r w:rsidR="003C72CE" w:rsidRPr="003C72CE">
        <w:rPr>
          <w:lang w:val="uk-UA"/>
        </w:rPr>
        <w:t xml:space="preserve"> </w:t>
      </w:r>
      <w:r w:rsidRPr="003C72CE">
        <w:rPr>
          <w:bCs/>
          <w:lang w:val="uk-UA"/>
        </w:rPr>
        <w:t>ВАТ</w:t>
      </w:r>
      <w:r w:rsidR="003C72CE" w:rsidRPr="003C72CE">
        <w:rPr>
          <w:b/>
          <w:bCs/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відшкодування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шкоди,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завданої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незаконним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звільненням</w:t>
      </w:r>
      <w:r w:rsidR="003C72CE">
        <w:rPr>
          <w:lang w:val="uk-UA"/>
        </w:rPr>
        <w:t>.2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листопада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цей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ухвалив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поновлення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посаді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гірничого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майстра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частково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задовольнив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вимогу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відшкодування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шкоди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231,37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грн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ВАТ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подало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апеляцію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поновивши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цьому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займаній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раніше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посаді</w:t>
      </w:r>
      <w:r w:rsidR="003C72CE">
        <w:rPr>
          <w:lang w:val="uk-UA"/>
        </w:rPr>
        <w:t>.4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червня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апеляційний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Дніпропетровської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області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підтримав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першої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інстанції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поновлення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посаді,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зменшив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компенсаційної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виплати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7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038,38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грн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апеляційного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оскаржене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касаційному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порядку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сторін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встановлений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строк,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остаточним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30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липня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відділ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виконавчої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служби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Жовтневого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району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Кривого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Рогу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розпочало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виконавче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>
        <w:rPr>
          <w:lang w:val="uk-UA"/>
        </w:rPr>
        <w:t>.3</w:t>
      </w:r>
      <w:r w:rsidRPr="003C72CE">
        <w:rPr>
          <w:lang w:val="uk-UA"/>
        </w:rPr>
        <w:t>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липня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виконавче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зупинено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через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початок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процедури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банкрутства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ВАТ</w:t>
      </w:r>
      <w:r w:rsidR="003C72CE">
        <w:rPr>
          <w:lang w:val="uk-UA"/>
        </w:rPr>
        <w:t>.2</w:t>
      </w:r>
      <w:r w:rsidRPr="003C72CE">
        <w:rPr>
          <w:lang w:val="uk-UA"/>
        </w:rPr>
        <w:t>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квітня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2004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виконавче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відновлене,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оскільки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процедура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банкрутства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ВАТ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припинена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травні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2004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користь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зрештою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виконане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bCs/>
          <w:lang w:val="uk-UA"/>
        </w:rPr>
        <w:t>Зміст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рішення</w:t>
      </w:r>
      <w:r w:rsidR="003C72CE" w:rsidRPr="003C72CE">
        <w:rPr>
          <w:bCs/>
          <w:lang w:val="uk-UA"/>
        </w:rPr>
        <w:t xml:space="preserve"> </w:t>
      </w:r>
      <w:r w:rsidRPr="003C72CE">
        <w:rPr>
          <w:lang w:val="uk-UA"/>
        </w:rPr>
        <w:t>Європейського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Заявник,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посилаючись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</w:t>
      </w:r>
      <w:r w:rsidR="003C72CE">
        <w:rPr>
          <w:lang w:val="uk-UA"/>
        </w:rPr>
        <w:t>.1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основних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скаржився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тривалість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розгляду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цивільної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включаючи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стадію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виконавчого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i/>
          <w:iCs/>
          <w:lang w:val="uk-UA"/>
        </w:rPr>
      </w:pP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зазначив,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виконавче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стадіями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цілісного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процесу</w:t>
      </w:r>
      <w:r w:rsidR="003C72CE" w:rsidRPr="003C72CE">
        <w:rPr>
          <w:i/>
          <w:iCs/>
          <w:lang w:val="uk-UA"/>
        </w:rPr>
        <w:t xml:space="preserve">. </w:t>
      </w:r>
      <w:r w:rsidRPr="003C72CE">
        <w:rPr>
          <w:lang w:val="uk-UA"/>
        </w:rPr>
        <w:t>Отже,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виконавче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повинно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відокремлюватися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процесу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мають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розглядатися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разом,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сукупності</w:t>
      </w:r>
      <w:r w:rsidR="003C72CE" w:rsidRPr="003C72CE">
        <w:rPr>
          <w:i/>
          <w:iCs/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скаргу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прийнятною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Стосовно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скарги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нагадав,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ініціював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цивільній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поновлення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займаній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раніше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посаді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відшкодування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шкоди,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завданої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незаконним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звільненням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березні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2000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Цей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процес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зрештою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завершився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прийняттям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остаточного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4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червня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Таким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чином,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тривалість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стадії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становила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місяці,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вимоги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розглядалися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двох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юрисдикції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Далі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зазначив,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липні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розпочалося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виконавче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4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червня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2002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зміг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отримати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присуджену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компенсаційних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виплат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лише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через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23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місяці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після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цього,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травні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2004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року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наголосив,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обґрунтованість </w:t>
      </w:r>
      <w:r w:rsidRPr="003C72CE">
        <w:rPr>
          <w:lang w:val="uk-UA"/>
        </w:rPr>
        <w:t>тривалості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повинна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оцінена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світлі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обставин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урахуванням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наступних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критеріїв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складність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поведінка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уповноважених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зважаючи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міг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отримати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справи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зазначив,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затримка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спричинена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насамперед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невиконанням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остаточного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користь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Дослідивши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обставини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дійшов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висновку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Уряд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спромігся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навести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аргументу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факту,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дозволив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вважати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тривалість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межах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розумного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строку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Виходячи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вищенаведеного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тривалість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надмірною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такою,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відповідає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вимозі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розумного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строку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розгляду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Отже,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</w:t>
      </w:r>
      <w:r w:rsidR="003C72CE">
        <w:rPr>
          <w:lang w:val="uk-UA"/>
        </w:rPr>
        <w:t>.1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Заявник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скаржився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відсутність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ефективних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засобів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стосовно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скарги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надмірну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тривалість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проваджень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Він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посилався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.1</w:t>
      </w:r>
      <w:r w:rsidRPr="003C72CE">
        <w:rPr>
          <w:lang w:val="uk-UA"/>
        </w:rPr>
        <w:t>3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думку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Уряду,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цієї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статті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вважає,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скарга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цього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конвенційного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положення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прийнятною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нагадав,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.1</w:t>
      </w:r>
      <w:r w:rsidRPr="003C72CE">
        <w:rPr>
          <w:lang w:val="uk-UA"/>
        </w:rPr>
        <w:t>3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гарантує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ефективний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засіб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стверджуваного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встановленої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</w:t>
      </w:r>
      <w:r w:rsidR="003C72CE">
        <w:rPr>
          <w:lang w:val="uk-UA"/>
        </w:rPr>
        <w:t>.1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вимоги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розглянути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протягом</w:t>
      </w:r>
      <w:r w:rsidR="003C72CE" w:rsidRPr="003C72CE">
        <w:rPr>
          <w:lang w:val="uk-UA"/>
        </w:rPr>
        <w:t xml:space="preserve"> </w:t>
      </w:r>
      <w:r w:rsidRPr="003C72CE">
        <w:rPr>
          <w:iCs/>
          <w:lang w:val="uk-UA"/>
        </w:rPr>
        <w:t>ро</w:t>
      </w:r>
      <w:r w:rsidRPr="003C72CE">
        <w:rPr>
          <w:lang w:val="uk-UA"/>
        </w:rPr>
        <w:t>зумного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строку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вказав,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вже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визнавав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наявність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.1</w:t>
      </w:r>
      <w:r w:rsidRPr="003C72CE">
        <w:rPr>
          <w:lang w:val="uk-UA"/>
        </w:rPr>
        <w:t>3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подібних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справах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даній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бачить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підстав,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відійти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прецедентного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дійти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іншого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висновку,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аніж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аналогічних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рішеннях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Відтак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місце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.1</w:t>
      </w:r>
      <w:r w:rsidRPr="003C72CE">
        <w:rPr>
          <w:lang w:val="uk-UA"/>
        </w:rPr>
        <w:t>3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підставі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</w:t>
      </w:r>
      <w:r w:rsidR="003C72CE">
        <w:rPr>
          <w:lang w:val="uk-UA"/>
        </w:rPr>
        <w:t>.1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.6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скаржився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національні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неправильно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вирахували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розмір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належних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йому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компенсаційних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виплат,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.8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огляду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факти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даній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справі</w:t>
      </w:r>
      <w:r w:rsidR="003C72CE" w:rsidRPr="003C72CE">
        <w:rPr>
          <w:lang w:val="uk-UA"/>
        </w:rPr>
        <w:t>.</w:t>
      </w:r>
    </w:p>
    <w:p w:rsidR="00445481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Уважно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дослідивши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всі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матеріали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зважаючи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повноваження,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знайшов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більше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ознак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порушення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передбачених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протоколами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неї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|</w:t>
      </w: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Тому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частина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скарги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неприйнятною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необґрунтована </w:t>
      </w:r>
      <w:r w:rsidRPr="003C72CE">
        <w:rPr>
          <w:lang w:val="uk-UA"/>
        </w:rPr>
        <w:t>згідно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частинами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3,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4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.3</w:t>
      </w:r>
      <w:r w:rsidRPr="003C72CE">
        <w:rPr>
          <w:lang w:val="uk-UA"/>
        </w:rPr>
        <w:t>5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>.</w:t>
      </w:r>
    </w:p>
    <w:p w:rsid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Відповідно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</w:t>
      </w:r>
      <w:r w:rsidR="003C72CE">
        <w:rPr>
          <w:lang w:val="uk-UA"/>
        </w:rPr>
        <w:t>.4</w:t>
      </w:r>
      <w:r w:rsidRPr="003C72CE">
        <w:rPr>
          <w:lang w:val="uk-UA"/>
        </w:rPr>
        <w:t>1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призначив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сплатити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518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компенсацію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моральної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шкоди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відшкодування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витрат</w:t>
      </w:r>
      <w:r w:rsidR="003C72CE" w:rsidRPr="003C72CE">
        <w:rPr>
          <w:lang w:val="uk-UA"/>
        </w:rPr>
        <w:t xml:space="preserve"> [</w:t>
      </w:r>
      <w:r w:rsidRPr="003C72CE">
        <w:rPr>
          <w:lang w:val="uk-UA"/>
        </w:rPr>
        <w:t>11,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>].</w:t>
      </w:r>
    </w:p>
    <w:p w:rsidR="00445481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</w:p>
    <w:p w:rsidR="00445481" w:rsidRDefault="003C72CE" w:rsidP="003C72CE">
      <w:pPr>
        <w:pStyle w:val="1"/>
        <w:rPr>
          <w:lang w:val="uk-UA"/>
        </w:rPr>
      </w:pPr>
      <w:r>
        <w:rPr>
          <w:lang w:val="uk-UA"/>
        </w:rPr>
        <w:br w:type="page"/>
        <w:t>В</w:t>
      </w:r>
      <w:r w:rsidRPr="003C72CE">
        <w:rPr>
          <w:lang w:val="uk-UA"/>
        </w:rPr>
        <w:t>исновки</w:t>
      </w:r>
    </w:p>
    <w:p w:rsidR="003C72CE" w:rsidRPr="003C72CE" w:rsidRDefault="003C72CE" w:rsidP="003C72CE">
      <w:pPr>
        <w:rPr>
          <w:lang w:val="uk-UA" w:eastAsia="en-US"/>
        </w:rPr>
      </w:pPr>
    </w:p>
    <w:p w:rsidR="003C72CE" w:rsidRP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Навіть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проаналізувавши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справи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можна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побачити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огріхи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економічних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влади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наслідок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втрати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державного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бюджету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компенсацію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моральної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шкоди,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відшкодування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витрат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тощо</w:t>
      </w:r>
      <w:r w:rsidR="003C72CE" w:rsidRPr="003C72CE">
        <w:rPr>
          <w:lang w:val="uk-UA"/>
        </w:rPr>
        <w:t>.</w:t>
      </w:r>
    </w:p>
    <w:p w:rsidR="003C72CE" w:rsidRDefault="00445481" w:rsidP="003C72CE">
      <w:pPr>
        <w:shd w:val="clear" w:color="auto" w:fill="FFFFFF"/>
        <w:tabs>
          <w:tab w:val="left" w:pos="726"/>
        </w:tabs>
        <w:rPr>
          <w:lang w:val="uk-UA"/>
        </w:rPr>
      </w:pPr>
      <w:r w:rsidRPr="003C72CE">
        <w:rPr>
          <w:lang w:val="uk-UA"/>
        </w:rPr>
        <w:t>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зв’язку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цим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слід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погодитися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</w:t>
      </w:r>
      <w:r w:rsidR="003C72CE">
        <w:rPr>
          <w:lang w:val="uk-UA"/>
        </w:rPr>
        <w:t xml:space="preserve">.М. </w:t>
      </w:r>
      <w:r w:rsidRPr="003C72CE">
        <w:rPr>
          <w:lang w:val="uk-UA"/>
        </w:rPr>
        <w:t>Ярошенко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необхідності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доповнення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положень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чинного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виконання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практики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нормами,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покладали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персональну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відповідальність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незаконні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бездіяльність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посадових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осіб,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призвели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подачі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людини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результатами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розгляду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якої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було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постановлено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Рішення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користь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заявника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Також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доречно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законодавчо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позбавити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таких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осіб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обіймати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певні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посади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займатися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певною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діяльністю</w:t>
      </w:r>
      <w:r w:rsidR="003C72CE" w:rsidRPr="003C72CE">
        <w:rPr>
          <w:lang w:val="uk-UA"/>
        </w:rPr>
        <w:t xml:space="preserve"> [</w:t>
      </w:r>
      <w:r w:rsidRPr="003C72CE">
        <w:rPr>
          <w:lang w:val="uk-UA"/>
        </w:rPr>
        <w:t>7,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8</w:t>
      </w:r>
      <w:r w:rsidR="003C72CE" w:rsidRPr="003C72CE">
        <w:rPr>
          <w:lang w:val="uk-UA"/>
        </w:rPr>
        <w:t>].</w:t>
      </w:r>
    </w:p>
    <w:p w:rsidR="00445481" w:rsidRDefault="003C72CE" w:rsidP="003C72CE">
      <w:pPr>
        <w:pStyle w:val="1"/>
        <w:rPr>
          <w:lang w:val="uk-UA"/>
        </w:rPr>
      </w:pPr>
      <w:r>
        <w:rPr>
          <w:lang w:val="uk-UA"/>
        </w:rPr>
        <w:br w:type="page"/>
      </w:r>
      <w:r w:rsidR="00445481" w:rsidRPr="003C72CE">
        <w:rPr>
          <w:lang w:val="uk-UA"/>
        </w:rPr>
        <w:t>Література</w:t>
      </w:r>
    </w:p>
    <w:p w:rsidR="003C72CE" w:rsidRPr="003C72CE" w:rsidRDefault="003C72CE" w:rsidP="003C72CE">
      <w:pPr>
        <w:rPr>
          <w:lang w:val="uk-UA" w:eastAsia="en-US"/>
        </w:rPr>
      </w:pP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bCs/>
          <w:lang w:val="uk-UA"/>
        </w:rPr>
        <w:t>Киселев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И</w:t>
      </w:r>
      <w:r w:rsidR="003C72CE">
        <w:rPr>
          <w:bCs/>
          <w:lang w:val="uk-UA"/>
        </w:rPr>
        <w:t xml:space="preserve">.Я. </w:t>
      </w:r>
      <w:r w:rsidRPr="003C72CE">
        <w:rPr>
          <w:lang w:val="uk-UA"/>
        </w:rPr>
        <w:t>Сравнительное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международное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трудовое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Учебник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для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вузов</w:t>
      </w:r>
      <w:r w:rsidR="003C72CE">
        <w:rPr>
          <w:lang w:val="uk-UA"/>
        </w:rPr>
        <w:t xml:space="preserve">. - </w:t>
      </w:r>
      <w:r w:rsidRPr="003C72CE">
        <w:rPr>
          <w:bCs/>
          <w:lang w:val="uk-UA"/>
        </w:rPr>
        <w:t>М</w:t>
      </w:r>
      <w:r w:rsidR="003C72CE" w:rsidRPr="003C72CE">
        <w:rPr>
          <w:bCs/>
          <w:lang w:val="uk-UA"/>
        </w:rPr>
        <w:t xml:space="preserve">.: </w:t>
      </w:r>
      <w:r w:rsidRPr="003C72CE">
        <w:rPr>
          <w:bCs/>
          <w:lang w:val="uk-UA"/>
        </w:rPr>
        <w:t>Дело,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1999</w:t>
      </w:r>
      <w:r w:rsidR="003C72CE">
        <w:rPr>
          <w:bCs/>
          <w:lang w:val="uk-UA"/>
        </w:rPr>
        <w:t xml:space="preserve">. - </w:t>
      </w:r>
      <w:r w:rsidRPr="003C72CE">
        <w:rPr>
          <w:lang w:val="uk-UA"/>
        </w:rPr>
        <w:t>728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Болотіна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</w:t>
      </w:r>
      <w:r w:rsidR="003C72CE">
        <w:rPr>
          <w:lang w:val="uk-UA"/>
        </w:rPr>
        <w:t xml:space="preserve">.Б. </w:t>
      </w:r>
      <w:r w:rsidRPr="003C72CE">
        <w:rPr>
          <w:lang w:val="uk-UA"/>
        </w:rPr>
        <w:t>Трудове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Підручник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ге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вид</w:t>
      </w:r>
      <w:r w:rsidR="003C72CE" w:rsidRPr="003C72CE">
        <w:rPr>
          <w:lang w:val="uk-UA"/>
        </w:rPr>
        <w:t xml:space="preserve">., </w:t>
      </w:r>
      <w:r w:rsidRPr="003C72CE">
        <w:rPr>
          <w:lang w:val="uk-UA"/>
        </w:rPr>
        <w:t>стер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К</w:t>
      </w:r>
      <w:r w:rsidR="003C72CE" w:rsidRPr="003C72CE">
        <w:rPr>
          <w:lang w:val="uk-UA"/>
        </w:rPr>
        <w:t xml:space="preserve">.: </w:t>
      </w:r>
      <w:r w:rsidRPr="003C72CE">
        <w:rPr>
          <w:lang w:val="uk-UA"/>
        </w:rPr>
        <w:t>Вікар,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2004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725с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Науково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практичний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коментар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законодавства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/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Стичинський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</w:t>
      </w:r>
      <w:r w:rsidR="003C72CE">
        <w:rPr>
          <w:lang w:val="uk-UA"/>
        </w:rPr>
        <w:t>.С., З</w:t>
      </w:r>
      <w:r w:rsidRPr="003C72CE">
        <w:rPr>
          <w:lang w:val="uk-UA"/>
        </w:rPr>
        <w:t>уб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>
        <w:rPr>
          <w:lang w:val="uk-UA"/>
        </w:rPr>
        <w:t xml:space="preserve">.В., </w:t>
      </w:r>
      <w:r w:rsidRPr="003C72CE">
        <w:rPr>
          <w:lang w:val="uk-UA"/>
        </w:rPr>
        <w:t>Ротань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>
        <w:rPr>
          <w:lang w:val="uk-UA"/>
        </w:rPr>
        <w:t xml:space="preserve">.Г. - </w:t>
      </w:r>
      <w:r w:rsidRPr="003C72CE">
        <w:rPr>
          <w:lang w:val="uk-UA"/>
        </w:rPr>
        <w:t>К</w:t>
      </w:r>
      <w:r w:rsidR="003C72CE" w:rsidRPr="003C72CE">
        <w:rPr>
          <w:lang w:val="uk-UA"/>
        </w:rPr>
        <w:t xml:space="preserve">.: </w:t>
      </w:r>
      <w:r w:rsidRPr="003C72CE">
        <w:rPr>
          <w:lang w:val="uk-UA"/>
        </w:rPr>
        <w:t>АСК</w:t>
      </w:r>
      <w:r w:rsidR="003C72CE">
        <w:rPr>
          <w:lang w:val="uk-UA"/>
        </w:rPr>
        <w:t>. 20</w:t>
      </w:r>
      <w:r w:rsidRPr="003C72CE">
        <w:rPr>
          <w:lang w:val="uk-UA"/>
        </w:rPr>
        <w:t>02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1024с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Абрамов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</w:t>
      </w:r>
      <w:r w:rsidR="003C72CE">
        <w:rPr>
          <w:lang w:val="uk-UA"/>
        </w:rPr>
        <w:t xml:space="preserve">.І. </w:t>
      </w:r>
      <w:r w:rsidRPr="003C72CE">
        <w:rPr>
          <w:lang w:val="uk-UA"/>
        </w:rPr>
        <w:t>Міжнародно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правове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регулювання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теоретичні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проблеми</w:t>
      </w:r>
      <w:r w:rsidR="003C72CE">
        <w:rPr>
          <w:lang w:val="uk-UA"/>
        </w:rPr>
        <w:t xml:space="preserve"> // </w:t>
      </w:r>
      <w:r w:rsidRPr="003C72CE">
        <w:rPr>
          <w:lang w:val="uk-UA"/>
        </w:rPr>
        <w:t>Трудове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контексті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європейської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інтеграції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Х</w:t>
      </w:r>
      <w:r w:rsidR="003C72CE" w:rsidRPr="003C72CE">
        <w:rPr>
          <w:lang w:val="uk-UA"/>
        </w:rPr>
        <w:t xml:space="preserve">.: </w:t>
      </w:r>
      <w:r w:rsidRPr="003C72CE">
        <w:rPr>
          <w:lang w:val="uk-UA"/>
        </w:rPr>
        <w:t>УАФТП,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2006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80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184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примусову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або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обов'язкову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№29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1930р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/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1919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1964,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I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Женева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678с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свободу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асоціації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захист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організацію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87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1948р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/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1919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1964,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I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Женева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678с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застосування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принципів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ведення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колективних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переговорів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98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1949р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/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1919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1964,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I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Женева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678с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винагородження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чоловіків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жінок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рівної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цінності”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№100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1951р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/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1919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1964,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I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Женева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678с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мінімальні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норми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соціального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забезпечення”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№102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1952р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/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1919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1964,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I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Женева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678с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скасування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примусової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>
        <w:rPr>
          <w:lang w:val="uk-UA"/>
        </w:rPr>
        <w:t xml:space="preserve">"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105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1957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p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/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1919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1964,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I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Женева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678с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дискримінацію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галузі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занять”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111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1958р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/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1919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1964,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I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Женева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678с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мінімальний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прийняття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роботу”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138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1973р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/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1965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1999,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II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Женева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667с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Конвенція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МОП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„Про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заборону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негайні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заходи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щодо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ліквідації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найгірших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форм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дитячої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пращ”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182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1999р</w:t>
      </w:r>
      <w:r w:rsidR="003C72CE" w:rsidRPr="003C72CE">
        <w:rPr>
          <w:lang w:val="uk-UA"/>
        </w:rPr>
        <w:t xml:space="preserve">.) </w:t>
      </w:r>
      <w:r w:rsidRPr="003C72CE">
        <w:rPr>
          <w:lang w:val="uk-UA"/>
        </w:rPr>
        <w:t>/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Конвенції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рекомендації,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ухвалені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Міжнародною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організацією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1965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1999,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II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Міжнародне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бюро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праці,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Женева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667с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Решетов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Ю</w:t>
      </w:r>
      <w:r w:rsidR="003C72CE">
        <w:rPr>
          <w:lang w:val="uk-UA"/>
        </w:rPr>
        <w:t xml:space="preserve">.А. </w:t>
      </w:r>
      <w:r w:rsidRPr="003C72CE">
        <w:rPr>
          <w:lang w:val="uk-UA"/>
        </w:rPr>
        <w:t>Из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опыта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Европейского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суда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правам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человека</w:t>
      </w:r>
      <w:r w:rsidR="003C72CE">
        <w:rPr>
          <w:lang w:val="uk-UA"/>
        </w:rPr>
        <w:t xml:space="preserve"> // </w:t>
      </w:r>
      <w:r w:rsidRPr="003C72CE">
        <w:rPr>
          <w:lang w:val="uk-UA"/>
        </w:rPr>
        <w:t>Бюллетень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Министерства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юстиции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Российской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Федерации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2001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13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117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bCs/>
          <w:lang w:val="uk-UA"/>
        </w:rPr>
        <w:t>Рішення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Європейського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суду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з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прав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людини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у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</w:t>
      </w:r>
      <w:r w:rsidRPr="003C72CE">
        <w:rPr>
          <w:bCs/>
          <w:lang w:val="uk-UA"/>
        </w:rPr>
        <w:t>Сікорська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проти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України</w:t>
      </w:r>
      <w:r w:rsidR="003C72CE">
        <w:rPr>
          <w:bCs/>
          <w:lang w:val="uk-UA"/>
        </w:rPr>
        <w:t xml:space="preserve">" // </w:t>
      </w:r>
      <w:r w:rsidRPr="003C72CE">
        <w:rPr>
          <w:lang w:val="uk-UA"/>
        </w:rPr>
        <w:t>Юридичний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вісник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2007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№45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bCs/>
          <w:lang w:val="uk-UA"/>
        </w:rPr>
        <w:t>Рішення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Європейського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суду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з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прав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людини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у</w:t>
      </w:r>
      <w:r w:rsidR="003C72CE" w:rsidRPr="003C72CE">
        <w:rPr>
          <w:bCs/>
          <w:lang w:val="uk-UA"/>
        </w:rPr>
        <w:t xml:space="preserve"> </w:t>
      </w:r>
      <w:r w:rsidRPr="003C72CE">
        <w:rPr>
          <w:bCs/>
          <w:lang w:val="uk-UA"/>
        </w:rPr>
        <w:t>справі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„Моргуненко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>
        <w:rPr>
          <w:lang w:val="uk-UA"/>
        </w:rPr>
        <w:t xml:space="preserve">" // </w:t>
      </w:r>
      <w:r w:rsidRPr="003C72CE">
        <w:rPr>
          <w:lang w:val="uk-UA"/>
        </w:rPr>
        <w:t>Юридичний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вісник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України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2007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46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2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Свод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законов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Российской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империи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Собр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III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Спб</w:t>
      </w:r>
      <w:r w:rsidR="003C72CE">
        <w:rPr>
          <w:lang w:val="uk-UA"/>
        </w:rPr>
        <w:t>.1</w:t>
      </w:r>
      <w:r w:rsidRPr="003C72CE">
        <w:rPr>
          <w:lang w:val="uk-UA"/>
        </w:rPr>
        <w:t>882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1913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</w:t>
      </w:r>
      <w:r w:rsidR="003C72CE">
        <w:rPr>
          <w:lang w:val="uk-UA"/>
        </w:rPr>
        <w:t>.5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Роик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>
        <w:rPr>
          <w:lang w:val="uk-UA"/>
        </w:rPr>
        <w:t xml:space="preserve">.Д. </w:t>
      </w:r>
      <w:r w:rsidRPr="003C72CE">
        <w:rPr>
          <w:lang w:val="uk-UA"/>
        </w:rPr>
        <w:t>Эволюция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систем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социального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страхования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Западных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странах</w:t>
      </w:r>
      <w:r w:rsidR="003C72CE">
        <w:rPr>
          <w:lang w:val="uk-UA"/>
        </w:rPr>
        <w:t xml:space="preserve"> // </w:t>
      </w:r>
      <w:r w:rsidRPr="003C72CE">
        <w:rPr>
          <w:lang w:val="uk-UA"/>
        </w:rPr>
        <w:t>Труд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рубежом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1994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№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3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3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24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Щетинина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>
        <w:rPr>
          <w:lang w:val="uk-UA"/>
        </w:rPr>
        <w:t xml:space="preserve">.А. </w:t>
      </w:r>
      <w:r w:rsidRPr="003C72CE">
        <w:rPr>
          <w:lang w:val="uk-UA"/>
        </w:rPr>
        <w:t>Роль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Министерства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США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разработке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реализации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политики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социально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трудовой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сфере</w:t>
      </w:r>
      <w:r w:rsidR="003C72CE" w:rsidRPr="003C72CE">
        <w:rPr>
          <w:lang w:val="uk-UA"/>
        </w:rPr>
        <w:t>.</w:t>
      </w:r>
      <w:r w:rsidR="003C72CE">
        <w:rPr>
          <w:lang w:val="uk-UA"/>
        </w:rPr>
        <w:t xml:space="preserve"> // </w:t>
      </w:r>
      <w:r w:rsidRPr="003C72CE">
        <w:rPr>
          <w:lang w:val="uk-UA"/>
        </w:rPr>
        <w:t>Труд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рубежом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1997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№2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С</w:t>
      </w:r>
      <w:r w:rsidR="003C72CE">
        <w:rPr>
          <w:lang w:val="uk-UA"/>
        </w:rPr>
        <w:t>.2</w:t>
      </w:r>
      <w:r w:rsidRPr="003C72CE">
        <w:rPr>
          <w:lang w:val="uk-UA"/>
        </w:rPr>
        <w:t>1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32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Силин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>
        <w:rPr>
          <w:lang w:val="uk-UA"/>
        </w:rPr>
        <w:t xml:space="preserve">.А., </w:t>
      </w:r>
      <w:r w:rsidRPr="003C72CE">
        <w:rPr>
          <w:lang w:val="uk-UA"/>
        </w:rPr>
        <w:t>Некипелов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</w:t>
      </w:r>
      <w:r w:rsidR="003C72CE">
        <w:rPr>
          <w:lang w:val="uk-UA"/>
        </w:rPr>
        <w:t xml:space="preserve">.С. </w:t>
      </w:r>
      <w:r w:rsidRPr="003C72CE">
        <w:rPr>
          <w:lang w:val="uk-UA"/>
        </w:rPr>
        <w:t>Современные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тенденции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регулировании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коллективных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трудовых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отношений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мире</w:t>
      </w:r>
      <w:r w:rsidR="003C72CE" w:rsidRPr="003C72CE">
        <w:rPr>
          <w:lang w:val="uk-UA"/>
        </w:rPr>
        <w:t>.</w:t>
      </w:r>
      <w:r w:rsidR="003C72CE">
        <w:rPr>
          <w:lang w:val="uk-UA"/>
        </w:rPr>
        <w:t xml:space="preserve"> // </w:t>
      </w:r>
      <w:r w:rsidRPr="003C72CE">
        <w:rPr>
          <w:lang w:val="uk-UA"/>
        </w:rPr>
        <w:t>Труд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рубежом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2000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№2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7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103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Бухбиндер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Зубатовщина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рабочее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движение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России</w:t>
      </w:r>
      <w:r w:rsidR="003C72CE">
        <w:rPr>
          <w:lang w:val="uk-UA"/>
        </w:rPr>
        <w:t xml:space="preserve">.М., </w:t>
      </w:r>
      <w:r w:rsidRPr="003C72CE">
        <w:rPr>
          <w:lang w:val="uk-UA"/>
        </w:rPr>
        <w:t>1926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Valticos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Nicolas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International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Labour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standards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and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human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riqhts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Approachinq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the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year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2000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International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Labour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Review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Vol</w:t>
      </w:r>
      <w:r w:rsidR="003C72CE">
        <w:rPr>
          <w:lang w:val="uk-UA"/>
        </w:rPr>
        <w:t>.1</w:t>
      </w:r>
      <w:r w:rsidRPr="003C72CE">
        <w:rPr>
          <w:lang w:val="uk-UA"/>
        </w:rPr>
        <w:t>37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1998</w:t>
      </w:r>
      <w:r w:rsidR="003C72CE" w:rsidRPr="003C72CE">
        <w:rPr>
          <w:lang w:val="uk-UA"/>
        </w:rPr>
        <w:t>)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No2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P</w:t>
      </w:r>
      <w:r w:rsidR="003C72CE">
        <w:rPr>
          <w:lang w:val="uk-UA"/>
        </w:rPr>
        <w:t>.1</w:t>
      </w:r>
      <w:r w:rsidRPr="003C72CE">
        <w:rPr>
          <w:lang w:val="uk-UA"/>
        </w:rPr>
        <w:t>37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Нуртдинова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>
        <w:rPr>
          <w:lang w:val="uk-UA"/>
        </w:rPr>
        <w:t xml:space="preserve">.Ф. </w:t>
      </w:r>
      <w:r w:rsidRPr="003C72CE">
        <w:rPr>
          <w:lang w:val="uk-UA"/>
        </w:rPr>
        <w:t>Комментарий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закону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порядке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разрешения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коллективных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трудовых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споров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М</w:t>
      </w:r>
      <w:r w:rsidR="003C72CE" w:rsidRPr="003C72CE">
        <w:rPr>
          <w:lang w:val="uk-UA"/>
        </w:rPr>
        <w:t xml:space="preserve">.: </w:t>
      </w:r>
      <w:r w:rsidRPr="003C72CE">
        <w:rPr>
          <w:lang w:val="uk-UA"/>
        </w:rPr>
        <w:t>ЗАО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„Юридический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Дом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„Юстицинформ”,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2001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136с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Цесарський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</w:t>
      </w:r>
      <w:r w:rsidR="003C72CE">
        <w:rPr>
          <w:lang w:val="uk-UA"/>
        </w:rPr>
        <w:t xml:space="preserve">.А. </w:t>
      </w:r>
      <w:r w:rsidRPr="003C72CE">
        <w:rPr>
          <w:lang w:val="uk-UA"/>
        </w:rPr>
        <w:t>Захисна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функція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профспілок,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форми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її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реалізації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Дис</w:t>
      </w:r>
      <w:r w:rsidR="003C72CE">
        <w:rPr>
          <w:lang w:val="uk-UA"/>
        </w:rPr>
        <w:t>.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канд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юрид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наук</w:t>
      </w:r>
      <w:r w:rsidR="003C72CE" w:rsidRPr="003C72CE">
        <w:rPr>
          <w:lang w:val="uk-UA"/>
        </w:rPr>
        <w:t xml:space="preserve"> - </w:t>
      </w:r>
      <w:r w:rsidRPr="003C72CE">
        <w:rPr>
          <w:lang w:val="uk-UA"/>
        </w:rPr>
        <w:t>Х</w:t>
      </w:r>
      <w:r w:rsidR="003C72CE" w:rsidRPr="003C72CE">
        <w:rPr>
          <w:lang w:val="uk-UA"/>
        </w:rPr>
        <w:t xml:space="preserve">., </w:t>
      </w:r>
      <w:r w:rsidRPr="003C72CE">
        <w:rPr>
          <w:lang w:val="uk-UA"/>
        </w:rPr>
        <w:t>2004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200с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Труд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мире</w:t>
      </w:r>
      <w:r w:rsidR="003C72CE" w:rsidRPr="003C72CE">
        <w:rPr>
          <w:lang w:val="uk-UA"/>
        </w:rPr>
        <w:t xml:space="preserve">. </w:t>
      </w:r>
      <w:r w:rsidRPr="003C72CE">
        <w:rPr>
          <w:lang w:val="uk-UA"/>
        </w:rPr>
        <w:t>Трудовые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отношения,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демократия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социальная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стабильность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М</w:t>
      </w:r>
      <w:r w:rsidR="003C72CE" w:rsidRPr="003C72CE">
        <w:rPr>
          <w:lang w:val="uk-UA"/>
        </w:rPr>
        <w:t xml:space="preserve">., </w:t>
      </w:r>
      <w:r w:rsidRPr="003C72CE">
        <w:rPr>
          <w:lang w:val="uk-UA"/>
        </w:rPr>
        <w:t>1998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288с</w:t>
      </w:r>
      <w:r w:rsidR="003C72CE" w:rsidRPr="003C72CE">
        <w:rPr>
          <w:lang w:val="uk-UA"/>
        </w:rPr>
        <w:t>.</w:t>
      </w:r>
    </w:p>
    <w:p w:rsidR="003C72CE" w:rsidRP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lang w:val="uk-UA"/>
        </w:rPr>
        <w:t>Силин,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А</w:t>
      </w:r>
      <w:r w:rsidR="003C72CE">
        <w:rPr>
          <w:lang w:val="uk-UA"/>
        </w:rPr>
        <w:t xml:space="preserve">.А. </w:t>
      </w:r>
      <w:r w:rsidRPr="003C72CE">
        <w:rPr>
          <w:lang w:val="uk-UA"/>
        </w:rPr>
        <w:t>Германская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модель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трудовых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отношений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эпоху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глобализации</w:t>
      </w:r>
      <w:r w:rsidR="003C72CE" w:rsidRPr="003C72CE">
        <w:rPr>
          <w:lang w:val="uk-UA"/>
        </w:rPr>
        <w:t>:</w:t>
      </w:r>
      <w:r w:rsidR="003C72CE">
        <w:rPr>
          <w:lang w:val="uk-UA"/>
        </w:rPr>
        <w:t xml:space="preserve"> (</w:t>
      </w:r>
      <w:r w:rsidRPr="003C72CE">
        <w:rPr>
          <w:lang w:val="uk-UA"/>
        </w:rPr>
        <w:t>заметки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сути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социального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партенерства</w:t>
      </w:r>
      <w:r w:rsidR="003C72CE" w:rsidRPr="003C72CE">
        <w:rPr>
          <w:lang w:val="uk-UA"/>
        </w:rPr>
        <w:t>)</w:t>
      </w:r>
      <w:r w:rsidR="003C72CE">
        <w:rPr>
          <w:lang w:val="uk-UA"/>
        </w:rPr>
        <w:t xml:space="preserve"> // </w:t>
      </w:r>
      <w:r w:rsidRPr="003C72CE">
        <w:rPr>
          <w:lang w:val="uk-UA"/>
        </w:rPr>
        <w:t>Трудовое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право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2002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№10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С</w:t>
      </w:r>
      <w:r w:rsidR="003C72CE">
        <w:rPr>
          <w:lang w:val="uk-UA"/>
        </w:rPr>
        <w:t>.5</w:t>
      </w:r>
      <w:r w:rsidRPr="003C72CE">
        <w:rPr>
          <w:lang w:val="uk-UA"/>
        </w:rPr>
        <w:t>9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65</w:t>
      </w:r>
      <w:r w:rsidR="003C72CE" w:rsidRPr="003C72CE">
        <w:rPr>
          <w:lang w:val="uk-UA"/>
        </w:rPr>
        <w:t>.</w:t>
      </w:r>
    </w:p>
    <w:p w:rsidR="003C72CE" w:rsidRDefault="00445481" w:rsidP="003C72CE">
      <w:pPr>
        <w:pStyle w:val="a"/>
        <w:tabs>
          <w:tab w:val="left" w:pos="420"/>
        </w:tabs>
        <w:rPr>
          <w:lang w:val="uk-UA"/>
        </w:rPr>
      </w:pPr>
      <w:r w:rsidRPr="003C72CE">
        <w:rPr>
          <w:bCs/>
          <w:lang w:val="uk-UA"/>
        </w:rPr>
        <w:t>Некипелов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Д</w:t>
      </w:r>
      <w:r w:rsidR="003C72CE">
        <w:rPr>
          <w:lang w:val="uk-UA"/>
        </w:rPr>
        <w:t xml:space="preserve">.С. </w:t>
      </w:r>
      <w:r w:rsidRPr="003C72CE">
        <w:rPr>
          <w:lang w:val="uk-UA"/>
        </w:rPr>
        <w:t>Профсоюзы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организации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предпринимателей</w:t>
      </w:r>
      <w:r w:rsidR="003C72CE" w:rsidRPr="003C72CE">
        <w:rPr>
          <w:lang w:val="uk-UA"/>
        </w:rPr>
        <w:t xml:space="preserve">: </w:t>
      </w:r>
      <w:r w:rsidRPr="003C72CE">
        <w:rPr>
          <w:lang w:val="uk-UA"/>
        </w:rPr>
        <w:t>проблемы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приспосабления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к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новым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условиям</w:t>
      </w:r>
      <w:r w:rsidR="003C72CE">
        <w:rPr>
          <w:lang w:val="uk-UA"/>
        </w:rPr>
        <w:t xml:space="preserve"> // </w:t>
      </w:r>
      <w:r w:rsidRPr="003C72CE">
        <w:rPr>
          <w:lang w:val="uk-UA"/>
        </w:rPr>
        <w:t>Труд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за</w:t>
      </w:r>
      <w:r w:rsidR="003C72CE" w:rsidRPr="003C72CE">
        <w:rPr>
          <w:lang w:val="uk-UA"/>
        </w:rPr>
        <w:t xml:space="preserve"> </w:t>
      </w:r>
      <w:r w:rsidRPr="003C72CE">
        <w:rPr>
          <w:lang w:val="uk-UA"/>
        </w:rPr>
        <w:t>рубежом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1998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№2</w:t>
      </w:r>
      <w:r w:rsidR="003C72CE">
        <w:rPr>
          <w:lang w:val="uk-UA"/>
        </w:rPr>
        <w:t xml:space="preserve">. - </w:t>
      </w:r>
      <w:r w:rsidRPr="003C72CE">
        <w:rPr>
          <w:lang w:val="uk-UA"/>
        </w:rPr>
        <w:t>С</w:t>
      </w:r>
      <w:r w:rsidR="003C72CE">
        <w:rPr>
          <w:lang w:val="uk-UA"/>
        </w:rPr>
        <w:t>.1</w:t>
      </w:r>
      <w:r w:rsidRPr="003C72CE">
        <w:rPr>
          <w:lang w:val="uk-UA"/>
        </w:rPr>
        <w:t>28</w:t>
      </w:r>
      <w:r w:rsidR="003C72CE" w:rsidRPr="003C72CE">
        <w:rPr>
          <w:lang w:val="uk-UA"/>
        </w:rPr>
        <w:t>-</w:t>
      </w:r>
      <w:r w:rsidRPr="003C72CE">
        <w:rPr>
          <w:lang w:val="uk-UA"/>
        </w:rPr>
        <w:t>143</w:t>
      </w:r>
      <w:r w:rsidR="003C72CE" w:rsidRPr="003C72CE">
        <w:rPr>
          <w:lang w:val="uk-UA"/>
        </w:rPr>
        <w:t>.</w:t>
      </w:r>
    </w:p>
    <w:p w:rsidR="00445481" w:rsidRPr="003C72CE" w:rsidRDefault="00445481" w:rsidP="003C72CE">
      <w:pPr>
        <w:pStyle w:val="af5"/>
        <w:rPr>
          <w:color w:val="000000"/>
          <w:lang w:val="uk-UA"/>
        </w:rPr>
      </w:pPr>
      <w:bookmarkStart w:id="0" w:name="_GoBack"/>
      <w:bookmarkEnd w:id="0"/>
    </w:p>
    <w:sectPr w:rsidR="00445481" w:rsidRPr="003C72CE" w:rsidSect="003C72CE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604" w:rsidRDefault="00890604">
      <w:r>
        <w:separator/>
      </w:r>
    </w:p>
  </w:endnote>
  <w:endnote w:type="continuationSeparator" w:id="0">
    <w:p w:rsidR="00890604" w:rsidRDefault="0089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604" w:rsidRDefault="00890604">
      <w:r>
        <w:separator/>
      </w:r>
    </w:p>
  </w:footnote>
  <w:footnote w:type="continuationSeparator" w:id="0">
    <w:p w:rsidR="00890604" w:rsidRDefault="00890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2CE" w:rsidRPr="003C72CE" w:rsidRDefault="003C72CE" w:rsidP="003C72CE">
    <w:pPr>
      <w:ind w:firstLine="0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ED32F4"/>
    <w:multiLevelType w:val="hybridMultilevel"/>
    <w:tmpl w:val="850228A2"/>
    <w:lvl w:ilvl="0" w:tplc="6C440C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F7F"/>
    <w:rsid w:val="00144D0F"/>
    <w:rsid w:val="002077B4"/>
    <w:rsid w:val="003C72CE"/>
    <w:rsid w:val="003F5B85"/>
    <w:rsid w:val="00445481"/>
    <w:rsid w:val="00872BC6"/>
    <w:rsid w:val="00890604"/>
    <w:rsid w:val="00935ECC"/>
    <w:rsid w:val="00AF57EA"/>
    <w:rsid w:val="00B34F7F"/>
    <w:rsid w:val="00DE6146"/>
    <w:rsid w:val="00E00701"/>
    <w:rsid w:val="00E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866483-2158-4071-95C9-71CCDC7A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3C72CE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3C72CE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3C72C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3C72C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3C72C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3C72C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3C72C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3C72C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3C72C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3C72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customStyle="1" w:styleId="Just">
    <w:name w:val="Just"/>
    <w:uiPriority w:val="99"/>
    <w:rsid w:val="003F5B85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0"/>
    <w:next w:val="a5"/>
    <w:link w:val="a6"/>
    <w:autoRedefine/>
    <w:uiPriority w:val="99"/>
    <w:rsid w:val="003C72C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3C72CE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3C72CE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9">
    <w:name w:val="Hyperlink"/>
    <w:uiPriority w:val="99"/>
    <w:rsid w:val="003C72CE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3C72C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3C72C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C72CE"/>
    <w:pPr>
      <w:numPr>
        <w:numId w:val="2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3C72CE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3C72CE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3C72C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3C72CE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3C72CE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3C72CE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3C72CE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3C72C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3C72CE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3C72CE"/>
    <w:rPr>
      <w:color w:val="FFFFFF"/>
    </w:rPr>
  </w:style>
  <w:style w:type="paragraph" w:customStyle="1" w:styleId="af6">
    <w:name w:val="содержание"/>
    <w:uiPriority w:val="99"/>
    <w:rsid w:val="003C72CE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3C72CE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3C72CE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0"/>
    <w:autoRedefine/>
    <w:uiPriority w:val="99"/>
    <w:rsid w:val="003C72CE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3C72CE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3C72CE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3C72CE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3C72CE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5366</Words>
  <Characters>30590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35885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Сергій</dc:creator>
  <cp:keywords/>
  <dc:description/>
  <cp:lastModifiedBy>admin</cp:lastModifiedBy>
  <cp:revision>2</cp:revision>
  <dcterms:created xsi:type="dcterms:W3CDTF">2014-03-25T21:16:00Z</dcterms:created>
  <dcterms:modified xsi:type="dcterms:W3CDTF">2014-03-25T21:16:00Z</dcterms:modified>
</cp:coreProperties>
</file>