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5D4" w:rsidRPr="002D0AB7" w:rsidRDefault="00B715D4" w:rsidP="00B715D4">
      <w:pPr>
        <w:widowControl/>
        <w:spacing w:before="120"/>
        <w:jc w:val="center"/>
        <w:rPr>
          <w:b/>
          <w:sz w:val="32"/>
        </w:rPr>
      </w:pPr>
      <w:r w:rsidRPr="002D0AB7">
        <w:rPr>
          <w:b/>
          <w:sz w:val="32"/>
        </w:rPr>
        <w:t>Особенности словесной живописи в лирике В. Маяковского и В. Хлебникова</w:t>
      </w:r>
    </w:p>
    <w:p w:rsidR="00B715D4" w:rsidRPr="002D0AB7" w:rsidRDefault="00B715D4" w:rsidP="00B715D4">
      <w:pPr>
        <w:widowControl/>
        <w:spacing w:before="120"/>
        <w:jc w:val="center"/>
        <w:rPr>
          <w:sz w:val="28"/>
        </w:rPr>
      </w:pPr>
      <w:r w:rsidRPr="002D0AB7">
        <w:rPr>
          <w:sz w:val="28"/>
        </w:rPr>
        <w:t>Васильев С.А.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Маяковский и Хлебников — поэты, личности и творчество которых многократно сопоставлялись</w:t>
      </w:r>
      <w:bookmarkStart w:id="0" w:name="_ednref1"/>
      <w:r w:rsidRPr="002D0AB7">
        <w:t>[i]</w:t>
      </w:r>
      <w:bookmarkEnd w:id="0"/>
      <w:r w:rsidRPr="002D0AB7">
        <w:t>. Как известно, Маяковский считал Хлебникова, «Колумба новых поэтических материков, ныне заселенных и возделываемых нами»</w:t>
      </w:r>
      <w:bookmarkStart w:id="1" w:name="_ednref2"/>
      <w:r w:rsidRPr="002D0AB7">
        <w:t>[ii]</w:t>
      </w:r>
      <w:bookmarkEnd w:id="1"/>
      <w:r w:rsidRPr="002D0AB7">
        <w:t>, своим учителем в поэзии. Исследователями отмечаются также черты обратного влияния Маяковского на Хлебникова, в частности, в области рифмы</w:t>
      </w:r>
      <w:bookmarkStart w:id="2" w:name="_ednref3"/>
      <w:r w:rsidRPr="002D0AB7">
        <w:t>[iii]</w:t>
      </w:r>
      <w:bookmarkEnd w:id="2"/>
      <w:r w:rsidRPr="002D0AB7">
        <w:t xml:space="preserve"> и шире — словесной образности.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Значение их творчества выходит далеко за рамки литературной группы кубофутуристов. Оба они являются характерными представителями рубежной — неоромантической — эпохи конца ХIХ — начала ХХ веков, тяготевшей, как и другая — в основе своей романтическая — рубежная эпоха конца XVIII — начала ХIХ века, к синтезу</w:t>
      </w:r>
      <w:bookmarkStart w:id="3" w:name="_ednref4"/>
      <w:r w:rsidRPr="002D0AB7">
        <w:t>[iv]</w:t>
      </w:r>
      <w:bookmarkEnd w:id="3"/>
      <w:r w:rsidRPr="002D0AB7">
        <w:t>. Живописное, наряду с музыкальным, театральным, эстрадным, архитектурным, литургическим, мистериальным, жизнестроительным и т.д. началами, становится в словесных произведениях серебряного века одной из важнейших доминант, представляющих индивидуальный стиль поэта, писателя, драматурга. В литературе эпохи, как показывают исследования, ему отведено особое место</w:t>
      </w:r>
      <w:bookmarkStart w:id="4" w:name="_ednref5"/>
      <w:r w:rsidRPr="002D0AB7">
        <w:t>[v]</w:t>
      </w:r>
      <w:bookmarkEnd w:id="4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«Мы хотим, чтобы слово смело пошло за живописью»</w:t>
      </w:r>
      <w:bookmarkStart w:id="5" w:name="_ednref6"/>
      <w:r w:rsidRPr="002D0AB7">
        <w:t>[vi]</w:t>
      </w:r>
      <w:bookmarkEnd w:id="5"/>
      <w:r w:rsidRPr="002D0AB7">
        <w:t>, — так Хлебников декларативно определяет один из главных, по мнению футуристов, путей решения назревших творческих задач обновления литературного искусства начала ХХ века. Живописное начало не только осмыслялось в теоретических статьях и манифестах «будетлян», творческая жизнь и быт которых теснейшим образом были связаны с изобразительным искусством</w:t>
      </w:r>
      <w:bookmarkStart w:id="6" w:name="_ednref7"/>
      <w:r w:rsidRPr="002D0AB7">
        <w:t>[vii]</w:t>
      </w:r>
      <w:bookmarkEnd w:id="6"/>
      <w:r w:rsidRPr="002D0AB7">
        <w:t>, но и непосредственно влияло на характер образности</w:t>
      </w:r>
      <w:bookmarkStart w:id="7" w:name="_ednref8"/>
      <w:r w:rsidRPr="002D0AB7">
        <w:t>[viii]</w:t>
      </w:r>
      <w:bookmarkEnd w:id="7"/>
      <w:r w:rsidRPr="002D0AB7">
        <w:t xml:space="preserve">, формирование содержания их литературных произведений.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Живописное начало становится неотъемлемой составляющей образа лирического героя, связывается с лирическим сюжетом, с заданным в свернутом виде повествованием, в ряде характерных черт (учитывая компактность лирического произведения) определяет поэтическую картину мира произведения, его художественный космос. В некоторых случаях в стихотворении создается словесный образ живописного полотна, портрета, иконы. Иногда немногими чертами портретируется творческая манера художника, создается аллюзия на известную картину, живописный образ.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Оба поэта, кстати, неплохо рисовали. Рисунки Хлебникова иллюстрируют его литературные сборники и собрания сочинений</w:t>
      </w:r>
      <w:bookmarkStart w:id="8" w:name="_ednref9"/>
      <w:r w:rsidRPr="002D0AB7">
        <w:t>[ix]</w:t>
      </w:r>
      <w:bookmarkEnd w:id="8"/>
      <w:r w:rsidRPr="002D0AB7">
        <w:t>. Маяковский, еще со времени обучения в Кутаисской гимназии, страстно любил рисовать</w:t>
      </w:r>
      <w:bookmarkStart w:id="9" w:name="_ednref10"/>
      <w:r w:rsidRPr="002D0AB7">
        <w:t>[x]</w:t>
      </w:r>
      <w:bookmarkEnd w:id="9"/>
      <w:r w:rsidRPr="002D0AB7">
        <w:t>. Он учился в Строгановском художественно-промышленном училище и в Московском училище живописи, ваяния и зодчества, участвовал в выставках профессиональных художников, рьяно полемизировал на диспутах об искусстве</w:t>
      </w:r>
      <w:bookmarkStart w:id="10" w:name="_ednref11"/>
      <w:r w:rsidRPr="002D0AB7">
        <w:t>[xi]</w:t>
      </w:r>
      <w:bookmarkEnd w:id="10"/>
      <w:r w:rsidRPr="002D0AB7">
        <w:t>, а в 1920-е годы создавал плакаты для «Окон РОСТА»</w:t>
      </w:r>
      <w:bookmarkStart w:id="11" w:name="_ednref12"/>
      <w:r w:rsidRPr="002D0AB7">
        <w:t>[xii]</w:t>
      </w:r>
      <w:bookmarkEnd w:id="11"/>
      <w:r w:rsidRPr="002D0AB7">
        <w:t>. Об устойчивом интересе к живописному и театральному, в конечном счете к новому синтезу искусств, говорят и знаменитая желтая кофта поэта, и демонстративные «прогулки» футуристов по Кузнецкому мосту с разрисованными лицами.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Обратимся к тому, как футуристы, прежде всего Маяковский и Хлебников, осмысляли связи слова и живописи. Роль живописного в литературе, так ярко проявившегося в творчестве символистов, в поэзии и прозе Бунина, произведениях Куприна, многих других художников слова, вслед за символистами</w:t>
      </w:r>
      <w:bookmarkStart w:id="12" w:name="_ednref13"/>
      <w:r w:rsidRPr="002D0AB7">
        <w:t>[xiii]</w:t>
      </w:r>
      <w:bookmarkEnd w:id="12"/>
      <w:r w:rsidRPr="002D0AB7">
        <w:t xml:space="preserve"> неоднократно подчеркивали футуристы, правда, с изрядной долей полемики по отношению к своим литературным предшественникам. Так, общим местом в статьях и манифестах становятся постоянные аналогии между словом и живописью, открытиями которой активно пользуются поэты новой литературной группы.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Маяковский, в статье «Капля дегтя» плакатно формулируя задачи поэзии, отталкивается именно от живописи: «Художник! тебе ли тоненькой сеточкой контуров поймать несущуюся кавалерию! Репин! Самокиш! уберите ведра — краску расплещет. Поэт! не сажай в качалку ямбов и хореев мощный бой — всю качалку разворотит!»</w:t>
      </w:r>
      <w:bookmarkStart w:id="13" w:name="_ednref14"/>
      <w:r w:rsidRPr="002D0AB7">
        <w:t>[xiv]</w:t>
      </w:r>
      <w:bookmarkEnd w:id="13"/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статье «Слово как таковое» (1913) А. Крученых и Хлебников объясняют особенности футуристического слога влиянием художников-футуристов</w:t>
      </w:r>
      <w:bookmarkStart w:id="14" w:name="_ednref15"/>
      <w:r w:rsidRPr="002D0AB7">
        <w:t>[xv]</w:t>
      </w:r>
      <w:bookmarkEnd w:id="14"/>
      <w:r w:rsidRPr="002D0AB7">
        <w:t xml:space="preserve"> (в терминологии Хлебникова, стремившегося отказаться в своих произведениях от слов с латинскими корнями, «будетлян»): «Живописцы будетляне любят пользоваться частями тел, разрезами, а будетляне речетворцы разрубленными словами, полусловами и их причудливыми хитрыми сочетаниями (заумный язык). Этим достигается наибольшая выразительность, и этим именно отличается язык стремительной современности, уничтожившей прежний застывший язык…»</w:t>
      </w:r>
      <w:bookmarkStart w:id="15" w:name="_ednref16"/>
      <w:r w:rsidRPr="002D0AB7">
        <w:t>[xvi]</w:t>
      </w:r>
      <w:bookmarkEnd w:id="15"/>
      <w:r w:rsidRPr="002D0AB7">
        <w:t xml:space="preserve"> Живописное (прежде всего отличительные черты кубизма</w:t>
      </w:r>
      <w:bookmarkStart w:id="16" w:name="_ednref17"/>
      <w:r w:rsidRPr="002D0AB7">
        <w:t>[xvii]</w:t>
      </w:r>
      <w:bookmarkEnd w:id="16"/>
      <w:r w:rsidRPr="002D0AB7">
        <w:t xml:space="preserve"> — разложение предмета на геометрические «первоэлементы») соотносится со словом и звуком: «Гласные мы понимаем как время и пространство (характер устремления), согласные — краска, звук, за</w:t>
      </w:r>
      <w:r w:rsidRPr="002D0AB7">
        <w:softHyphen/>
        <w:t>пах»</w:t>
      </w:r>
      <w:bookmarkStart w:id="17" w:name="_ednref18"/>
      <w:r w:rsidRPr="002D0AB7">
        <w:t>[xviii]</w:t>
      </w:r>
      <w:bookmarkEnd w:id="17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Особенности литературного новаторства футуристов Хлебников связывает с подражанием современной ему постимпрессионистической живописи. Ему интересно прежде всего «мерцание» (принципиальная неоднозначность) смысла; слова для него — «живые глаза для тайны», они «особенно сильны», когда «через слюду обыденного смысла просвечивает второй смысл»</w:t>
      </w:r>
      <w:bookmarkStart w:id="18" w:name="_ednref19"/>
      <w:r w:rsidRPr="002D0AB7">
        <w:t>[xix]</w:t>
      </w:r>
      <w:bookmarkEnd w:id="18"/>
      <w:r w:rsidRPr="002D0AB7">
        <w:t>. Живопись оказывается ориентиром для Хлебникова-теоретика и в плане создания единого мирового языка</w:t>
      </w:r>
      <w:bookmarkStart w:id="19" w:name="_ednref20"/>
      <w:r w:rsidRPr="002D0AB7">
        <w:t>[xx]</w:t>
      </w:r>
      <w:bookmarkEnd w:id="19"/>
      <w:r w:rsidRPr="002D0AB7">
        <w:t>, так как она «всегда говорила языком, доступным для всех»</w:t>
      </w:r>
      <w:bookmarkStart w:id="20" w:name="_ednref21"/>
      <w:r w:rsidRPr="002D0AB7">
        <w:t>[xxi]</w:t>
      </w:r>
      <w:bookmarkEnd w:id="20"/>
      <w:r w:rsidRPr="002D0AB7">
        <w:t xml:space="preserve">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Первые поэтические опыты Маяковского, впоследствии забракованные самим автором, связаны с живописными образами лирики Бунина и символистов (особенно ярко эта связь видна в первых двух строках цитируемого четверостишия с цветовыми метафорами — штампами поэзии рубежа веков, в данном случае, действительно, индивидуально-стилистически окрашенными слабо):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золото, в пурпур леса одевались,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Солнце играло на главах церквей.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Ждал я: но в месяцах дни потерялись,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Сотни томительных дней</w:t>
      </w:r>
      <w:bookmarkStart w:id="21" w:name="_ednref22"/>
      <w:r w:rsidRPr="002D0AB7">
        <w:t>[xxii]</w:t>
      </w:r>
      <w:bookmarkEnd w:id="21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Живописные образы, некоторые из которых соотносимы с графикой</w:t>
      </w:r>
      <w:bookmarkStart w:id="22" w:name="_ednref23"/>
      <w:r w:rsidRPr="002D0AB7">
        <w:t>[xxiii]</w:t>
      </w:r>
      <w:bookmarkEnd w:id="22"/>
      <w:r w:rsidRPr="002D0AB7">
        <w:t xml:space="preserve">, — одни из доминирующих в ранней лирике Маяковского. Многие из них, формирующие образ лирического героя — бунтаря, борца с обывательским бытом и психологией, стали хрестоматийными: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Я сразу смазал карту будня,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плеснувши краску из стакана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Я показал на блюде студня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косые скулы океана</w:t>
      </w:r>
      <w:bookmarkStart w:id="23" w:name="_ednref24"/>
      <w:r w:rsidRPr="002D0AB7">
        <w:t>[xxiv]</w:t>
      </w:r>
      <w:bookmarkEnd w:id="23"/>
      <w:r w:rsidRPr="002D0AB7">
        <w:t xml:space="preserve"> (18).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данном случае существенно не только то, что поэт метафорически изобразил процесс создания с позволения сказать футуристического полотна, отвечающего новой эстетике, отрицающей — по крайней мере, на словах — требования всяких норм и правил искусства. Важно и то, что бунтует художник-творец, очевидно, обладающий потенциалом для глубинного изменения этой жизни, реализующий через такое изменение свое божественное предназначение, — одна из черт культурного стиля эпохи, по-своему преломленная творческой индивидуальностью поэта.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Среди многообразных функций живописных образов в стиле Маяковского одна из наиболее ярких — жизнестроительная</w:t>
      </w:r>
      <w:bookmarkStart w:id="24" w:name="_ednref25"/>
      <w:r w:rsidRPr="002D0AB7">
        <w:t>[xxv]</w:t>
      </w:r>
      <w:bookmarkEnd w:id="24"/>
      <w:r w:rsidRPr="002D0AB7">
        <w:t>. В одной из ранних статей поэт так формулирует задачи искусства: «Театр и кинематограф до нас, поскольку они были самостоятельны, только дублировали жизнь, а настоящее большое искусство художника, изменяющего жизнь по своему образу и подобию, — идет другой дорогой»</w:t>
      </w:r>
      <w:bookmarkStart w:id="25" w:name="_ednref26"/>
      <w:r w:rsidRPr="002D0AB7">
        <w:t>[xxvi]</w:t>
      </w:r>
      <w:bookmarkEnd w:id="25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Искусство в этом случае — орудие и источник преобразования жизни, формирования нового человека: «Сознание, что каждая душа открыта великому, создает в нас силу, гордость, самолюбие, чувство ответственности за каждый шаг, сознание, что каждая жизнь вливается равноцен</w:t>
      </w:r>
      <w:r w:rsidRPr="002D0AB7">
        <w:softHyphen/>
        <w:t>ною кровью в общие жилы толп, — чувство солидарности, чув</w:t>
      </w:r>
      <w:r w:rsidRPr="002D0AB7">
        <w:softHyphen/>
        <w:t>ство бесконечного увеличения своей силы силами одинаковых других. Все это вместе создает нового человека: бесконечно ра</w:t>
      </w:r>
      <w:r w:rsidRPr="002D0AB7">
        <w:softHyphen/>
        <w:t xml:space="preserve">достного оптимиста, непоборимо здорового! &lt;…&gt; Изменилась человечья основа России. Родились мощные люди будущего. Вырисовываются силачи будетляне» (380—381).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Связь живописных образов и жизнестроительного начала, намеченная в дореволюционной поэзии и, в конечном счете, идущая от символистов, опирающаяся на ницшеанские идеи, в лирике первых послеоктябрьских лет приобретает новую силу, по сути дела, оформляется окончательно: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Довольно грошовых истин.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Из сердца старое вытри.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Улицы — наши кисти.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Площади — наши палитры (247).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приведенных строках из «Приказа по армии искусства» поэт создал образ строительства новой жизни в стране только что победившей советской власти. Одна из тем стихотворения (пусть и сознательно лозунгово, плакатно поданной) — обретение новой истины. Старое нравственное, эмоциональное содержание жизни человека и человечества должно быть «вытерто», примерно так же, как с доски стирается уже не нужный старый рисунок, освобождая место новому.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Человек в этом случае, на промежуточном этапе, оказывается (развивая образ поэта) tabula rasa. Новый образ новым живописцем должен быть напечатлен именно на человеческом сердце (своеобразная скрижаль революционного завета — одна из мистериальный ассоциаций, связанная со стихотворением). В роли живописца выступает некий коллектив футуристов-революционеров, образ которого в данном случае становится аналогом образа лирического героя</w:t>
      </w:r>
      <w:bookmarkStart w:id="26" w:name="_ednref27"/>
      <w:r w:rsidRPr="002D0AB7">
        <w:t>[xxvii]</w:t>
      </w:r>
      <w:bookmarkEnd w:id="26"/>
      <w:r w:rsidRPr="002D0AB7">
        <w:t xml:space="preserve">. Скандальные демонстративные выступления «будетлян», бунт ранней лирики Маяковского теряют протестную доминанту и обретают жизнестроительный смысл. Прежний «анархический» бунт становится необходимой составляющей масштабного организованного процесса, направляется во исполнение «приказа» (не предполагающего, как известно, ослушания) по одной из революционных армий — по образу поэта, «армии искусств».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Это новое искусство, как видно, творится на улицах и площадях, оно в этом смысле соборно и коллективно. Уже в этом видно переосмысление важнейших символистских положений, в частности, идей Вяч. Иванова о соборном и теургическом искусстве. Образ, непосредственно связанный с живописным искусством, — одна из граней изображенного поэтом действа, аналогичного синтетическому мистериальному действу, одна из доминант которого принадлежит музыке: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Все совдепы не сдвинут армий,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если марш не дадут музыканты (246).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Новая коммунистическая «вера» утверждается со всей бескомпромиссностью: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Только тот коммунист истый,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Кто мосты к отступлению сжег (246).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Аналогичные черты соборности, художественного синтеза и мистериальности обнаруживаем в стихотворении «Поэт рабочий»: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Лишь вместе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вселенную мы разукрасим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и маршами пустим ухать (250).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Живописный в своей основе образ — «вселенную разукрасим» — не только космический по масштабу изображаемого, но и мистериальный: сотворивший и «разукрасивший» вселенную «Художник» — Бог. Живописный образ имеет, следовательно, четкий второй план — новое сотворение мира. Он, этот мир, должен быть в полной мере гармоничным. Разукрасить, по В.И. Далю, значит «разубрать, принарядить, пышно и празднично украсить»</w:t>
      </w:r>
      <w:bookmarkStart w:id="27" w:name="_ednref28"/>
      <w:r w:rsidRPr="002D0AB7">
        <w:t>[xxviii]</w:t>
      </w:r>
      <w:bookmarkEnd w:id="27"/>
      <w:r w:rsidRPr="002D0AB7">
        <w:t>, чего предыдущее творение, по мысли поэта, было лишено (иначе не потребовалось бы и пересоздание).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этом контексте «второе дыхание» обретают антикультурные лозунги раннего футуризма, нередко апеллировавшие к живописи, вновь ставшие востребованными, переосмысленные поэтом: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Белогвардейца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найдете — и к стенке.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А Рафаэля забыли?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Забыли Растрелли вы? (248)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(«Радоваться рано»)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Характерный прием поэта — художественное «оживление» внутренней формы фамилии великого архитектора Растрелли (от слова расстрелять), в русском языке изначально отсутствовавшей. На расстрел первоначально поэт указывает метонимически, также используя эллипс (на письме ему соответствует тире): «найдете — и к стенке». Намеченный несколькими ассоциативными штрихами образ, заключенный поэтом в фамилию Растрелли, предельно четко срабатывает с учетом следующей строки: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Стодюймовками глоток старье расстреливай! (248)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Максимально значимая, с точки зрения формирования содержания фрагмента, рифменная позиция сближает в смысловом плане «Растрелли вы» и «расстреливай». «Растрелли» в этой связи оказывается функционально аналогичным неологизмам поэта, как бы сжимает содержание произведения (или, во всяком случае, его значительного фрагмента) до образа, заключенного в отдельном слове, создает максимум «кривизны» авторского стиля и его семантического наполнения</w:t>
      </w:r>
      <w:bookmarkStart w:id="28" w:name="_ednref29"/>
      <w:r w:rsidRPr="002D0AB7">
        <w:t>[xxix]</w:t>
      </w:r>
      <w:bookmarkEnd w:id="28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От призыва к физическому уничтожению врага поэт переходит к борьбе за очищение искусства: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Время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пулям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по стенке музеев тенькать (248).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Создается образ со сложной внутренней формой. «Стенка музеев» — явное обобщение, в буквальном смысле трудно представимое, так как совмещается единственное и множественное число слов словосочетания. С точки зрения обыденное речи, «естественнее» сказать либо «стенка музея», либо «стенки музеев». Внутренняя форма словосочетания позволяет создать и образ некой музейной выставочной «стенки» с полотнами старых мастеров, по которой «тенькают» пули, и образ стенки, к которой для расстрела приведены музеи как наиболее верные хранители старой и отжившей, по мнению лирического героя, культуры. Круг ассоциаций, связанных с данным образом, строящимся на грамматической «неправильности», указанными двумя основными значениями не исчерпывается</w:t>
      </w:r>
      <w:bookmarkStart w:id="29" w:name="_ednref30"/>
      <w:r w:rsidRPr="002D0AB7">
        <w:t>[xxx]</w:t>
      </w:r>
      <w:bookmarkEnd w:id="29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Отметим, что не следует представлять Маяковского (и его лирического героя) неким вандалом, яростным врагом великого классического европейского искусства, прилежным учеником которого он в свое время являлся</w:t>
      </w:r>
      <w:bookmarkStart w:id="30" w:name="_ednref31"/>
      <w:r w:rsidRPr="002D0AB7">
        <w:t>[xxxi]</w:t>
      </w:r>
      <w:bookmarkEnd w:id="30"/>
      <w:r w:rsidRPr="002D0AB7">
        <w:t>. Рафаэль и Растрелли для него в данном случае — не указание на конкретные творческие индивидуальности, а знаки обывательского мировоззрения, его своеобразные идолы — «генералы классики», которым приносятся «жертвы» (в частности, огульное неприятие современного искусства), очевидно без должного их знания и понимания.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Построение новой жизни во многом идет на поле живописного искусства: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Вселенский пожар размочалил нервы.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Орете: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«Пожарных! Горит Мурильо!»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А мы —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не Корнеля с каким-то Расином — отца, —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предложи на старье меняться, — мы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и его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обольем керосином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и в улицы пустим —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для иллюминаций. (252—253)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(«Той стороне»)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Бунтующий лирический герой уже не позволяет себя «ловить арканом картинок». Готовность к отцеубийству явно плакатно заострена. Она связана с противопоставленным горящим полотнам Мурильо (его имя как знаковое упоминается и в поэзии Хлебникова</w:t>
      </w:r>
      <w:bookmarkStart w:id="31" w:name="_ednref32"/>
      <w:r w:rsidRPr="002D0AB7">
        <w:t>[xxxii]</w:t>
      </w:r>
      <w:bookmarkEnd w:id="31"/>
      <w:r w:rsidRPr="002D0AB7">
        <w:t>) образом, также зрительным, — уличными «иллюминациями» горящего человеческого тела. «Картинками» же, например, называются иллюстрации к притче о блудном сыне в повести Пушкина «Станционный смотритель», ничего общего с подлинным искусством, да и, по сути дела, с бесконечно содержательными библейскими образами не имеющие.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Особое место в стиле Маяковского, как и Хлебникова, занимает икона, изображение храма, молитва, далекие от церковности: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Полночь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промокшими пальцами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щупала меня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и забитый забор,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и с каплями ливня на лысине купола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скакал сумасшедший собор.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Я вижу, Христос из иконы бежал,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хитона оветренный край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целовала, плача, слякоть.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Кричу кирпичу,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слов исступленных вонзаю кинжал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неба распухшего мякоть: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«Солнце!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Отец мой!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Сжалься хоть ты и не мучай!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Это тобою пролитая кровь моя льется дорогою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дольней.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Это душа моя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клочьями порванной тучи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выжженном небе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на ржавом кресте колокольни!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Время!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Хоть ты, хромой богомаз,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лик намалюй мой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божницу уродца века!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Я одинок, как последний глаз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у идущего к слепым человека!» (34—35)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(«Несколько слов обо мне самом»)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Лирический герой уподобляет себя Христу, в стихотворении метафорически изображается «распятие» его «души» «на ржавом кресте колокольни», при том, что, согласно образу поэта, реальный «Христос из иконы бежал». «Солнце! Отец мой!…» — ярко индивидуальная вариация молитвы — Христа в Гефсиманском саду накануне распятия. Не случайно художественное время произведения — ночь.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Итог этого нового «мученического подвига» осмысляется через призыв к «хромому богомазу» — Времени создать новую своеобразную икону — поэта-искупителя. Хромота Времени — еще одна библейская аллюзия, очевидно, на Иакова-Израиля, боровшегося с Богом. Этот образ тем самым связывается с мотивом преодоления времени, выхода к вечности.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Активно работающей оказывается внутренняя форма исконного русского слова богомаз (иконописец). По В.И. Далю, богомаз — «плохой иконописец; прозвище владимирцев, суздальцев, развозящих образа своей работы по всей России. Вольно богомазу Егорья пешком, а Пятницу на коне писать»</w:t>
      </w:r>
      <w:bookmarkStart w:id="32" w:name="_ednref33"/>
      <w:r w:rsidRPr="002D0AB7">
        <w:t>[xxxiii]</w:t>
      </w:r>
      <w:bookmarkEnd w:id="32"/>
      <w:r w:rsidRPr="002D0AB7">
        <w:t xml:space="preserve">. В данном случае она соотносится с оксюмороном «намалюй лик» «в божницу уродца века». Эпатаж, вызов мещанству и религиозной морали (отсюда образ «скачущего сумасшедшего собора»), грубость поэта — «певца улицы» соседствуют с изображением вечности, созданием новой «божницы» (иконостаса) и соответственно новых «святцев», в которые занесут имя лирического героя Маяковского.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Таким образом, икона и иконописное проявляются в произведении многими деталями — и изображением иконописца, и самой иконы, и иконостаса — божницы. Намечен и существенный для иконы план вечности, преодоления времени. Организующим этот мотив оказывается и в композиции стихотворения.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изображении живописи характерные черты стиля Хлебникова просматриваются в нашумевшем, «программном» стихотворении «Бобэόби пелись губы»</w:t>
      </w:r>
      <w:bookmarkStart w:id="33" w:name="_ednref34"/>
      <w:r w:rsidRPr="002D0AB7">
        <w:t>[xxxiv]</w:t>
      </w:r>
      <w:bookmarkEnd w:id="33"/>
      <w:r w:rsidRPr="002D0AB7">
        <w:t xml:space="preserve"> (1908—1909), напечатанном в «Пощечине общественному вкусу» (М., 1913). «В письме В.В. Каменскому 8 августа </w:t>
      </w:r>
      <w:smartTag w:uri="urn:schemas-microsoft-com:office:smarttags" w:element="metricconverter">
        <w:smartTagPr>
          <w:attr w:name="ProductID" w:val="1909 г"/>
        </w:smartTagPr>
        <w:r w:rsidRPr="002D0AB7">
          <w:t>1909 г</w:t>
        </w:r>
      </w:smartTag>
      <w:r w:rsidRPr="002D0AB7">
        <w:t>. из Святошино, под Ки</w:t>
      </w:r>
      <w:r w:rsidRPr="002D0AB7">
        <w:softHyphen/>
        <w:t>евом, в Пермь Хлебников среди своих «красок и открытий» называл «живописание звуком», несомненно, имея в виду это стихотворение. Его же вместе со стихотворениями «Кузнечик» и «Заклятие смехом» в ли</w:t>
      </w:r>
      <w:r w:rsidRPr="002D0AB7">
        <w:softHyphen/>
        <w:t>тературной автобиографии «Свояси» (1919) он относил к важнейшим из своих малых произведений.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заметках начала </w:t>
      </w:r>
      <w:smartTag w:uri="urn:schemas-microsoft-com:office:smarttags" w:element="metricconverter">
        <w:smartTagPr>
          <w:attr w:name="ProductID" w:val="1922 г"/>
        </w:smartTagPr>
        <w:r w:rsidRPr="002D0AB7">
          <w:t>1922 г</w:t>
        </w:r>
      </w:smartTag>
      <w:r w:rsidRPr="002D0AB7">
        <w:t>., в связи с докладом искусствоведа А.К. Топоркова, он писал: «Еще Малларме и Бодлер говорили о звуковых соответствиях слова и глаза, слуховых видениях и звуках, у которых есть сло</w:t>
      </w:r>
      <w:r w:rsidRPr="002D0AB7">
        <w:softHyphen/>
        <w:t>варь. &lt;...&gt; Б имеет ярко-красный цвет, а потому губы — бобэоби; вээоми— синий, и потому глаза синие; пиээо — черное. Не удивительно, что Топорков недоуменно смеялся, не читая этого, останавливался и смо</w:t>
      </w:r>
      <w:r w:rsidRPr="002D0AB7">
        <w:softHyphen/>
        <w:t>трел на стихи, как дикий кавказский осел на паровоз, не понимая его смысла и значения». (Здесь следует иметь в виду знаменитый сонет А. Рембо «Гласные», в котором развернута мысль Ш. Бодлера о «соот</w:t>
      </w:r>
      <w:r w:rsidRPr="002D0AB7">
        <w:softHyphen/>
        <w:t xml:space="preserve">ветствиях» между звуками и цветами. См. статью П.Н. Краснова «Что такое декаденты? Сочинения М. Метерлинка и С. Малларме» — «Труд. Вестник литературы и науки». СПб., 1893. № 9.) Тогда же, 12 января </w:t>
      </w:r>
      <w:smartTag w:uri="urn:schemas-microsoft-com:office:smarttags" w:element="metricconverter">
        <w:smartTagPr>
          <w:attr w:name="ProductID" w:val="1922 г"/>
        </w:smartTagPr>
        <w:r w:rsidRPr="002D0AB7">
          <w:t>1922 г</w:t>
        </w:r>
      </w:smartTag>
      <w:r w:rsidRPr="002D0AB7">
        <w:t>., Хлебников вписал в альбом Н.Н. Минаева (РГАЛИ) текст это</w:t>
      </w:r>
      <w:r w:rsidRPr="002D0AB7">
        <w:softHyphen/>
        <w:t>го стихотворения, с небольшими изменениями и без строк 4—5.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Об интересе к синкретическому восприятию, и в частности к цвето-звуковым соответствиям, свидетельствуют относящиеся к </w:t>
      </w:r>
      <w:smartTag w:uri="urn:schemas-microsoft-com:office:smarttags" w:element="metricconverter">
        <w:smartTagPr>
          <w:attr w:name="ProductID" w:val="1904 г"/>
        </w:smartTagPr>
        <w:r w:rsidRPr="002D0AB7">
          <w:t>1904 г</w:t>
        </w:r>
      </w:smartTag>
      <w:r w:rsidRPr="002D0AB7">
        <w:t>. за</w:t>
      </w:r>
      <w:r w:rsidRPr="002D0AB7">
        <w:softHyphen/>
        <w:t>пись разговора с сестрой Верой о детском цветовом восприятии звуков и заметки «Пусть на могильной плите прочтут...», где, размышляя «о пяти и более чувств», он задавался вопросом: «Пять ликов, их пять, но мало. Отчего не: одно оно, но велико? &lt;...&gt; То есть как треугольник, круг, восьмиугольник суть части плоскости, так и наши слуховые, зри</w:t>
      </w:r>
      <w:r w:rsidRPr="002D0AB7">
        <w:softHyphen/>
        <w:t>тельные, вкусовые, обонятельные ощущения суть части, случайные об</w:t>
      </w:r>
      <w:r w:rsidRPr="002D0AB7">
        <w:softHyphen/>
        <w:t>молвки этого одного великого, протяженного многообразия. Оно подня</w:t>
      </w:r>
      <w:r w:rsidRPr="002D0AB7">
        <w:softHyphen/>
        <w:t>ло львиную голову и смотрит на нас, но уста его сомкнуты. &lt;...&gt; есть некоторые величины, независимые переменные, с изменением которых ощущения разных рядов — например, слуховое и зрительное или обо</w:t>
      </w:r>
      <w:r w:rsidRPr="002D0AB7">
        <w:softHyphen/>
        <w:t>нятельное — переходит одно в другое. Так, есть величины, с изменени</w:t>
      </w:r>
      <w:r w:rsidRPr="002D0AB7">
        <w:softHyphen/>
        <w:t>ем которых синий цвет василька (я беру чистое ощущение), непрерыв</w:t>
      </w:r>
      <w:r w:rsidRPr="002D0AB7">
        <w:softHyphen/>
        <w:t xml:space="preserve">но изменяясь, проходя через неведомые нам, людям, области разрыва, превратится в звук кукования кукушки или в плач ребенка, станет им».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Вероятно, это связано с впечатлениями от «Песни о Гайавате» Г. Лонгфелло в переводе Бунина (1898):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У дверей сидел малютка,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Слушал тихий ропот сосен,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Слушал тихий плеск прибоя,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Звуки дивных слов и песен: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«Минни-вава!» — пели сосны,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«Мэдвэй-ошка!» — пели волны.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 заметках, сопровождавших стихотворение «Звукопись» (1921), он отмечал, что «этот род искусства — питательная среда, из которой может вырасти дерево всемирного языка», и предлагал цвето-звуковой словарик: «м — синий цвет, л— белый, слоновая кость, ч — железный, б — красный, рдяный, з — золотой, п — черный с красным оттенком, в — небесно-голубой, голубо-зеленый, н — нежно-красных цветов».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Ср. цветовые обозначения азбуки мирового языка в статье «Художники мира!» (1919) и «песни звукописи» в XV плоскости сверхповести «Зангези» (1922)»</w:t>
      </w:r>
      <w:bookmarkStart w:id="34" w:name="_ednref35"/>
      <w:r w:rsidRPr="002D0AB7">
        <w:t>[xxxv]</w:t>
      </w:r>
      <w:bookmarkEnd w:id="34"/>
      <w:r w:rsidRPr="002D0AB7">
        <w:t xml:space="preserve">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Добавим, что такого рода идеи связывают Хлебникова не только с французским символизмом, но и западноевропейским романтизмом рубежа XVIII — XIX веков, т.е. в очередной раз открывают в нем неоромантика. А.Н. Веселовский отмечал: «А.В. Шлегель изобрел скалу соответствий между гласными и рядом вызываемых ими ощущений: а — красный цвет, юность, радость, блеск, о — пурпур, благородство, великолепие, солнце, i — небесно-голубой цвет, глубокая любовь и т.д.»</w:t>
      </w:r>
      <w:bookmarkStart w:id="35" w:name="_ednref36"/>
      <w:r w:rsidRPr="002D0AB7">
        <w:t>[xxxvi]</w:t>
      </w:r>
      <w:bookmarkEnd w:id="35"/>
      <w:r w:rsidRPr="002D0AB7">
        <w:t>. В русской культуре подобного рода мысли о прямом соответствии звука и значения высказывал М.В. Ломоносов.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В произведении средствами художественного слова создан портрет, вероятно, портрет девушки. Его детали — «губы», «взоры», «брови», «облик», «цепь» — созданы прежде всего средствами словесно-звуковой образности: повтором гласных, сонорных, звонких, губных. Поэт осуществил стилизацию не только живописного, но и, учитывая характер выбранных звуков, музыкального начал: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Бобэόбипелись губы,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Вээόми пелись взоры,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Пиэээо — пелись брови,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Лиэээй—пелся облик.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Гзи-гзи-гзэо пелась цепь.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Так на холсте каких-то соответствий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Вне протяжения жило Лицо (1, 198).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Наиболее «музыкальная», почти сплошь состоящая из гласных и сонорных, 4-я строка, рисующая лицо (облик) как целое. Упоминание о «холсте» в 6-й строке ассоциативно позволяет увидеть в этом описании как «зарисовку с натуры», так и словесное изображение произведения живописи — портрета.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Яркие словесно-звуковые образы созданы Хлебниковым на основе стилизации культивировавшей музыкальное начало поэзии символистов. Особенность стиля поэта состоит в том, что музыкальность изображается через «футуристические» «заумные слова» (бобэоби, вээоми, пиээо, лиэээй</w:t>
      </w:r>
      <w:bookmarkStart w:id="36" w:name="_ednref37"/>
      <w:r w:rsidRPr="002D0AB7">
        <w:t>[xxxvii]</w:t>
      </w:r>
      <w:bookmarkEnd w:id="36"/>
      <w:r w:rsidRPr="002D0AB7">
        <w:t>, гзи-гзи-гзэо), состоящие</w:t>
      </w:r>
      <w:bookmarkStart w:id="37" w:name="_ednref38"/>
      <w:r w:rsidRPr="002D0AB7">
        <w:t>[xxxviii]</w:t>
      </w:r>
      <w:bookmarkEnd w:id="37"/>
      <w:r w:rsidRPr="002D0AB7">
        <w:t xml:space="preserve"> в основном из гласных и сонорных — элемент традиции поэзии символизма. Создается образ синтетического (слово, музыка, живопись) действа, портретирующий и одновременно профанирующий литургию — Мистерию. Одно из своих произведений — «Скуфья скифа» — Хлебников в плане жанра так и определяет как мистерию.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Каждая из пяти составляющих портрета «поется», имеет свою роль, изображается в одном из пяти стихов («пелись губы», «пелись взоры» и т.д.). Петься, по словарю В.И. Даля, значит «быть пету или поему»</w:t>
      </w:r>
      <w:bookmarkStart w:id="38" w:name="_ednref39"/>
      <w:r w:rsidRPr="002D0AB7">
        <w:t>[xxxix]</w:t>
      </w:r>
      <w:bookmarkEnd w:id="38"/>
      <w:r w:rsidRPr="002D0AB7">
        <w:t>. Поэтому губы, взоры и т.д. являются не столько сами «действующими» (хотя и такое толкование возможно</w:t>
      </w:r>
      <w:bookmarkStart w:id="39" w:name="_ednref40"/>
      <w:r w:rsidRPr="002D0AB7">
        <w:t>[xl]</w:t>
      </w:r>
      <w:bookmarkEnd w:id="39"/>
      <w:r w:rsidRPr="002D0AB7">
        <w:t xml:space="preserve">), сколько предметом пения, воспевания, прославления, вдохновляющими на пение.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«Пелись», кроме соединения в своем значении музыки и слова, служит важной составляющей музыкальности данного стихотворения (гласные Е, И, сонорный Л, повторяющиеся в каждой из пяти строк), изображает пение и в смысловом, и в звуковом, образном планах.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Портрет (словесное изображение произведения живописи) создается не только средствами стилизации мистериального действа, но и «мерцанием», принципиальной неоднозначностью смысла художественного слова — элементом стилизации живописи как вида искусства. Так, в последних двух строках стихотворения «холст» оказывается метафорой — это «холст каких-то соответствий» (аллюзия на знаменитое стихотворение Ш. Бодлера «Соответствия», использованная в мистериальном по характеру образе). Тогда изображенный в начале облик мог быть не живописным, а вполне «настоящим», а «холст соответствий» — это второй, скрытый, мистический план обрисованного облика или живописного портрета.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Облик, по В.И. Далю, — «оклад и черты лица, общность вида и выраженья лица, физиономия», самые общие, «природные», черты лица (поговорка: «Я и облику его не видал, в глаза его не знаю»</w:t>
      </w:r>
      <w:bookmarkStart w:id="40" w:name="_ednref41"/>
      <w:r w:rsidRPr="002D0AB7">
        <w:t>[xli]</w:t>
      </w:r>
      <w:bookmarkEnd w:id="40"/>
      <w:r w:rsidRPr="002D0AB7">
        <w:t>). Лицо, наоборот, – нечто конкретное, личностное, оно есть «выраженье на лице духовных качеств», «представитель высших духовных даров». В этом контексте губы — «духовная хвала», глаза — «разуменье, разумное созерцанье»</w:t>
      </w:r>
      <w:bookmarkStart w:id="41" w:name="_ednref42"/>
      <w:r w:rsidRPr="002D0AB7">
        <w:t>[xlii]</w:t>
      </w:r>
      <w:bookmarkEnd w:id="41"/>
      <w:r w:rsidRPr="002D0AB7">
        <w:t xml:space="preserve">. В стихотворении Хлебникова изображаются не «глаза», а «взоры» — неоромантический художественно-речевой образ. Пушкин в романе «Евгений Онегин», пародируя расхожее изображение романтического героя, пользуется именно им: «Блистая взорами, Евгений / Стоит подобно грозной тени» (Глава III, строфа XLI).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Поэт художественно противопоставил центральные в композиционном и смысловом планах для каждой из частей стихотворения однокоренные слова облик и Лицо</w:t>
      </w:r>
      <w:bookmarkStart w:id="42" w:name="_ednref43"/>
      <w:r w:rsidRPr="002D0AB7">
        <w:t>[xliii]</w:t>
      </w:r>
      <w:bookmarkEnd w:id="42"/>
      <w:r w:rsidRPr="002D0AB7">
        <w:t>, изображающие соответственно материальное и духовное начала в портрете. Такого рода приемы — характерная черта стиля поэта, связанная с элементами стилизации в его творчестве литургической поэзии</w:t>
      </w:r>
      <w:bookmarkStart w:id="43" w:name="_ednref44"/>
      <w:r w:rsidRPr="002D0AB7">
        <w:t>[xliv]</w:t>
      </w:r>
      <w:bookmarkEnd w:id="43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Изображенное Лицо «жило» (реально существовало или как минимум производило впечатление живого) «вне протяжения», т.е. вне пространства, в идеальном мире, одновременно проявляя себя в виде материально данного живописного облика. Такая обрисовка мистического Лица — еще один аспект портретирования иконы, в данном случае — древнерусской. Именно ей свойственна как бы одновременность многих точек взгляда на лик, предмет изображения, исключающая натуралистичность и передающая его живость, мистическую глубину, принадлежность иной, высшей реальности. Эти особенности классической древнерусской иконы раскрыл о. Павел Флоренский. Кстати, к П.А. Флоренскому, о котором упоминается в автобиографической повести «Ка-2», «Хлебников ездил в Сергиев Посад в марте </w:t>
      </w:r>
      <w:smartTag w:uri="urn:schemas-microsoft-com:office:smarttags" w:element="metricconverter">
        <w:smartTagPr>
          <w:attr w:name="ProductID" w:val="1916 г"/>
        </w:smartTagPr>
        <w:r w:rsidRPr="002D0AB7">
          <w:t>1916 г</w:t>
        </w:r>
      </w:smartTag>
      <w:r w:rsidRPr="002D0AB7">
        <w:t xml:space="preserve">. с предложением вступить в «Общество 317» (по воспоминаниям Петровского). Осенью </w:t>
      </w:r>
      <w:smartTag w:uri="urn:schemas-microsoft-com:office:smarttags" w:element="metricconverter">
        <w:smartTagPr>
          <w:attr w:name="ProductID" w:val="1916 г"/>
        </w:smartTagPr>
        <w:r w:rsidRPr="002D0AB7">
          <w:t>1916 г</w:t>
        </w:r>
      </w:smartTag>
      <w:r w:rsidRPr="002D0AB7">
        <w:t xml:space="preserve">. на оборотной стороне декларации «Труба марсиан» анонсировался журнал «Слововед»: среди авторов статей назывался П.А. Флоренский. Неопубликованная при жизни статья Флоренского «Мысль и язык» (апрель </w:t>
      </w:r>
      <w:smartTag w:uri="urn:schemas-microsoft-com:office:smarttags" w:element="metricconverter">
        <w:smartTagPr>
          <w:attr w:name="ProductID" w:val="1918 г"/>
        </w:smartTagPr>
        <w:r w:rsidRPr="002D0AB7">
          <w:t>1918 г</w:t>
        </w:r>
      </w:smartTag>
      <w:r w:rsidRPr="002D0AB7">
        <w:t>. &lt;…&gt;) содержит ряд замечаний о поэтике русского футуризма»</w:t>
      </w:r>
      <w:bookmarkStart w:id="44" w:name="_ednref45"/>
      <w:r w:rsidRPr="002D0AB7">
        <w:t>[xlv]</w:t>
      </w:r>
      <w:bookmarkEnd w:id="44"/>
      <w:r w:rsidRPr="002D0AB7">
        <w:t>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П.А. Флоренский отмечал мнимую «безграмотность» рисунка древнерусских икон. «Как в криволи</w:t>
      </w:r>
      <w:r w:rsidRPr="002D0AB7">
        <w:softHyphen/>
        <w:t>нейных, так и в ограненных телах, на иконе бывают нередко показаны такие части и поверхности, которые не могут быть видны сразу, о чем нетрудно узнать из любого элементарного учебника перспективы. Так, при нормальности луча зрения к фа</w:t>
      </w:r>
      <w:r w:rsidRPr="002D0AB7">
        <w:softHyphen/>
        <w:t>саду изображаемых зданий, у них бывают показаны совместно обе боковые стены; у Евангелия видны сразу три или даже все четыре обреза; лицо — изображается с теменем, висками и уша</w:t>
      </w:r>
      <w:r w:rsidRPr="002D0AB7">
        <w:softHyphen/>
        <w:t>ми, отвернутыми вперед и как бы распластанными на плоскости иконы, с повернутыми к зрителю плоскостями носа и других частей лица, которые не должны были бы быть показаны, да еще при повернутости плоскостей, которым, напротив, есте</w:t>
      </w:r>
      <w:r w:rsidRPr="002D0AB7">
        <w:softHyphen/>
        <w:t>ственно было бы быть обращенными вперед; характерны также горбы согбенных фигур деисусного ряда, спина и грудь, одно</w:t>
      </w:r>
      <w:r w:rsidRPr="002D0AB7">
        <w:softHyphen/>
        <w:t>временно представленные у св. Прохора, пишущего под руко</w:t>
      </w:r>
      <w:r w:rsidRPr="002D0AB7">
        <w:softHyphen/>
        <w:t>водством апостола Иоанна Богослова, и другие аналогичные соединения поверхностей профиля и фаса, спинной и фронталь</w:t>
      </w:r>
      <w:r w:rsidRPr="002D0AB7">
        <w:softHyphen/>
        <w:t>ной плоскостей, и т. д.»; «Что скажем мы, например, об иконе Спаса Вседержителя в Лаврской ризнице, на которой голова отвернута вправо, но с правой же стороны имеет дополнительную плоскость, причем ракурс левой стороны нoca меньше правого и т.п.? Плоскость носа настолько явно повернута в сторону, а поверхности темени и висков развернуты, что не было бы затруднения забраковать такую икону, если бы не — вопреки ее «неправильности» — изумительная выразительность и полнота ее»</w:t>
      </w:r>
      <w:bookmarkStart w:id="45" w:name="_ednref46"/>
      <w:r w:rsidRPr="002D0AB7">
        <w:t>[xlvi]</w:t>
      </w:r>
      <w:bookmarkEnd w:id="45"/>
      <w:r w:rsidRPr="002D0AB7">
        <w:t xml:space="preserve">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Отмеченный контекст дает возможность увидеть, как произведение Хлебникова, ни в коей мере не православное, связано с древнерусской иконой. Живое и выразительное Лицо (очевидно, Ипостась Божества, или «Лицо», прямо указывающее на Него, например, Лик Божией Матери) вне пространства — протяжения, тем не менее, вполне доступно для восприятия, служит объектом пения — воспевания. Что это, как не словесный аналог иконы, блестяще осуществленный поэтом средствами собственного индивидуального стиля синтез слова и живописи — иконописи?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Синтез слова и живописи в лирике Маяковского и Хлебникова не представим без общего контекста художественного синтеза, характерного для эпохи рубежа ХIХ — ХХ веков. Для лирических произведений Маяковского характерны жизнестроительное начало, тема формирования нового человека, теснейшим образом связанные со стилизацией живописных приемов, цветовой палитры, иных составляющих изобразительного искусства, иконы. Стилизация живописи, иконописи в поэзии Хлебникова функционирует как элемент характерной для его творчества и по-своему художественно преломленной им стилизации мистериального действа. Такая стилизация проявляется как в изображении произведений живописи, словесном портрете («тема» живописи), так и в особенностях «мерцающей», заведомо многоплановой поэтической речи, композиции, образности («живописный», импрессионистический стиль). Оба поэта — яркие продолжатели державинской поэтической традиции в русской литературе ХХ века. Одна из ее доминат, подчеркнутая в свое время самим Державиным, — словесная живопись, которую (и шире — синтез искусств) своеобразно воплотили в словесном творчестве Маяковский и Хлебников. </w:t>
      </w:r>
    </w:p>
    <w:p w:rsidR="00B715D4" w:rsidRPr="002D0AB7" w:rsidRDefault="00B715D4" w:rsidP="00B715D4">
      <w:pPr>
        <w:widowControl/>
        <w:spacing w:before="120"/>
        <w:jc w:val="center"/>
        <w:rPr>
          <w:b/>
          <w:sz w:val="28"/>
        </w:rPr>
      </w:pPr>
      <w:r w:rsidRPr="002D0AB7">
        <w:rPr>
          <w:b/>
          <w:sz w:val="28"/>
        </w:rPr>
        <w:t>Список литературы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46" w:name="_edn1"/>
      <w:r w:rsidRPr="002D0AB7">
        <w:t xml:space="preserve"> [i]</w:t>
      </w:r>
      <w:bookmarkEnd w:id="46"/>
      <w:r w:rsidRPr="002D0AB7">
        <w:t xml:space="preserve"> Винокур Г.О. Маяковский — новатор языка. М., 1943; Харджиев Н. Маяковский и Хлебников // Харджиев Н., Тренин В. Поэтическая культура Маяковского. М., 1970; Гончаров Б.П. Маяковский и Хлебников. К проблеме концепции слова // Филологические науки. 1976. № 3; Урбан А. Мечтатель и практик: Хлебников и Маяковский // Звезда. 1983. № 4; Урбан А. Мечтатель и трибун: (О Хлебникове и Маяковском) // В мире Маяковского. Кн. </w:t>
      </w:r>
      <w:smartTag w:uri="urn:schemas-microsoft-com:office:smarttags" w:element="metricconverter">
        <w:smartTagPr>
          <w:attr w:name="ProductID" w:val="1 М"/>
        </w:smartTagPr>
        <w:r w:rsidRPr="002D0AB7">
          <w:t>1 М</w:t>
        </w:r>
      </w:smartTag>
      <w:r w:rsidRPr="002D0AB7">
        <w:t xml:space="preserve">., 1984; Бурдина С.В. Маяковский и Хлебников — эпика первых лет революции // Поэтический мир Велимира Хлебникова. Волгоград, 1990; Минералов Ю.И. Мир поэтического неологизма // Минералов Ю.И. Поэтика. Стиль. Техника. С. 170—174.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47" w:name="_edn2"/>
      <w:r w:rsidRPr="002D0AB7">
        <w:t>[ii]</w:t>
      </w:r>
      <w:bookmarkEnd w:id="47"/>
      <w:r w:rsidRPr="002D0AB7">
        <w:t xml:space="preserve"> Маяковский В.В. В.В. Хлебников // Маяковский В.В. Собрание сочинений: В 8 т. Т. </w:t>
      </w:r>
      <w:smartTag w:uri="urn:schemas-microsoft-com:office:smarttags" w:element="metricconverter">
        <w:smartTagPr>
          <w:attr w:name="ProductID" w:val="3. М"/>
        </w:smartTagPr>
        <w:r w:rsidRPr="002D0AB7">
          <w:t>3. М</w:t>
        </w:r>
      </w:smartTag>
      <w:r w:rsidRPr="002D0AB7">
        <w:t>., 1968. С. 415.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48" w:name="_edn3"/>
      <w:r w:rsidRPr="002D0AB7">
        <w:t>[iii]</w:t>
      </w:r>
      <w:bookmarkEnd w:id="48"/>
      <w:r w:rsidRPr="002D0AB7">
        <w:t xml:space="preserve"> Самойлов Д. Книга о русской рифме. М., 1982.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49" w:name="_edn4"/>
      <w:r w:rsidRPr="002D0AB7">
        <w:t>[iv]</w:t>
      </w:r>
      <w:bookmarkEnd w:id="49"/>
      <w:r w:rsidRPr="002D0AB7">
        <w:t xml:space="preserve"> Иванов Вяч.И. Взгляд Скрябина на искусство // Вяч.И. Иванов. Лик и личины России. Эстетика и литературная теория. М., 1995. С. 172—191; Минералова И.Г. Русская литература серебряного века (Поэтика символизма). М., 1999. С. 4; Азизян И.А. Диалог искусств Серебряного века. М., 2001. С. 5. О другой рубежной эпохе и художественном синтезе в ее культуре см.: Скатов Н.Н. Литературные очерки. М., 1985. С. 5 и далее.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0" w:name="_edn5"/>
      <w:r w:rsidRPr="002D0AB7">
        <w:t>[v]</w:t>
      </w:r>
      <w:bookmarkEnd w:id="50"/>
      <w:r w:rsidRPr="002D0AB7">
        <w:t xml:space="preserve"> Об особенностях и функциях портрета в лирике А.А. Ахматовой см.: Невинская И.Н. «В то время я гостила на земле…» (Поэзия Ахматовой). М., 1999. С. 13—37. См. также: У Чуньмэй. Портрет в рассказах и повестях Л.Н. Андреева. Монография / Научный редактор: Минералова И.Г. М.—Ярославль, 2006. Близкий к интересующему нас материал анализируется в книге: Лепахин В. Икона в русской художественной литературе. М., </w:t>
      </w:r>
      <w:smartTag w:uri="urn:schemas-microsoft-com:office:smarttags" w:element="metricconverter">
        <w:smartTagPr>
          <w:attr w:name="ProductID" w:val="2002. См"/>
        </w:smartTagPr>
        <w:r w:rsidRPr="002D0AB7">
          <w:t>2002. См</w:t>
        </w:r>
      </w:smartTag>
      <w:r w:rsidRPr="002D0AB7">
        <w:t>. также: Сакович А.Г. Библейские образы в раннем творчестве Владимира Маяковского, или Мистерия-буфф в действии // Библия в культуре и искусстве. Материалы научной конференции «Випперовские чтения—1995». Выпуск XXVIII. М., 1996. С. 326—331.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1" w:name="_edn6"/>
      <w:r w:rsidRPr="002D0AB7">
        <w:t>[vi]</w:t>
      </w:r>
      <w:bookmarkEnd w:id="51"/>
      <w:r w:rsidRPr="002D0AB7">
        <w:t xml:space="preserve"> Хлебников В. Неизданные произведения. М., 1940. С. 334.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2" w:name="_edn7"/>
      <w:r w:rsidRPr="002D0AB7">
        <w:t>[vii]</w:t>
      </w:r>
      <w:bookmarkEnd w:id="52"/>
      <w:r w:rsidRPr="002D0AB7">
        <w:t xml:space="preserve"> Лившиц Б.К. Полутораглазый стрелец. М., 1992.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3" w:name="_edn8"/>
      <w:r w:rsidRPr="002D0AB7">
        <w:t>[viii]</w:t>
      </w:r>
      <w:bookmarkEnd w:id="53"/>
      <w:r w:rsidRPr="002D0AB7">
        <w:t xml:space="preserve"> См., напр.: Альфонсов В.А. «Чтобы слово смело пошло за живописью» (В. Хлебников и живопись) // Литература и живопись. Л., 1982; Сарабьянов Д.В. Неопримитивизм в русской живописи и поэзия 1910-х годов // Мир Велимира Хлебникова: Статьи. Исследования (1911—1998). М., 2000. С. 619—636; Jean-Claude Marcade. Взаимоотношения поэзии и живописи в «Полутораглазом стрельце» Б.К. Лившица // Культура русского модернизма. Статьи. Эссе. Публикации. М., 1993; Ланн Ж.-К. О разных аспектах экфрасиса у Велимира Хлебникова // Экфрасис в русской литературе.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4" w:name="_edn9"/>
      <w:r w:rsidRPr="002D0AB7">
        <w:t>[ix]</w:t>
      </w:r>
      <w:bookmarkEnd w:id="54"/>
      <w:r w:rsidRPr="002D0AB7">
        <w:t xml:space="preserve"> Хлебников В.В. Творения; он же. Собрание сочинений: В 6 т.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5" w:name="_edn10"/>
      <w:r w:rsidRPr="002D0AB7">
        <w:t>[x]</w:t>
      </w:r>
      <w:bookmarkEnd w:id="55"/>
      <w:r w:rsidRPr="002D0AB7">
        <w:t xml:space="preserve"> Михайлов Ал. Маяковский (ЖЗЛ). С. 28—30.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6" w:name="_edn11"/>
      <w:r w:rsidRPr="002D0AB7">
        <w:t>[xi]</w:t>
      </w:r>
      <w:bookmarkEnd w:id="56"/>
      <w:r w:rsidRPr="002D0AB7">
        <w:t xml:space="preserve"> Там же. С. 69–80. См. также: Бурлюки Д. и М. Маяковский и его современники // Русский футуризм. Теория. Практика. Критика. Воспоминания. Сост. В.Н. Терехина, А.П. Зименков. М., 1999. С. 328—329.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7" w:name="_edn12"/>
      <w:r w:rsidRPr="002D0AB7">
        <w:t>[xii]</w:t>
      </w:r>
      <w:bookmarkEnd w:id="57"/>
      <w:r w:rsidRPr="002D0AB7">
        <w:t xml:space="preserve"> Маяковский-художник. М., 1963; Маяковский В.В. Революционный плакат // Маяковский В.В. Собрание сочинений: В 8 т. Т. 3. С. 423—426.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8" w:name="_edn13"/>
      <w:r w:rsidRPr="002D0AB7">
        <w:t>[xiii]</w:t>
      </w:r>
      <w:bookmarkEnd w:id="58"/>
      <w:r w:rsidRPr="002D0AB7">
        <w:t xml:space="preserve"> Соловьев В.С. Что значит слово «живописность»? // Соловьев В.С. Философия искусства и литературная критика. М., 1991. С. 218—223; Белый А. Мастерство Гоголя. С. 130—213.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59" w:name="_edn14"/>
      <w:r w:rsidRPr="002D0AB7">
        <w:t>[xiv]</w:t>
      </w:r>
      <w:bookmarkEnd w:id="59"/>
      <w:r w:rsidRPr="002D0AB7">
        <w:t xml:space="preserve"> Русский футуризм. Теория. Практика. Критика. Воспоминания. С. 61.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0" w:name="_edn15"/>
      <w:r w:rsidRPr="002D0AB7">
        <w:t>[xv]</w:t>
      </w:r>
      <w:bookmarkEnd w:id="60"/>
      <w:r w:rsidRPr="002D0AB7">
        <w:t xml:space="preserve"> Имеются в виду группы живописцев «Бубновый валет» и «Ослиный хвост» и сотрудничавшие с ними художники: П. Кончаловский, И. Машков, А. Лентулов, Р. Фальк, Н. Гончарова, К. Малевич, В. Татлин, Д. и Н. Бурлюки и др.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1" w:name="_edn16"/>
      <w:r w:rsidRPr="002D0AB7">
        <w:t>[xvi]</w:t>
      </w:r>
      <w:bookmarkEnd w:id="61"/>
      <w:r w:rsidRPr="002D0AB7">
        <w:t xml:space="preserve"> Цитируемое предисловие к альманаху «Садок судей II» (1913) подписано Д. Бурлюком, Е. Гуро, Н. Бурлюком, В. Маяковским, Е. Низен, В. Хлебниковым, Б. Лившицем, А. Крученых. См.: Русский футуризм. Теория. Практика. Критика. Воспоминания. С. 48.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2" w:name="_edn17"/>
      <w:r w:rsidRPr="002D0AB7">
        <w:t>[xvii]</w:t>
      </w:r>
      <w:bookmarkEnd w:id="62"/>
      <w:r w:rsidRPr="002D0AB7">
        <w:t xml:space="preserve"> Соколов А.Г. История русской литературы конца XIX — начала XX века. М., 2000. С. 351.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3" w:name="_edn18"/>
      <w:r w:rsidRPr="002D0AB7">
        <w:t>[xviii]</w:t>
      </w:r>
      <w:bookmarkEnd w:id="63"/>
      <w:r w:rsidRPr="002D0AB7">
        <w:t xml:space="preserve"> Русский футуризм. Теория. Практика. Критика. Воспоминания. С. 42.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4" w:name="_edn19"/>
      <w:r w:rsidRPr="002D0AB7">
        <w:t>[xix]</w:t>
      </w:r>
      <w:bookmarkEnd w:id="64"/>
      <w:r w:rsidRPr="002D0AB7">
        <w:t xml:space="preserve"> Хлебников В.В. Собрание произведений: В 5 т. Т. </w:t>
      </w:r>
      <w:smartTag w:uri="urn:schemas-microsoft-com:office:smarttags" w:element="metricconverter">
        <w:smartTagPr>
          <w:attr w:name="ProductID" w:val="5. М"/>
        </w:smartTagPr>
        <w:r w:rsidRPr="002D0AB7">
          <w:t>5. М</w:t>
        </w:r>
      </w:smartTag>
      <w:r w:rsidRPr="002D0AB7">
        <w:t xml:space="preserve">., 1932. С. 269.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5" w:name="_edn20"/>
      <w:r w:rsidRPr="002D0AB7">
        <w:t>[xx]</w:t>
      </w:r>
      <w:bookmarkEnd w:id="65"/>
      <w:r w:rsidRPr="002D0AB7">
        <w:t xml:space="preserve"> См.: Васильев С.А. Художественная индивидуальность В. Хлебникова: формы переосмысления филологической концепции А.А. Потебни // Ученые записки Московского гуманитарного педагогического института. Т. </w:t>
      </w:r>
      <w:smartTag w:uri="urn:schemas-microsoft-com:office:smarttags" w:element="metricconverter">
        <w:smartTagPr>
          <w:attr w:name="ProductID" w:val="3. М"/>
        </w:smartTagPr>
        <w:r w:rsidRPr="002D0AB7">
          <w:t>3. М</w:t>
        </w:r>
      </w:smartTag>
      <w:r w:rsidRPr="002D0AB7">
        <w:t>., 2005.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6" w:name="_edn21"/>
      <w:r w:rsidRPr="002D0AB7">
        <w:t>[xxi]</w:t>
      </w:r>
      <w:bookmarkEnd w:id="66"/>
      <w:r w:rsidRPr="002D0AB7">
        <w:t xml:space="preserve"> Хлебников В. Творения. С. 619.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7" w:name="_edn22"/>
      <w:r w:rsidRPr="002D0AB7">
        <w:t>[xxii]</w:t>
      </w:r>
      <w:bookmarkEnd w:id="67"/>
      <w:r w:rsidRPr="002D0AB7">
        <w:t xml:space="preserve"> Маяковский В.В. Избранные произведения: В 2 т. (Библиотека поэта. Большая серия). Т. </w:t>
      </w:r>
      <w:smartTag w:uri="urn:schemas-microsoft-com:office:smarttags" w:element="metricconverter">
        <w:smartTagPr>
          <w:attr w:name="ProductID" w:val="1. М"/>
        </w:smartTagPr>
        <w:r w:rsidRPr="002D0AB7">
          <w:t>1. М</w:t>
        </w:r>
      </w:smartTag>
      <w:r w:rsidRPr="002D0AB7">
        <w:t>.—Л., 1963. С. 602.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8" w:name="_edn23"/>
      <w:r w:rsidRPr="002D0AB7">
        <w:t>[xxiii]</w:t>
      </w:r>
      <w:bookmarkEnd w:id="68"/>
      <w:r w:rsidRPr="002D0AB7">
        <w:t xml:space="preserve"> Михайлов Ал. Маяковский (ЖЗЛ). С. 76—77.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69" w:name="_edn24"/>
      <w:r w:rsidRPr="002D0AB7">
        <w:t>[xxiv]</w:t>
      </w:r>
      <w:bookmarkEnd w:id="69"/>
      <w:r w:rsidRPr="002D0AB7">
        <w:t xml:space="preserve"> Произведения Маяковского, кроме особо отмеченных случаев, цитируются по изданию: Маяковский В.В. Собрание сочинений: В 8 т. Т. </w:t>
      </w:r>
      <w:smartTag w:uri="urn:schemas-microsoft-com:office:smarttags" w:element="metricconverter">
        <w:smartTagPr>
          <w:attr w:name="ProductID" w:val="1. М"/>
        </w:smartTagPr>
        <w:r w:rsidRPr="002D0AB7">
          <w:t>1. М</w:t>
        </w:r>
      </w:smartTag>
      <w:r w:rsidRPr="002D0AB7">
        <w:t>., 1968. В скобках указывается номер страницы.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0" w:name="_edn25"/>
      <w:r w:rsidRPr="002D0AB7">
        <w:t>[xxv]</w:t>
      </w:r>
      <w:bookmarkEnd w:id="70"/>
      <w:r w:rsidRPr="002D0AB7">
        <w:t xml:space="preserve"> Минералова И.Г. Русская литература серебряного века (Поэтика символизма).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1" w:name="_edn26"/>
      <w:r w:rsidRPr="002D0AB7">
        <w:t>[xxvi]</w:t>
      </w:r>
      <w:bookmarkEnd w:id="71"/>
      <w:r w:rsidRPr="002D0AB7">
        <w:t xml:space="preserve"> Цит. по: Михайлов Ал. Маяковский (ЖЗЛ). С. 95.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2" w:name="_edn27"/>
      <w:r w:rsidRPr="002D0AB7">
        <w:t>[xxvii]</w:t>
      </w:r>
      <w:bookmarkEnd w:id="72"/>
      <w:r w:rsidRPr="002D0AB7">
        <w:t xml:space="preserve"> О различных модификациях образа лирического героя см.: Минералов Ю.И. Лирический герой в русской поэзии ХIХ века // Темы русской классики. Выпуск </w:t>
      </w:r>
      <w:smartTag w:uri="urn:schemas-microsoft-com:office:smarttags" w:element="metricconverter">
        <w:smartTagPr>
          <w:attr w:name="ProductID" w:val="2. М"/>
        </w:smartTagPr>
        <w:r w:rsidRPr="002D0AB7">
          <w:t>2. М</w:t>
        </w:r>
      </w:smartTag>
      <w:r w:rsidRPr="002D0AB7">
        <w:t>., 2002. С. 158—175.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3" w:name="_edn28"/>
      <w:r w:rsidRPr="002D0AB7">
        <w:t>[xxviii]</w:t>
      </w:r>
      <w:bookmarkEnd w:id="73"/>
      <w:r w:rsidRPr="002D0AB7">
        <w:t xml:space="preserve"> Даль В.И. Толковый словарь живого великорусского языка. Т. 3. Стлб. 1575.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4" w:name="_edn29"/>
      <w:r w:rsidRPr="002D0AB7">
        <w:t>[xxix]</w:t>
      </w:r>
      <w:bookmarkEnd w:id="74"/>
      <w:r w:rsidRPr="002D0AB7">
        <w:t xml:space="preserve"> Минералов Ю.И. Теория художественной словесности. С. 291—298.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5" w:name="_edn30"/>
      <w:r w:rsidRPr="002D0AB7">
        <w:t>[xxx]</w:t>
      </w:r>
      <w:bookmarkEnd w:id="75"/>
      <w:r w:rsidRPr="002D0AB7">
        <w:t xml:space="preserve"> О так называемых «мнимых неправильностях» поэтического слога и их роли в художественном стиле и формировании содержания произведения см.: Минералов Ю.И. Теория художественной словесности. С. 33—186.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6" w:name="_edn31"/>
      <w:r w:rsidRPr="002D0AB7">
        <w:t>[xxxi]</w:t>
      </w:r>
      <w:bookmarkEnd w:id="76"/>
      <w:r w:rsidRPr="002D0AB7">
        <w:t xml:space="preserve"> Минералова И.Г. Эпатаж как художественный прием в стиле Владимира Маяковского // Владимир Маяковский и его традиция в поэзии. Исследования. М., 2005.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7" w:name="_edn32"/>
      <w:r w:rsidRPr="002D0AB7">
        <w:t>[xxxii]</w:t>
      </w:r>
      <w:bookmarkEnd w:id="77"/>
      <w:r w:rsidRPr="002D0AB7">
        <w:t xml:space="preserve"> &lt;…&gt; Юнона с Цинтекуатлем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 xml:space="preserve">Смотрят Корреджио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r w:rsidRPr="002D0AB7">
        <w:t>И восхищены Мурильо (3, 281).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8" w:name="_edn33"/>
      <w:r w:rsidRPr="002D0AB7">
        <w:t>[xxxiii]</w:t>
      </w:r>
      <w:bookmarkEnd w:id="78"/>
      <w:r w:rsidRPr="002D0AB7">
        <w:t xml:space="preserve"> Даль В.И. Толковый словарь живого великорусского языка. Т. 1. Стлб. 253.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79" w:name="_edn34"/>
      <w:r w:rsidRPr="002D0AB7">
        <w:t>[xxxiv]</w:t>
      </w:r>
      <w:bookmarkEnd w:id="79"/>
      <w:r w:rsidRPr="002D0AB7">
        <w:t xml:space="preserve"> Ср.: Шапир М.И. О «звукосимволизме» у раннего Хлебникова («Бобэоби пелись губы…»: фоническая структура) // Мир Велимира Хлебникова.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0" w:name="_edn35"/>
      <w:r w:rsidRPr="002D0AB7">
        <w:t>[xxxv]</w:t>
      </w:r>
      <w:bookmarkEnd w:id="80"/>
      <w:r w:rsidRPr="002D0AB7">
        <w:t xml:space="preserve"> Арензон Е.Р., Дуганов Р.В. Примечания // Хлебников В.В. Собрание сочинений: В 6 т. Т. 1. С. 476—477.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1" w:name="_edn36"/>
      <w:r w:rsidRPr="002D0AB7">
        <w:t>[xxxvi]</w:t>
      </w:r>
      <w:bookmarkEnd w:id="81"/>
      <w:r w:rsidRPr="002D0AB7">
        <w:t xml:space="preserve"> Веселовский А.Н. В.А. Жуковский. Поэзия чувства и «сердечного воображения». М., 1999. С. 376—377.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2" w:name="_edn37"/>
      <w:r w:rsidRPr="002D0AB7">
        <w:t>[xxxvii]</w:t>
      </w:r>
      <w:bookmarkEnd w:id="82"/>
      <w:r w:rsidRPr="002D0AB7">
        <w:t xml:space="preserve"> Здесь вероятен и мифопоэтический план — опора на характерное для серебряного века, унаследованное от Ницше противопоставление аполлоновского и диониссийского начал. Ср.: «Дионис славится как Лиэй («освободитель»), он освобождает человека от мирских забот, снимает с них путы размеренного быта, рвет оковы, которыми пытаются опутать его враги, и сокрушает стены». (Лосев А.Ф. Дионис // Мифология. Энциклопедия / Гл. ред. Е.М. Мелетинский. М., 2003. С. 190.)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3" w:name="_edn38"/>
      <w:r w:rsidRPr="002D0AB7">
        <w:t>[xxxviii]</w:t>
      </w:r>
      <w:bookmarkEnd w:id="83"/>
      <w:r w:rsidRPr="002D0AB7">
        <w:t xml:space="preserve"> Например, в отличие от многих заумных слов А.Е. Крученых, его «Дыр бул щыл…» и др.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4" w:name="_edn39"/>
      <w:r w:rsidRPr="002D0AB7">
        <w:t>[xxxix]</w:t>
      </w:r>
      <w:bookmarkEnd w:id="84"/>
      <w:r w:rsidRPr="002D0AB7">
        <w:t xml:space="preserve"> Даль В.И. Толковый словарь живого великорусского языка. Т. 3. Стлб. 1447.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5" w:name="_edn40"/>
      <w:r w:rsidRPr="002D0AB7">
        <w:t>[xl]</w:t>
      </w:r>
      <w:bookmarkEnd w:id="85"/>
      <w:r w:rsidRPr="002D0AB7">
        <w:t xml:space="preserve"> С точки зрения Ю.Н. Тынянова, «в чередовании губных б, лабиальных о с нейтральными э, и — движение реальных &lt;…&gt; губ; здесь орган назван, вызван к языковой жизни через восприятие работы этого органа» (Цит. по: Хлебников В.В. Собрание сочинений: В 5 т. Т. </w:t>
      </w:r>
      <w:smartTag w:uri="urn:schemas-microsoft-com:office:smarttags" w:element="metricconverter">
        <w:smartTagPr>
          <w:attr w:name="ProductID" w:val="5. М"/>
        </w:smartTagPr>
        <w:r w:rsidRPr="002D0AB7">
          <w:t>5. М</w:t>
        </w:r>
      </w:smartTag>
      <w:r w:rsidRPr="002D0AB7">
        <w:t>., 1932. С. 110).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6" w:name="_edn41"/>
      <w:r w:rsidRPr="002D0AB7">
        <w:t>[xli]</w:t>
      </w:r>
      <w:bookmarkEnd w:id="86"/>
      <w:r w:rsidRPr="002D0AB7">
        <w:t xml:space="preserve"> Даль В.И. Толковый словарь живого великорусского языка. Т.2. Стлб. 1526.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7" w:name="_edn42"/>
      <w:r w:rsidRPr="002D0AB7">
        <w:t>[xlii]</w:t>
      </w:r>
      <w:bookmarkEnd w:id="87"/>
      <w:r w:rsidRPr="002D0AB7">
        <w:t xml:space="preserve"> Хлебников В.В. Собрание сочинений: В 5 т. Т. </w:t>
      </w:r>
      <w:smartTag w:uri="urn:schemas-microsoft-com:office:smarttags" w:element="metricconverter">
        <w:smartTagPr>
          <w:attr w:name="ProductID" w:val="5. М"/>
        </w:smartTagPr>
        <w:r w:rsidRPr="002D0AB7">
          <w:t>5. М</w:t>
        </w:r>
      </w:smartTag>
      <w:r w:rsidRPr="002D0AB7">
        <w:t>., 1932. С. 667.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8" w:name="_edn43"/>
      <w:r w:rsidRPr="002D0AB7">
        <w:t>[xliii]</w:t>
      </w:r>
      <w:bookmarkEnd w:id="88"/>
      <w:r w:rsidRPr="002D0AB7">
        <w:t xml:space="preserve"> Ср. герменевтический анализ слова лице в кн.: Камчатнов А.М. Лингвистическая герменевтика. М., 1995. С. 66—75.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89" w:name="_edn44"/>
      <w:r w:rsidRPr="002D0AB7">
        <w:t>[xliv]</w:t>
      </w:r>
      <w:bookmarkEnd w:id="89"/>
      <w:r w:rsidRPr="002D0AB7">
        <w:t xml:space="preserve"> Подробнее см.: Васильев С.А. Поэтический стиль В. Хлебникова. Словесно-звуковая образность. Диссертация... кандидата филологических наук. М., 1997. 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90" w:name="_edn45"/>
      <w:r w:rsidRPr="002D0AB7">
        <w:t>[xlv]</w:t>
      </w:r>
      <w:bookmarkEnd w:id="90"/>
      <w:r w:rsidRPr="002D0AB7">
        <w:t xml:space="preserve"> Арензон Е.Р., Дуганов Р.В. Примечания // Хлебников В.В. Собрание сочинений: В 6 т. Т. </w:t>
      </w:r>
      <w:smartTag w:uri="urn:schemas-microsoft-com:office:smarttags" w:element="metricconverter">
        <w:smartTagPr>
          <w:attr w:name="ProductID" w:val="5. М"/>
        </w:smartTagPr>
        <w:r w:rsidRPr="002D0AB7">
          <w:t>5. М</w:t>
        </w:r>
      </w:smartTag>
      <w:r w:rsidRPr="002D0AB7">
        <w:t>., 2004. С. 419.</w:t>
      </w:r>
    </w:p>
    <w:p w:rsidR="00B715D4" w:rsidRPr="002D0AB7" w:rsidRDefault="00B715D4" w:rsidP="00B715D4">
      <w:pPr>
        <w:widowControl/>
        <w:spacing w:before="120"/>
        <w:ind w:firstLine="567"/>
        <w:jc w:val="both"/>
      </w:pPr>
      <w:bookmarkStart w:id="91" w:name="_edn46"/>
      <w:r w:rsidRPr="002D0AB7">
        <w:t>[xlvi]</w:t>
      </w:r>
      <w:bookmarkEnd w:id="91"/>
      <w:r w:rsidRPr="002D0AB7">
        <w:t xml:space="preserve"> Флоренский П.А. Обратная перспектива // Флоренский П.А., священник. Сочинения: В 4 т. Т. 3 (1). М., 2000. С. 46, 49.</w:t>
      </w:r>
    </w:p>
    <w:p w:rsidR="00811DD4" w:rsidRDefault="00811DD4">
      <w:bookmarkStart w:id="92" w:name="_GoBack"/>
      <w:bookmarkEnd w:id="9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5D4"/>
    <w:rsid w:val="002D0AB7"/>
    <w:rsid w:val="00596852"/>
    <w:rsid w:val="00811DD4"/>
    <w:rsid w:val="00956AF3"/>
    <w:rsid w:val="00B715D4"/>
    <w:rsid w:val="00C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294894-E853-455C-99AC-7076F99F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15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5387</Words>
  <Characters>30709</Characters>
  <Application>Microsoft Office Word</Application>
  <DocSecurity>0</DocSecurity>
  <Lines>255</Lines>
  <Paragraphs>72</Paragraphs>
  <ScaleCrop>false</ScaleCrop>
  <Company>Home</Company>
  <LinksUpToDate>false</LinksUpToDate>
  <CharactersWithSpaces>36024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словесной живописи в лирике В</dc:title>
  <dc:subject/>
  <dc:creator>User</dc:creator>
  <cp:keywords/>
  <dc:description/>
  <cp:lastModifiedBy>admin</cp:lastModifiedBy>
  <cp:revision>2</cp:revision>
  <dcterms:created xsi:type="dcterms:W3CDTF">2014-02-20T02:08:00Z</dcterms:created>
  <dcterms:modified xsi:type="dcterms:W3CDTF">2014-02-20T02:08:00Z</dcterms:modified>
</cp:coreProperties>
</file>