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52" w:rsidRPr="00180152" w:rsidRDefault="009F1252" w:rsidP="009F1252">
      <w:pPr>
        <w:spacing w:before="120"/>
        <w:jc w:val="center"/>
        <w:rPr>
          <w:b/>
          <w:bCs/>
          <w:sz w:val="32"/>
          <w:szCs w:val="32"/>
        </w:rPr>
      </w:pPr>
      <w:r w:rsidRPr="00180152">
        <w:rPr>
          <w:b/>
          <w:bCs/>
          <w:sz w:val="32"/>
          <w:szCs w:val="32"/>
        </w:rPr>
        <w:t xml:space="preserve">Баллада А. фон Платена «Klaglied Kaiser Otto des Dritten» и традиция духовной песни </w:t>
      </w:r>
    </w:p>
    <w:p w:rsidR="009F1252" w:rsidRPr="00180152" w:rsidRDefault="009F1252" w:rsidP="009F1252">
      <w:pPr>
        <w:spacing w:before="120"/>
        <w:jc w:val="center"/>
        <w:rPr>
          <w:sz w:val="28"/>
          <w:szCs w:val="28"/>
        </w:rPr>
      </w:pPr>
      <w:r w:rsidRPr="00180152">
        <w:rPr>
          <w:sz w:val="28"/>
          <w:szCs w:val="28"/>
        </w:rPr>
        <w:t xml:space="preserve">Ю.А. Плаксина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Некоторые стихотворения Августа фон Платена (и, в частности, баллада «Klaglied Kaiser Otto des Dritten», 1833) явно соотносятся с распространенным в XVII веке в Германии жанром духовной песни. Отцом этого жанра можно по праву считать М. Лютера (1483-1546), который подвергает литературной обработке ряд псалмов и создает на их основе замечательный сборник стихов под названием «Духовные песни». Позже это название станет обозначением самого жанра.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Духовные песни Лютера еще очень разнородны по своей строфической и ритмической структуре. Однако уже здесь намечается некоторое единство во внешнем оформлении духовной песни как особого литературного жанра. Наиболее частотными размерами данного цикла стихов становятся трех- и четырехстопный ямбы: «Herr Gott, dich loben wir! Herr Gott, wir danken dir» «Aus tiefer Not schrei ich zu dir. / Herr Gott erhor mein Rufen».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Бoльшинство своих песней Лютер делит на строфы в семь и девять строк, связанных между собой перекрестной и парной рифмой (чаще всего по схеме ababccdde или ababccd):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Ein neues Lied wir heben an,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Des walt Gott, unser Herre.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Zu singen, was Gott hat getan,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Zu seinem Lob und Ehre.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Zu Br?ssel in dem Niederland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Wohl durch zween junge Knaben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Hat er sein Wunder macht bekannt,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Die er mit seinen Gaben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So reichlich hat gezieret.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или: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Ach Gott, von Himmel siehe darein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Und la? dich das erbarmen.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Wie wenig sind der Heiligen dein,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Verlassen sind wir Armen.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Dein Wort man l??t nicht haben wahr,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Glaub ist auch verloschen gar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Bei allen Menschenkindern.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К XVII в. форма духовной песни выкристаллизовывается окончательно, а жанр этот достигает небывалого расцвета, что бесспорно связано с особенностями эстетики барокко. К этому жанру обращаются ведущие представители этого направления: С. Дах, A. Грифиус, М. Опиц, Ф. Цезен, П. Герхардт и др. Модель барочной духовной песни предполагает строго регламентированную строфическую структуру. Она обычно состоит из восьмистиший с перекрестной рифмой (ababcdcd):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Wind auf leeren Stra?en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Streckt aus die Fl?gel sein,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Streicht hin gar scharf ohn Ma?en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Zur Bethlems Krippen ein,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Er brummelt hin und wieder,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fliegend Winter bot,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Greift an die Gleich und Glieder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Dem frischvermenschten Gott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(Ф. Шпее).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Aus diesem tiefen Grunde,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Aengsten ruf ich dir,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Mit Hertzen und mit Munde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Gott, mein Trost und Zier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Du wollest, Herr, mir leihen.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Dein v?terliches Ohr: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Erh?re ja mein Schreien,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La? diese Seufzer vor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(М. Опиц).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Ведущим стихотворным размером духовной песни становится трехстопный ямб: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Gott stehet mir vor allen,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Die meine Seele liebt;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Dann soll mir auch gefallen,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mir sich herzlich gibt,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Mit diesem Bunds-Gesellen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Verlach ich Pein und Not,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Geh auf den Grund der H?llen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Und breche durch den Tod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(С. Дах)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Точно по такой же схеме построены некоторые стихотворения Августа фон Платена (в том числе и анализируемая баллада). Ср., например: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Haupt, voll Blut und Wunden,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Voll Schmerz und voller Hohn,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Haupt, zum Spott gebunden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Mit einer Dornenkron;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Haupt, sonst sch?n gezieret,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Mit h?chster Ehr und Zier,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Jetzt aber h?chst schimpfieret,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Gegr??et seist du mir!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(П. Герхардт).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Erde, nimm den M?den,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Den Lebensm?den auf,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hier im fernen S?den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Beschlie?t den Pilgerlauf!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Schon steh' ich an der Grenze,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Die Leib und Seele teilt,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Und meine zwanzig Lenze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Sind rasch dahin geeilt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(А. фон Платен).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На соотнесенность с традицией барочной духовной песни указывает уже само название баллады: традиционный мотив духовных песен (наряду с мотивами раскаяния и мольбы-просьбы) - мотив жалобы - был воспринят Платеном и использован в балладе. Обращаясь к Богу, лирический </w:t>
      </w:r>
      <w:r>
        <w:t xml:space="preserve"> </w:t>
      </w:r>
      <w:r w:rsidRPr="00CE1D3C">
        <w:t xml:space="preserve">герой сетует на свою злую судьбу, на несбывшиеся мечты и разбитые надежды. Стихотворение проникнуто настроениями глубокой скорби и печали. Показательно также созвучие названия баллады А. фон Платена - «Klaglied» (жалобная песнь, песнь-жалоба) - заголовку одного из стихотворений М. Опица - «Nachtklage» (ночная жалоба).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Важнейшим риторическим элементом канонической духовной песни является обращение к Богу, что вполне естественно для духовной песни как жанра, возникшего и развивающегося на основе протестантского ритуального песнопения. На синтаксическом уровне это обращение обычно оформляется восклицательным предложением и открывает стихотворение. Эмоциональность такого обращения зачастую усиливается междометиями, сопровождающими имя Создателя (например, у П.Герхардта: «O, Jesu, liebster Freund…»; у Ф.Шпее: «Ach, Jesu, Jesu, teuer Held…», «Nur ich, o Jesu, bin allein…»; у М.Опица: «O Gott, mein Trost und Zier…», «F?r dir, o Herr, bestehn…» и т.д.), а также многократным варьированным повторением этого обращения на протяжении всего стихотворения.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Платен в своей балладе «Klaglied Kaiser Otto des Dritten» видоизменяет этот элемент путем смены адресата, выводит его из сферы духовного, наделяет светским содержанием и тем самым секуляризирует жанр духовной песни. В обращениях Платена на месте Бога оказываются земля, мир, Рим и др., на уровень которых он переносит дихотомию Бога и мира, наделяя одни элементы сакральным значением, а другие представляя знаками «грешного» мира: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Erde, nimm den M?den,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Den Lebensm?den auf,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Der hier im fernen S?den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Beschlie?t den Pilgerlauf!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Или: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O Rom, wo meine Bl?ten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Verwelkt, wie d?rres Laub,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Dir ziemt es nicht zu h?ten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Den kaiserischen Staub!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Такая десакрализация духовной песни посредством нарушения канонической риторической формулы и делает возможным использование формы барочной духовной песни для передачи балладного, эпического содержания. Баллада построена как монолог паломника, достигшего цели и прощающегося с жизнью («Schon steh' ich an der Grenze, / Die Leib und Seele teilt», - мотив, принципиальный особенно для «вечерней» духовной песни). Пройденный путь присутствует здесь в завершенном виде и делает ситуацию балладной с присущим именно романтической балладе налетом историзма и экзотики странствия в святые места. Вместе с тем, это странствие - метафора жизни, и лирический герой пребывает в барочной, по сути дела, ситуации предстояния и отчета Богу, на место которого и подставлена сакрализуемая таким образом «земля». </w:t>
      </w:r>
    </w:p>
    <w:p w:rsidR="009F1252" w:rsidRPr="00CE1D3C" w:rsidRDefault="009F1252" w:rsidP="009F1252">
      <w:pPr>
        <w:spacing w:before="120"/>
        <w:ind w:firstLine="567"/>
        <w:jc w:val="both"/>
      </w:pPr>
      <w:r w:rsidRPr="00CE1D3C">
        <w:t xml:space="preserve">Воспринимая форму и основные мотивы барочной духовной песни, Платен наполняет ее новым содержанием. Синтез жанров духовной песни и баллады, жанра собственно лирического и жанра повествовательного, порождает особую лирическую (носитель речи - герой - зачастую маска лирического героя) эпичность, характерную для большинства баллад Платена, что и определяет их специфичность.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252"/>
    <w:rsid w:val="00180152"/>
    <w:rsid w:val="0031418A"/>
    <w:rsid w:val="005618CF"/>
    <w:rsid w:val="005A2562"/>
    <w:rsid w:val="009E3A0A"/>
    <w:rsid w:val="009F1252"/>
    <w:rsid w:val="00CE1D3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1E55C3-5CCA-49AA-AB87-919B4AD3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5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1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5633</Characters>
  <Application>Microsoft Office Word</Application>
  <DocSecurity>0</DocSecurity>
  <Lines>46</Lines>
  <Paragraphs>13</Paragraphs>
  <ScaleCrop>false</ScaleCrop>
  <Company>Home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Баллада А</dc:title>
  <dc:subject/>
  <dc:creator>Alena</dc:creator>
  <cp:keywords/>
  <dc:description/>
  <cp:lastModifiedBy>admin</cp:lastModifiedBy>
  <cp:revision>2</cp:revision>
  <dcterms:created xsi:type="dcterms:W3CDTF">2014-02-18T03:07:00Z</dcterms:created>
  <dcterms:modified xsi:type="dcterms:W3CDTF">2014-02-18T03:07:00Z</dcterms:modified>
</cp:coreProperties>
</file>