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4F0" w:rsidRPr="00DD00D2" w:rsidRDefault="004054F0" w:rsidP="004054F0">
      <w:pPr>
        <w:spacing w:before="120"/>
        <w:jc w:val="center"/>
        <w:rPr>
          <w:b/>
          <w:bCs/>
          <w:sz w:val="32"/>
          <w:szCs w:val="32"/>
        </w:rPr>
      </w:pPr>
      <w:r w:rsidRPr="00DD00D2">
        <w:rPr>
          <w:b/>
          <w:bCs/>
          <w:sz w:val="32"/>
          <w:szCs w:val="32"/>
        </w:rPr>
        <w:t>Поэтическое творчество как мышление именами</w:t>
      </w:r>
    </w:p>
    <w:p w:rsidR="004054F0" w:rsidRPr="00DD00D2" w:rsidRDefault="004054F0" w:rsidP="004054F0">
      <w:pPr>
        <w:spacing w:before="120"/>
        <w:ind w:firstLine="567"/>
        <w:jc w:val="both"/>
        <w:rPr>
          <w:sz w:val="28"/>
          <w:szCs w:val="28"/>
        </w:rPr>
      </w:pPr>
      <w:r w:rsidRPr="00DD00D2">
        <w:rPr>
          <w:sz w:val="28"/>
          <w:szCs w:val="28"/>
        </w:rPr>
        <w:t>Домащенко А.В.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Имя Его – пароль, посох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Песнопения, веха.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Ф. Гельдерлин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Если бы меня попросили кратко определить, о чем стихотворение Ф.И. Тютчева «Silentium!», я бы ответил, что оно об онтологии речи [</w:t>
      </w:r>
      <w:bookmarkStart w:id="0" w:name="01"/>
      <w:bookmarkEnd w:id="0"/>
      <w:r w:rsidRPr="00DD00D2">
        <w:t xml:space="preserve">1]. На тот же вопрос относительно стихотворения «О чем ты воешь, ветр ночной?..» я бы ответил, что оно об онтологии языка. Другими словами можно сказать, что эти стихотворения о более позднем и более раннем проявлении герменейи, причем о более раннем ее проявлении нам может сказать только поэзия.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Герменейя, как мы знаем, – это такое состояние языка, когда все имена, принадлежащие ему, «действительно суть имена» [</w:t>
      </w:r>
      <w:bookmarkStart w:id="1" w:name="02"/>
      <w:bookmarkEnd w:id="1"/>
      <w:r w:rsidRPr="00DD00D2">
        <w:t>2], то есть они выявляют природу вещей. Именно поэтому Кратил, защищая изначальное понимание языка (речи), утверждал: «…Кто знает имена, [тому] дано познать и вещи» [</w:t>
      </w:r>
      <w:bookmarkStart w:id="2" w:name="03"/>
      <w:bookmarkEnd w:id="2"/>
      <w:r w:rsidRPr="00DD00D2">
        <w:t xml:space="preserve">3]. У Ф.И. Тютчева мы обнаруживаем понимание герменейи как «пения дум», как изначальной стихослагающей речи, которая соотнесена с «целым миром»: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Есть целый мир в душе твоей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Таинственно-волшебных дум… [</w:t>
      </w:r>
      <w:bookmarkStart w:id="3" w:name="04"/>
      <w:bookmarkEnd w:id="3"/>
      <w:r w:rsidRPr="00DD00D2">
        <w:t xml:space="preserve">4]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В этом целом мире «я» тождественно «ты», а «душевная глубина» – космосу, «звездам в ночи», но также «ключам», то есть речи. В речи – начало и конец «целого мира», в речи его онтологическая основа.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До тех пор пока сохраняется такое понимание языка, поэзия остается не только серьезным, но самым важным делом; более того, только она и способна по-настоящему утвердить значимость любого человеческого свершения: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τουτο γαρ αθάνατον φωναεν ερπει,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ει τις ευ ειπη τι και πάγκαρπον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επι χθόνα και δια πόντον βέβακεν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εργμάτων ακτις καλων ασβεστος αιει.[</w:t>
      </w:r>
      <w:bookmarkStart w:id="4" w:name="05"/>
      <w:bookmarkEnd w:id="4"/>
      <w:r w:rsidRPr="00DD00D2">
        <w:t xml:space="preserve">5].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(Ибо бессмертно звучащим пребывает то,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что сказано хорошо: [благодаря этому] и по всеплодящей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земле и через море прошел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дел прекрасных негаснущий луч навсегда.)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В имени, принадлежащем герменейе, в имплицитном виде истина уже заключена, поэтому любое подлинное стихотворение оказывается на деле не чем иным, как развертыванием этого имплицитного целого. Любое </w:t>
      </w:r>
      <w:r>
        <w:t xml:space="preserve"> </w:t>
      </w:r>
      <w:r w:rsidRPr="00DD00D2">
        <w:t xml:space="preserve">подлинное стихотворение, таким образом, является надписью на имени, эпиграммой в изначальном смысле этого слова. О том, насколько живучим, насколько действенным на протяжении тысячелетий оставалась такое понимание поэтического слова, свидетельствует творческий опыт Ф.И. Тютчева.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В конце августа 1868 г. Ф.И. Тютчев пишет М.П. Погодину: «Простите авторской щепетильности. Мне хотелось, чтобы, по крайней мере, те стихи, которые надписаны на ваше имя, были по возможности исправны, и потому посылаю вам их вторым изданием» [</w:t>
      </w:r>
      <w:bookmarkStart w:id="5" w:name="06"/>
      <w:bookmarkEnd w:id="5"/>
      <w:r w:rsidRPr="00DD00D2">
        <w:t>6]. «Стихи, которые надписаны на ваше имя» – так по-русски, по крайней мере в наше время, не говорят. Но не говорят не потому, что этот оборот не свойствен русской речи, противоречит ее природе, а потому, что нами утрачен некий смысл, который здесь высказывается Тютчевым. Поэт тем и отличается от простых смертных, что он настолько укоренен в речи, настолько приобщился к самому ее существу, что ему нет надобности сверяться с грамматикой по поводу любого необычного оборота. Стихия речи – его родная стихия, поэтому он может высказать то, что нам, забывшим о своем сродстве с речью, даже уже и не грезится. И тем не менее задача наша остается прежней: постараться понять, какой смысл, часто благодаря невзначай брошенной поэтом фразе, выходит из потаенных глубин языка. Значит, речь укоренена в языке. Мы, таким образом, возвратились к началу – к</w:t>
      </w:r>
      <w:r>
        <w:t xml:space="preserve"> </w:t>
      </w:r>
      <w:r w:rsidRPr="00DD00D2">
        <w:t xml:space="preserve">вопросу о стихотворениях «Silentium!» и «О чем ты воешь, ветр ночной?..».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Попробуем начать разговор еще раз. Не страшно, если мы опять пройдем по кругу: в конце концов любое наше вопрошание обращено к одному и тому же. Слова «стихи, которые надписаны на… имя» – это определение эпиграммы, какой была она когда-то в греческой поэзии: επίγραμμα (букв. надпись) в чистом виде была не чем иным, как вопрошанием имени и его называнием. Пример такой эпиграммы находим у Симонида (или у оставшегося неизвестным одного из его современников):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Молви, кто ты? Чей сын? Где родился? И в чем победитель?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Касмил; Эвагров; Родос; в Дельфах, в кулачном бою [</w:t>
      </w:r>
      <w:bookmarkStart w:id="6" w:name="07"/>
      <w:bookmarkEnd w:id="6"/>
      <w:r w:rsidRPr="00DD00D2">
        <w:t xml:space="preserve">7].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Когда почувствуешь вкус к этому чекану имен, когда поймешь, что каждое отдельное имя было когда-то тождественно целому, совмещая в себе в еще не распавшемся единстве поэтическое и священное, только тогда станет ясно, что имел в виду Гиперион в письме к Диотиме: «Верь мне и помни, я говорю это от всей души: дар речи (die Sprache – λόγος. – А.Д.) – великое излишество. Лучшее всегда живет в самом себе и покоится в душевной глубине, как жемчуг на дне моря» [</w:t>
      </w:r>
      <w:bookmarkStart w:id="7" w:name="08"/>
      <w:bookmarkEnd w:id="7"/>
      <w:r w:rsidRPr="00DD00D2">
        <w:t>8]. И становится понятно, что когда поэт теряет все, остается только это: «Я добросовестно, словно эхо, называл каждую вещь данным ей именем» [</w:t>
      </w:r>
      <w:bookmarkStart w:id="8" w:name="09"/>
      <w:bookmarkEnd w:id="8"/>
      <w:r w:rsidRPr="00DD00D2">
        <w:t xml:space="preserve">9]. Пока поэзия была называнием имен, любое имя было достойным называния: «Касмил» вмещало в себе ту же полноту смысла, что и «Дельфы». Когда же такое восприятие имен утрачивается, поэзия, оставаясь по-прежнему руководимой именами, одновременно становится развертыванием имени в речи. Именно так соотносятся песни Пиндара, посвященные олимпийским победителям, с приведенной выше эпиграммой. Чтобы убедиться в этом, достаточно сравнить с нею любую песню Пиндара: построение песни определяется теми же самыми вопросами, значит, она обращена к тем же самым именам. Характерный пример – вторая Немейская песня: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Кто ты?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«О Тимодем!»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Чей сын?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«Ему, сыну Тимоноя».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Где родился?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«Издревле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Славились Ахарны добрыми мужами…»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И в чем победитель?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«Заложил основанье побед своих на священных играх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В многократно воспетой роще Зевса Немейского».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«Сила твоя, испытанная борьбой, возвеличивает тебя» [</w:t>
      </w:r>
      <w:bookmarkStart w:id="9" w:name="010"/>
      <w:bookmarkEnd w:id="9"/>
      <w:r w:rsidRPr="00DD00D2">
        <w:t xml:space="preserve">10].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Поскольку песни Пиндара по-прежнему руководимы именами, постольку они остаются манической поэзией, то есть создаются в состоянии одержимости именем (словом). Но так как поэт не ограничивается называнием имени, но развертывает его в речи как перифразе имени, со временем таких имен, в которых оказывается возможным осуществление поэтического (стихослагающего) мышления (мышления в герменейе), остается совсем немного.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Прежде всего, следует назвать «родимый хаос», из которого все происходит. Затем – четыре стихии, которые, про-ис-ходя из хаоса, остаются родимыми по отношению к «целому миру», определяя «состав» его «частей»: свет (огонь), воздух (ветер), вода, земля. К ним, вслед за Эмпедоклом, необходимо прибавить еще два имени: любовь и вражду. И еще: время и память. Мы знаем: именно память (Мнемозина) породила поэзию. Без большого преувеличения можно сказать, что эти имена главным образом определили содержание всей мировой поэзии. Но первые пять все же стоят особняком: это не столько имена, сколько праимена, причем если из первого все происходит, то последующие четыре оказываются способными заключать в себе все, поскольку они предшествуют «целому миру»: его порождают, будучи сами порождением хаоса. В этом отношении в поэзии от Пиндара до Тютчева ничего не изменилось: «дневной свет» у Пиндара столь же «первозданен» [</w:t>
      </w:r>
      <w:bookmarkStart w:id="10" w:name="011"/>
      <w:bookmarkEnd w:id="10"/>
      <w:r w:rsidRPr="00DD00D2">
        <w:t>11], сколь первозданен ночной ветер у Тютчева, а земля и у того и у другого поэта вовсе не только в силу поэтической традиции остается матерью [</w:t>
      </w:r>
      <w:bookmarkStart w:id="11" w:name="012"/>
      <w:bookmarkEnd w:id="11"/>
      <w:r w:rsidRPr="00DD00D2">
        <w:t>12]. Все эти имена взаимозаменимы и тождественны не только потому, что, к примеру, у Пиндара источник, ключ (κρουνός) может иметь значение «огонь» (Пиф. 1.25) [</w:t>
      </w:r>
      <w:bookmarkStart w:id="12" w:name="013"/>
      <w:bookmarkEnd w:id="12"/>
      <w:r w:rsidRPr="00DD00D2">
        <w:t xml:space="preserve">13].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Каждая из названных стихий [имен] неподвластна времени: огонь (πυρ) у Пиндара вечен, земля (χθών) – бессмертна [</w:t>
      </w:r>
      <w:bookmarkStart w:id="13" w:name="014"/>
      <w:bookmarkEnd w:id="13"/>
      <w:r w:rsidRPr="00DD00D2">
        <w:t>14]. Все они священны: свет (φέγγος); земля (κρημνός, νασος); вода (πόρος) [</w:t>
      </w:r>
      <w:bookmarkStart w:id="14" w:name="015"/>
      <w:bookmarkEnd w:id="14"/>
      <w:r w:rsidRPr="00DD00D2">
        <w:t>15]. Все они в равной степени соотнесены с языком, поэтической речью, то есть являются словом: у Пиндара вода (ύδωρ) – песня, равно роса (δρόσος) – победная песня, гимн. Гимны обладают способностью сиять, но гимном может быть и камень (λίθος) [</w:t>
      </w:r>
      <w:bookmarkStart w:id="15" w:name="016"/>
      <w:bookmarkEnd w:id="15"/>
      <w:r w:rsidRPr="00DD00D2">
        <w:t xml:space="preserve">16]. Не от этого ли камня ведет свою родословную знаменитый тютчевский камень, «скатившийся в долину»?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О всеохватывающей полноте смысла, присущего этим словам, свидетельствует то содержание, которое может вмещать в себя «ветер» (ουρος): это и «бог», и «гимны», и «слова», и «люди» [</w:t>
      </w:r>
      <w:bookmarkStart w:id="16" w:name="017"/>
      <w:bookmarkEnd w:id="16"/>
      <w:r w:rsidRPr="00DD00D2">
        <w:t xml:space="preserve">17]. Поскольку в ветре заключено все, постольку заключено все в любом его проявлении, в любом его ощутимом присутствии. Поэтому и у Тютчева в вое ночного ветра совмещены все возможные смыслы: это и странный голос, и понятный сердцу язык, и неистовые звуки – ответные на неистовство ветра, и страшные песни, и «повесть любимая», и, наконец, напоминание о заснувших бурях. Все эти имена – попытки называния того, что слышится в ночном вое ветра; это вопрошание, порожденное им и обращенное к нему.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Поэзию, которая руководствуется именами, мы называем манической [</w:t>
      </w:r>
      <w:bookmarkStart w:id="17" w:name="018"/>
      <w:bookmarkEnd w:id="17"/>
      <w:r w:rsidRPr="00DD00D2">
        <w:t>18]. Стихотворения Ф.И. Тютчева «Silentium!» и «О чем ты воешь, ветр ночной?..» – примеры такой поэзии: первое – надпись на имени «молчание», второе – на имени «ночной ветер». Каждое из этих стихотворений от начала и до конца – вопрошание имени и его развертывание в поэтической речи. Это развертывание осуществляется в состоянии одержимости именем: в первом случае – молчанием как «пением дум», во втором – безумием ночного ветра и неистовством его страшных песен. Безумие и неистовство – это и есть μανία. В одержимости истинным именем как раз и проявляется присутствие θειον [</w:t>
      </w:r>
      <w:bookmarkStart w:id="18" w:name="019"/>
      <w:bookmarkEnd w:id="18"/>
      <w:r w:rsidRPr="00DD00D2">
        <w:t xml:space="preserve">19] в нас.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В гимне «Рейн» Ф. Гельдерлин говорит: </w:t>
      </w:r>
    </w:p>
    <w:p w:rsidR="004054F0" w:rsidRPr="00DD00D2" w:rsidRDefault="004054F0" w:rsidP="004054F0">
      <w:pPr>
        <w:spacing w:before="120"/>
        <w:ind w:firstLine="567"/>
        <w:jc w:val="both"/>
        <w:rPr>
          <w:lang w:val="en-US"/>
        </w:rPr>
      </w:pPr>
      <w:r w:rsidRPr="00DD00D2">
        <w:rPr>
          <w:lang w:val="en-US"/>
        </w:rPr>
        <w:t xml:space="preserve">Ein Rätsel ist Reinentsprungenes. Auch </w:t>
      </w:r>
    </w:p>
    <w:p w:rsidR="004054F0" w:rsidRPr="00DD00D2" w:rsidRDefault="004054F0" w:rsidP="004054F0">
      <w:pPr>
        <w:spacing w:before="120"/>
        <w:ind w:firstLine="567"/>
        <w:jc w:val="both"/>
        <w:rPr>
          <w:lang w:val="en-US"/>
        </w:rPr>
      </w:pPr>
      <w:r w:rsidRPr="00DD00D2">
        <w:rPr>
          <w:lang w:val="en-US"/>
        </w:rPr>
        <w:t>Der Gesang kaum darf es enthüllen [</w:t>
      </w:r>
      <w:bookmarkStart w:id="19" w:name="020"/>
      <w:bookmarkEnd w:id="19"/>
      <w:r w:rsidRPr="00DD00D2">
        <w:rPr>
          <w:lang w:val="en-US"/>
        </w:rPr>
        <w:t xml:space="preserve">20]. </w:t>
      </w:r>
    </w:p>
    <w:p w:rsidR="004054F0" w:rsidRDefault="004054F0" w:rsidP="004054F0">
      <w:pPr>
        <w:spacing w:before="120"/>
        <w:ind w:firstLine="567"/>
        <w:jc w:val="both"/>
      </w:pPr>
      <w:r w:rsidRPr="00DD00D2">
        <w:t xml:space="preserve">(Чистый исток остается загадкой. Песня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Также едва ли смеет снять с нее покров.)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Песня не смеет снять покров с тайны истока, но не может не думать о ней. Эту меру Тютчев соблюдает в стихотворении «Silentium!», не выходя за пределы человеческой речи, хотя и в изначальной ее стихослагающей явленности – «пении дум». И эту меру Тютчев превозмогает в стихотворении «О чем ты воешь, ветр ночной?..», восходя в нем к тому состоянию герменейи, которое предшествовало рождению человеческого слова. Откровение шевелящегося хаоса – не что иное, как наказание за нарушение меры.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Неистовство страшных песен увлекает поэта в ту область, которая человеку заказана. Тайна истока открывается песне, поскольку поэт в состоянии одержимости оказывается причастным «языку» ветра, этот «язык» становится ему «понятным». Становясь неистовым, поэт одновременно становится провидцем. На взаимосвязь неистовства и провúденья уже обращал внимание М. Хайдеггер: «Провидец собрал все присутствующее и отсутствующее в одно при-сутствие и в этом присутствии истовствует.&lt;...&gt; Из истовости присутствующего сказует провидец. Он есть истосказатель.&lt;...&gt; В один прекрасный день мы станем учиться наше затасканное слово "истина" мыслить из этой истовости» [</w:t>
      </w:r>
      <w:bookmarkStart w:id="20" w:name="021"/>
      <w:bookmarkEnd w:id="20"/>
      <w:r w:rsidRPr="00DD00D2">
        <w:t>21]. И если справедливо, что, вопрошая, мы ничего не у-станавливаем, но сами должны у-стоять, храня при этом «оберегающее внимание к истине» [</w:t>
      </w:r>
      <w:bookmarkStart w:id="21" w:name="022"/>
      <w:bookmarkEnd w:id="21"/>
      <w:r w:rsidRPr="00DD00D2">
        <w:t xml:space="preserve">22], то в стихотворении «О чем ты воешь, ветр ночной?..» как раз и открывается присутствие такой истины, перед которой нам необходимо у-стоять – при том условии, что мы способны ее услышать.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Приоткрываясь, тайна сохраняет способность оставаться тайной. В стихотворении Тютчева это происходит потому, что непонятна и не может быть понята человеком звучащая в страшных песнях ветра мука. Поэтому вопрос: о чем поет песни ветер? – остается открытым. Любой наш ответ, если он будет захватывать существо вопроса, будет повторением сказанного поэтом. Страшные песни ветра – о том состоянии природы, которое предшествовало рождению «целого мира» с его по-человечески артикулированным смыслом. Они – о начале и конце, о роковом и неизбежном, о той праоснове мира, благодаря которой возможным стало его существование и к которой он рано или поздно обречен возвратиться – в свой «последний час».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Страшные песни ветра – это голос судьбы, который чуткое ухо поэта различает среди голосов «целого мира». Он звучит из той дальней дали, когда не было ничего, кроме первого усилия хаоса превозмочь самого себя и в ветре, свете, воде и земле явить возможность иного существования, установить предел «беспредельному».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 xml:space="preserve">Страшные песни ветра – это отзвук бурь, впервые прошумевших и прогремевших в момент рождения мира, и в его первозданном и неизбывном с тех пор вое сразу же прозвучала и вся мука рождения, и вся мука предстоящей гибели. А все наши песни – только попытка человеческим языком передать смысл этой «непонятной» муки. Передать, потому что в ней заключено все. </w:t>
      </w:r>
    </w:p>
    <w:p w:rsidR="004054F0" w:rsidRPr="00DD00D2" w:rsidRDefault="004054F0" w:rsidP="004054F0">
      <w:pPr>
        <w:spacing w:before="120"/>
        <w:jc w:val="center"/>
        <w:rPr>
          <w:b/>
          <w:bCs/>
          <w:sz w:val="28"/>
          <w:szCs w:val="28"/>
        </w:rPr>
      </w:pPr>
      <w:r w:rsidRPr="00DD00D2">
        <w:rPr>
          <w:b/>
          <w:bCs/>
          <w:sz w:val="28"/>
          <w:szCs w:val="28"/>
        </w:rPr>
        <w:t>Список литературы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22" w:name="1"/>
      <w:bookmarkEnd w:id="22"/>
      <w:r w:rsidRPr="00DD00D2">
        <w:t xml:space="preserve">1] См.: Домащенко А.В. Интерпретация и толкование. Донецк, 2000. С.113–118. </w:t>
      </w:r>
    </w:p>
    <w:p w:rsidR="004054F0" w:rsidRPr="00DD00D2" w:rsidRDefault="004054F0" w:rsidP="004054F0">
      <w:pPr>
        <w:spacing w:before="120"/>
        <w:ind w:firstLine="567"/>
        <w:jc w:val="both"/>
        <w:rPr>
          <w:lang w:val="en-US"/>
        </w:rPr>
      </w:pPr>
      <w:r w:rsidRPr="00DD00D2">
        <w:t>[</w:t>
      </w:r>
      <w:bookmarkStart w:id="23" w:name="2"/>
      <w:bookmarkEnd w:id="23"/>
      <w:r w:rsidRPr="00DD00D2">
        <w:t>2] Платон. Кратил // Платон. Собр. соч.: В 4 т. М.,1990. Т</w:t>
      </w:r>
      <w:r w:rsidRPr="00DD00D2">
        <w:rPr>
          <w:lang w:val="en-US"/>
        </w:rPr>
        <w:t xml:space="preserve">.1. </w:t>
      </w:r>
      <w:r w:rsidRPr="00DD00D2">
        <w:t>С</w:t>
      </w:r>
      <w:r w:rsidRPr="00DD00D2">
        <w:rPr>
          <w:lang w:val="en-US"/>
        </w:rPr>
        <w:t xml:space="preserve">.667.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rPr>
          <w:lang w:val="en-US"/>
        </w:rPr>
        <w:t>[</w:t>
      </w:r>
      <w:bookmarkStart w:id="24" w:name="3"/>
      <w:bookmarkEnd w:id="24"/>
      <w:r w:rsidRPr="00DD00D2">
        <w:rPr>
          <w:lang w:val="en-US"/>
        </w:rPr>
        <w:t>3] Pl</w:t>
      </w:r>
      <w:r w:rsidRPr="00DD00D2">
        <w:t>а</w:t>
      </w:r>
      <w:r w:rsidRPr="00DD00D2">
        <w:rPr>
          <w:lang w:val="en-US"/>
        </w:rPr>
        <w:t xml:space="preserve">tonis opera quae feruntur omnia. </w:t>
      </w:r>
      <w:r w:rsidRPr="00DD00D2">
        <w:t xml:space="preserve">Lipsiae,1877. Vol. 2. С.81. </w:t>
      </w:r>
    </w:p>
    <w:p w:rsidR="004054F0" w:rsidRPr="00DD00D2" w:rsidRDefault="004054F0" w:rsidP="004054F0">
      <w:pPr>
        <w:spacing w:before="120"/>
        <w:ind w:firstLine="567"/>
        <w:jc w:val="both"/>
        <w:rPr>
          <w:lang w:val="en-US"/>
        </w:rPr>
      </w:pPr>
      <w:r w:rsidRPr="00DD00D2">
        <w:t>[</w:t>
      </w:r>
      <w:bookmarkStart w:id="25" w:name="4"/>
      <w:bookmarkEnd w:id="25"/>
      <w:r w:rsidRPr="00DD00D2">
        <w:t>4] Тютчев Ф.И. Сочинения: В 2 т. М., 1980. Т</w:t>
      </w:r>
      <w:r w:rsidRPr="00DD00D2">
        <w:rPr>
          <w:lang w:val="en-US"/>
        </w:rPr>
        <w:t xml:space="preserve">. 1. </w:t>
      </w:r>
      <w:r w:rsidRPr="00DD00D2">
        <w:t>С</w:t>
      </w:r>
      <w:r w:rsidRPr="00DD00D2">
        <w:rPr>
          <w:lang w:val="en-US"/>
        </w:rPr>
        <w:t xml:space="preserve">.63.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rPr>
          <w:lang w:val="en-US"/>
        </w:rPr>
        <w:t>[</w:t>
      </w:r>
      <w:bookmarkStart w:id="26" w:name="5"/>
      <w:bookmarkEnd w:id="26"/>
      <w:r w:rsidRPr="00DD00D2">
        <w:rPr>
          <w:lang w:val="en-US"/>
        </w:rPr>
        <w:t xml:space="preserve">5] Pindari carmina cum fragmentis. </w:t>
      </w:r>
      <w:r w:rsidRPr="00DD00D2">
        <w:t xml:space="preserve">Pars 1. Epinicia. Lipsiae, 1980. С.172.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27" w:name="6"/>
      <w:bookmarkEnd w:id="27"/>
      <w:r w:rsidRPr="00DD00D2">
        <w:t xml:space="preserve">6] Литературное наследство. Т. 97. Федор Иванович Тютчев. М., 1988. Кн. 1. С.424.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28" w:name="7"/>
      <w:bookmarkEnd w:id="28"/>
      <w:r w:rsidRPr="00DD00D2">
        <w:t xml:space="preserve">7] Греческая эпиграмма. СПб., 1993. С.118.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29" w:name="8"/>
      <w:bookmarkEnd w:id="29"/>
      <w:r w:rsidRPr="00DD00D2">
        <w:t xml:space="preserve">8] Гельдерлин Ф. Гиперион. М., 1988. С.198.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0" w:name="9"/>
      <w:bookmarkEnd w:id="30"/>
      <w:r w:rsidRPr="00DD00D2">
        <w:t xml:space="preserve">9] Там же. С.193.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1" w:name="10"/>
      <w:bookmarkEnd w:id="31"/>
      <w:r w:rsidRPr="00DD00D2">
        <w:t xml:space="preserve">10] Пиндар. Вакхилид. Оды. Фрагменты. М., 1980. С.120.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2" w:name="11"/>
      <w:bookmarkEnd w:id="32"/>
      <w:r w:rsidRPr="00DD00D2">
        <w:t xml:space="preserve">11] См.: Гринбаум Н.С. Художественный мир античной поэзии: Творческий поиск Пиндара. М., 1990. С.6.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3" w:name="12"/>
      <w:bookmarkEnd w:id="33"/>
      <w:r w:rsidRPr="00DD00D2">
        <w:t xml:space="preserve">12] Пиндар. Указ. соч. С.33; Тютчев Ф.И. Указ. соч. С.81.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4" w:name="13"/>
      <w:bookmarkEnd w:id="34"/>
      <w:r w:rsidRPr="00DD00D2">
        <w:t xml:space="preserve">13] Пиндар. Указ. соч. С.16.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5" w:name="14"/>
      <w:bookmarkEnd w:id="35"/>
      <w:r w:rsidRPr="00DD00D2">
        <w:t xml:space="preserve">14] Там же. С.6, 10.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6" w:name="15"/>
      <w:bookmarkEnd w:id="36"/>
      <w:r w:rsidRPr="00DD00D2">
        <w:t xml:space="preserve">15] Там же. С.6, 11, 15.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7" w:name="16"/>
      <w:bookmarkEnd w:id="37"/>
      <w:r w:rsidRPr="00DD00D2">
        <w:t xml:space="preserve">16] Там же. С.6, 7, 12, 15.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8" w:name="17"/>
      <w:bookmarkEnd w:id="38"/>
      <w:r w:rsidRPr="00DD00D2">
        <w:t xml:space="preserve">17] Там же. С.6.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39" w:name="18"/>
      <w:bookmarkEnd w:id="39"/>
      <w:r w:rsidRPr="00DD00D2">
        <w:t xml:space="preserve">18] См.: Домащенко А.В. Маническая поэзия и миметическое искусство. Платон и Бахтин // Филологические исследования. Вып. 3. Донецк, 2001 (в печати). </w:t>
      </w:r>
    </w:p>
    <w:p w:rsidR="004054F0" w:rsidRPr="00DD00D2" w:rsidRDefault="004054F0" w:rsidP="004054F0">
      <w:pPr>
        <w:spacing w:before="120"/>
        <w:ind w:firstLine="567"/>
        <w:jc w:val="both"/>
        <w:rPr>
          <w:lang w:val="en-US"/>
        </w:rPr>
      </w:pPr>
      <w:r w:rsidRPr="00DD00D2">
        <w:t>[</w:t>
      </w:r>
      <w:bookmarkStart w:id="40" w:name="19"/>
      <w:bookmarkEnd w:id="40"/>
      <w:r w:rsidRPr="00DD00D2">
        <w:t>19] «Если мы позволим себе заблуждаться насчет нашего θειον, или назови его как хочешь, – все искусство и все труды наши будут напрасны» (Гельдерлин Ф. Указ. соч. С</w:t>
      </w:r>
      <w:r w:rsidRPr="00DD00D2">
        <w:rPr>
          <w:lang w:val="en-US"/>
        </w:rPr>
        <w:t xml:space="preserve">.387).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rPr>
          <w:lang w:val="en-US"/>
        </w:rPr>
        <w:t>[</w:t>
      </w:r>
      <w:bookmarkStart w:id="41" w:name="20"/>
      <w:bookmarkEnd w:id="41"/>
      <w:r w:rsidRPr="00DD00D2">
        <w:rPr>
          <w:lang w:val="en-US"/>
        </w:rPr>
        <w:t xml:space="preserve">20] Hölderlin F. Samtliche Werke und Briefe. Bd. 1. Berlin; Weimar, 1970. </w:t>
      </w:r>
      <w:r w:rsidRPr="00DD00D2">
        <w:t xml:space="preserve">С.458.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42" w:name="21"/>
      <w:bookmarkEnd w:id="42"/>
      <w:r w:rsidRPr="00DD00D2">
        <w:t xml:space="preserve">21] Хайдеггер М. Изречение Анаксимандра // Хайдеггер М. Разговор на проселочной дороге. М., 1991. С.49. </w:t>
      </w:r>
    </w:p>
    <w:p w:rsidR="004054F0" w:rsidRPr="00DD00D2" w:rsidRDefault="004054F0" w:rsidP="004054F0">
      <w:pPr>
        <w:spacing w:before="120"/>
        <w:ind w:firstLine="567"/>
        <w:jc w:val="both"/>
      </w:pPr>
      <w:r w:rsidRPr="00DD00D2">
        <w:t>[</w:t>
      </w:r>
      <w:bookmarkStart w:id="43" w:name="22"/>
      <w:bookmarkEnd w:id="43"/>
      <w:r w:rsidRPr="00DD00D2">
        <w:t xml:space="preserve">22] Хайдеггер М. Наука и осмысление // Хайдеггер М. Время и бытие. М., 1993. С.243. </w:t>
      </w:r>
    </w:p>
    <w:p w:rsidR="00B42C45" w:rsidRDefault="00B42C45">
      <w:bookmarkStart w:id="44" w:name="_GoBack"/>
      <w:bookmarkEnd w:id="44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4F0"/>
    <w:rsid w:val="00002B5A"/>
    <w:rsid w:val="0010437E"/>
    <w:rsid w:val="00301452"/>
    <w:rsid w:val="00316F32"/>
    <w:rsid w:val="004054F0"/>
    <w:rsid w:val="00616072"/>
    <w:rsid w:val="006A5004"/>
    <w:rsid w:val="00710178"/>
    <w:rsid w:val="0081563E"/>
    <w:rsid w:val="008B35EE"/>
    <w:rsid w:val="00905CC1"/>
    <w:rsid w:val="009A4E3D"/>
    <w:rsid w:val="00B42C45"/>
    <w:rsid w:val="00B47B6A"/>
    <w:rsid w:val="00DD00D2"/>
    <w:rsid w:val="00F17C1D"/>
    <w:rsid w:val="00F9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C443C2-EEC8-493D-9C23-02F6C165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4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054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Поэтическое творчество как мышление именами</vt:lpstr>
    </vt:vector>
  </TitlesOfParts>
  <Company>Home</Company>
  <LinksUpToDate>false</LinksUpToDate>
  <CharactersWithSpaces>13525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Поэтическое творчество как мышление именами</dc:title>
  <dc:subject/>
  <dc:creator>User</dc:creator>
  <cp:keywords/>
  <dc:description/>
  <cp:lastModifiedBy>admin</cp:lastModifiedBy>
  <cp:revision>2</cp:revision>
  <dcterms:created xsi:type="dcterms:W3CDTF">2014-02-14T21:48:00Z</dcterms:created>
  <dcterms:modified xsi:type="dcterms:W3CDTF">2014-02-14T21:48:00Z</dcterms:modified>
</cp:coreProperties>
</file>