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AEB" w:rsidRDefault="00276539">
      <w:pPr>
        <w:pStyle w:val="a3"/>
      </w:pPr>
      <w:r>
        <w:br/>
      </w:r>
    </w:p>
    <w:p w:rsidR="00FA0AEB" w:rsidRDefault="00276539">
      <w:pPr>
        <w:pStyle w:val="a3"/>
      </w:pPr>
      <w:r>
        <w:rPr>
          <w:b/>
          <w:bCs/>
        </w:rPr>
        <w:t>Дивон</w:t>
      </w:r>
      <w:r>
        <w:t xml:space="preserve"> или </w:t>
      </w:r>
      <w:r>
        <w:rPr>
          <w:b/>
          <w:bCs/>
        </w:rPr>
        <w:t>Диван</w:t>
      </w:r>
      <w:r>
        <w:rPr>
          <w:position w:val="10"/>
        </w:rPr>
        <w:t>[1]</w:t>
      </w:r>
      <w:r>
        <w:t xml:space="preserve"> — (лит. Dyvonis, по другим источникам </w:t>
      </w:r>
      <w:r>
        <w:rPr>
          <w:b/>
          <w:bCs/>
        </w:rPr>
        <w:t>Dyvanas</w:t>
      </w:r>
      <w:r>
        <w:t xml:space="preserve">, </w:t>
      </w:r>
      <w:r>
        <w:rPr>
          <w:b/>
          <w:bCs/>
        </w:rPr>
        <w:t>Dyvonė</w:t>
      </w:r>
      <w:r>
        <w:t xml:space="preserve">, литовское прозвище — </w:t>
      </w:r>
      <w:r>
        <w:rPr>
          <w:i/>
          <w:iCs/>
        </w:rPr>
        <w:t>Lokys</w:t>
      </w:r>
      <w:r>
        <w:t xml:space="preserve"> (</w:t>
      </w:r>
      <w:r>
        <w:rPr>
          <w:i/>
          <w:iCs/>
        </w:rPr>
        <w:t>Медведь</w:t>
      </w:r>
      <w:r>
        <w:t xml:space="preserve">), прусские — </w:t>
      </w:r>
      <w:r>
        <w:rPr>
          <w:i/>
          <w:iCs/>
        </w:rPr>
        <w:t>Mokinis</w:t>
      </w:r>
      <w:r>
        <w:t xml:space="preserve"> и </w:t>
      </w:r>
      <w:r>
        <w:rPr>
          <w:i/>
          <w:iCs/>
        </w:rPr>
        <w:t>Kiekinė</w:t>
      </w:r>
      <w:r>
        <w:t>, до 1241 — ок. 1274,1287) лидер (</w:t>
      </w:r>
      <w:r>
        <w:rPr>
          <w:i/>
          <w:iCs/>
        </w:rPr>
        <w:t>capitaneus</w:t>
      </w:r>
      <w:r>
        <w:t>) бартов, одного из прусских кланов во время прусского восстания (1260—1274)</w:t>
      </w:r>
      <w:r>
        <w:rPr>
          <w:position w:val="10"/>
        </w:rPr>
        <w:t>[2]</w:t>
      </w:r>
      <w:r>
        <w:t>.</w:t>
      </w:r>
    </w:p>
    <w:p w:rsidR="00FA0AEB" w:rsidRDefault="00276539">
      <w:pPr>
        <w:pStyle w:val="a3"/>
        <w:rPr>
          <w:position w:val="10"/>
        </w:rPr>
      </w:pPr>
      <w:r>
        <w:t>В последней четверти XIII века под натиском крестоносцев, завоевавших его страну, он прибыл со всем своим семейством в Литву. Первую крупную победу одержал во время взятия Семпополя в 1263 году после длительной осады.</w:t>
      </w:r>
      <w:r>
        <w:rPr>
          <w:position w:val="10"/>
        </w:rPr>
        <w:t>[3]</w:t>
      </w:r>
    </w:p>
    <w:p w:rsidR="00FA0AEB" w:rsidRDefault="00276539">
      <w:pPr>
        <w:pStyle w:val="a3"/>
        <w:rPr>
          <w:position w:val="10"/>
        </w:rPr>
      </w:pPr>
      <w:r>
        <w:t>По одной версии он был убит в 1273 году во время осады Шёнензе. Выстрел из баллисты, прострелил ему шею.</w:t>
      </w:r>
      <w:r>
        <w:rPr>
          <w:position w:val="10"/>
        </w:rPr>
        <w:t>[4][5]</w:t>
      </w:r>
    </w:p>
    <w:p w:rsidR="00FA0AEB" w:rsidRDefault="00276539">
      <w:pPr>
        <w:pStyle w:val="a3"/>
      </w:pPr>
      <w:r>
        <w:t>Сведений о его браке и детях не сохранилось, однако в XVII веке в родословной Колычёвых, составленной герольдмейстером Степаном Андреевичем Колычёвым, ему был приписан сын по имени Гландо Камбило, который, утомлённый в борьбе против Тевтонского ордена, выехал в 1287 году вместе со своим сыном и множеством подданных к великому князю Александру Ярославичу Невскому. Там он крестился с именем Иван, а его сын получил прозвище Кобыла, что объяснялось опиской писца</w:t>
      </w:r>
      <w:r>
        <w:rPr>
          <w:position w:val="10"/>
        </w:rPr>
        <w:t>[6]</w:t>
      </w:r>
      <w:r>
        <w:t>. На несосотоятельность этой родословной легенды указывал ещё Август Шлейцер, однако данная версия попала и в «Русский Гербовник», изданный в 1797 году</w:t>
      </w:r>
      <w:r>
        <w:rPr>
          <w:position w:val="10"/>
        </w:rPr>
        <w:t>[7]</w:t>
      </w:r>
      <w:r>
        <w:t>.</w:t>
      </w:r>
    </w:p>
    <w:p w:rsidR="00FA0AEB" w:rsidRDefault="0027653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14. Кульмская земля (Комментарии к хронике Петра из Дусбурга). Петр из Дусбурга. Хроника земли Прусской. — М.: Ладомир. 1997.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Urban William</w:t>
      </w:r>
      <w:r>
        <w:t xml:space="preserve"> The Prussian Crusade. — 2nd. — Chicago, Illinois: Lithuanian Research and Studies Center, 2000. — P. 273. — ISBN 0-929700-28-7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Urban, William. </w:t>
      </w:r>
      <w:r>
        <w:rPr>
          <w:i/>
          <w:iCs/>
        </w:rPr>
        <w:t>The Prussian Crusade</w:t>
      </w:r>
      <w:r>
        <w:t>, 289.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(лит.) Ivinskis, Zenonas (1937). «Divanas». </w:t>
      </w:r>
      <w:r>
        <w:rPr>
          <w:i/>
          <w:iCs/>
        </w:rPr>
        <w:t>Lietuviškoji enciklopedija</w:t>
      </w:r>
      <w:r>
        <w:t xml:space="preserve"> </w:t>
      </w:r>
      <w:r>
        <w:rPr>
          <w:b/>
          <w:bCs/>
        </w:rPr>
        <w:t>6</w:t>
      </w:r>
      <w:r>
        <w:t>. Ed. Vaclovas Biržiška. Kaunas: Spaudos Fondas. 1084. 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Попов Б. И.</w:t>
      </w:r>
      <w:r>
        <w:t>, РОМАНОВЫ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Боде-Колычев М. Л.</w:t>
      </w:r>
      <w:r>
        <w:t xml:space="preserve"> Боярский род Колычевых. — Т. 1. — С. 1—2.</w:t>
      </w:r>
    </w:p>
    <w:p w:rsidR="00FA0AEB" w:rsidRDefault="00276539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Кобыла, Андрей Иванович</w:t>
      </w:r>
      <w:r>
        <w:t xml:space="preserve"> — статья из Энциклопедического словаря Брокгауза и Ефрона</w:t>
      </w:r>
    </w:p>
    <w:p w:rsidR="00FA0AEB" w:rsidRDefault="00276539">
      <w:pPr>
        <w:pStyle w:val="a3"/>
        <w:spacing w:after="0"/>
      </w:pPr>
      <w:r>
        <w:t>Источник: http://ru.wikipedia.org/wiki/Дивон</w:t>
      </w:r>
      <w:bookmarkStart w:id="0" w:name="_GoBack"/>
      <w:bookmarkEnd w:id="0"/>
    </w:p>
    <w:sectPr w:rsidR="00FA0AE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539"/>
    <w:rsid w:val="00276539"/>
    <w:rsid w:val="00FA0AEB"/>
    <w:rsid w:val="00FC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3423A-7419-4646-B5E7-19EB69A3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Company>diakov.net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2014-09-16T19:17:00Z</dcterms:created>
  <dcterms:modified xsi:type="dcterms:W3CDTF">2014-09-16T19:17:00Z</dcterms:modified>
</cp:coreProperties>
</file>