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9C4" w:rsidRDefault="006539C3">
      <w:pPr>
        <w:pStyle w:val="a3"/>
      </w:pPr>
      <w:r>
        <w:br/>
      </w:r>
      <w:r>
        <w:br/>
        <w:t>План</w:t>
      </w:r>
      <w:r>
        <w:br/>
        <w:t xml:space="preserve">Введение </w:t>
      </w:r>
      <w:r>
        <w:br/>
      </w:r>
      <w:r>
        <w:rPr>
          <w:b/>
          <w:bCs/>
        </w:rPr>
        <w:t xml:space="preserve">1 Описание </w:t>
      </w:r>
      <w:r>
        <w:rPr>
          <w:b/>
          <w:bCs/>
        </w:rPr>
        <w:br/>
        <w:t>1.1 Внешний вид</w:t>
      </w:r>
      <w:r>
        <w:rPr>
          <w:b/>
          <w:bCs/>
        </w:rPr>
        <w:br/>
        <w:t>1.2 Голос</w:t>
      </w:r>
      <w:r>
        <w:rPr>
          <w:b/>
          <w:bCs/>
        </w:rPr>
        <w:br/>
      </w:r>
      <w:r>
        <w:br/>
      </w:r>
      <w:r>
        <w:rPr>
          <w:b/>
          <w:bCs/>
        </w:rPr>
        <w:t>2 Распространение</w:t>
      </w:r>
      <w:r>
        <w:br/>
      </w:r>
      <w:r>
        <w:rPr>
          <w:b/>
          <w:bCs/>
        </w:rPr>
        <w:t>3 Питание</w:t>
      </w:r>
      <w:r>
        <w:br/>
      </w:r>
      <w:r>
        <w:rPr>
          <w:b/>
          <w:bCs/>
        </w:rPr>
        <w:t>4 Размножение</w:t>
      </w:r>
      <w:r>
        <w:br/>
      </w:r>
      <w:r>
        <w:rPr>
          <w:b/>
          <w:bCs/>
        </w:rPr>
        <w:t>5 Природоохранный статус</w:t>
      </w:r>
      <w:r>
        <w:br/>
      </w:r>
      <w:r>
        <w:rPr>
          <w:b/>
          <w:bCs/>
        </w:rPr>
        <w:t>Список литературы</w:t>
      </w:r>
      <w:r>
        <w:br/>
        <w:t xml:space="preserve">Стеллерова гага </w:t>
      </w:r>
    </w:p>
    <w:p w:rsidR="003769C4" w:rsidRDefault="006539C3">
      <w:pPr>
        <w:pStyle w:val="21"/>
        <w:pageBreakBefore/>
        <w:numPr>
          <w:ilvl w:val="0"/>
          <w:numId w:val="0"/>
        </w:numPr>
      </w:pPr>
      <w:r>
        <w:t>Введение</w:t>
      </w:r>
    </w:p>
    <w:p w:rsidR="003769C4" w:rsidRDefault="006539C3">
      <w:pPr>
        <w:pStyle w:val="a3"/>
      </w:pPr>
      <w:r>
        <w:t>Стеллерова, или сибирская гага</w:t>
      </w:r>
      <w:r>
        <w:rPr>
          <w:position w:val="10"/>
        </w:rPr>
        <w:t>[1]</w:t>
      </w:r>
      <w:r>
        <w:t xml:space="preserve"> (лат. </w:t>
      </w:r>
      <w:r>
        <w:rPr>
          <w:i/>
          <w:iCs/>
        </w:rPr>
        <w:t>Polysticta stelleri</w:t>
      </w:r>
      <w:r>
        <w:t>) — северная морская утка. От других гаг отличается меньшими размерами, угловатой головой с вытянутым клювом, достаточно длинным хвостом и более изящным телосложением — чертами, характерными больше для речных уток. Гнездится в тундре вдоль побережья Северного Ледовитого океана в Сибири и на Аляске. В кладке 6—7 оливковых яиц. Зимует к западу и востоку от гнездового ареала у берегов Скандинавии, Кольского полуострова, на Балтике и в Беринговом море. Питается ракообразными, моллюсками, насекомыми. Названа в честь немецкого естествоиспытателя Георга Стеллера. Охраняемый вид.</w:t>
      </w:r>
    </w:p>
    <w:p w:rsidR="003769C4" w:rsidRDefault="006539C3">
      <w:pPr>
        <w:pStyle w:val="21"/>
        <w:pageBreakBefore/>
        <w:numPr>
          <w:ilvl w:val="0"/>
          <w:numId w:val="0"/>
        </w:numPr>
      </w:pPr>
      <w:r>
        <w:t xml:space="preserve">1. Описание </w:t>
      </w:r>
    </w:p>
    <w:p w:rsidR="003769C4" w:rsidRDefault="006539C3">
      <w:pPr>
        <w:pStyle w:val="31"/>
        <w:numPr>
          <w:ilvl w:val="0"/>
          <w:numId w:val="0"/>
        </w:numPr>
      </w:pPr>
      <w:r>
        <w:t>1.1. Внешний вид</w:t>
      </w:r>
    </w:p>
    <w:p w:rsidR="003769C4" w:rsidRDefault="006539C3">
      <w:pPr>
        <w:pStyle w:val="a3"/>
        <w:rPr>
          <w:position w:val="10"/>
        </w:rPr>
      </w:pPr>
      <w:r>
        <w:t>Заметно меньше гребенушки. Длина 43—47 см, размах крыльев 70—76 см, масса 540—1000 г.</w:t>
      </w:r>
      <w:r>
        <w:rPr>
          <w:position w:val="10"/>
        </w:rPr>
        <w:t>[2]</w:t>
      </w:r>
      <w:r>
        <w:t xml:space="preserve"> В сравнении с остальными гагами у сибирской пропорции тела несколько иные, похожие на таковые у речных уток. Голова в верхней части уплощённая, в районе лба и затылка угловатая; туловище наоборот вытянутое, с достаточно длинным хвостом. Если у других видов гаг часть оперения головы залезает на клюв, то у стеллеровой надклювье чистое, без рисунка, его линия плавно переходит в лобовую часть, а не делает резкий изгиб. Крылья скорее узкие и заострённые, что позволяет быстро взлетать с воды.</w:t>
      </w:r>
      <w:r>
        <w:rPr>
          <w:position w:val="10"/>
        </w:rPr>
        <w:t>[3]</w:t>
      </w:r>
      <w:r>
        <w:t xml:space="preserve"> Полёт лёгкий и быстрый, в противоположность другим гагам достаточно высоко над водой — 30—50 м от поверхности. </w:t>
      </w:r>
      <w:r>
        <w:rPr>
          <w:position w:val="10"/>
        </w:rPr>
        <w:t>[4]</w:t>
      </w:r>
      <w:r>
        <w:t>У обоих полов развито блестящее синее «зеркало» с белой каёмкой спереди и сзади на крыле — как у кряквы.</w:t>
      </w:r>
      <w:r>
        <w:rPr>
          <w:position w:val="10"/>
        </w:rPr>
        <w:t>[5]</w:t>
      </w:r>
    </w:p>
    <w:p w:rsidR="003769C4" w:rsidRDefault="006539C3">
      <w:pPr>
        <w:pStyle w:val="a3"/>
        <w:rPr>
          <w:position w:val="10"/>
        </w:rPr>
      </w:pPr>
      <w:r>
        <w:t>Селезень весной выделяется белой головой с тремя зеленоватыми отметинами — одной яркой на затылке и двумя менее заметными у основания клюва, а также чёрными пятнами вокруг глаз («очками»). Над затылочным пятном развит такой-же зеленоватый хохолок, на подбородке и вокруг шеи хорошо обозначен широкий чёрный ошейник с синим отливом. Плечевые перья удлинены и ниспадают чёрно-белыми полосатыми косицами. Брюхо охристое, грудь и бока розоватые; на боках груди хорошо заметны небольшие чёрные пятнышки. Хвост достаточно длинный и заострённый, окрашен в бурый цвет. Верхние кроющие крыла белые, первостепенные маховые бурые, второстепенные и внешние рулевые с бурыми вершинами и сине-фиолетовыми наружными опахалами. Испод крыла белый. Радужина красновато-бурая, клюв и ноги свинцово-серые. В летнем наряде самцы похожи на самку, однако их выделяют такие же белые, как и весной, кроющие крыла.</w:t>
      </w:r>
      <w:r>
        <w:rPr>
          <w:position w:val="10"/>
        </w:rPr>
        <w:t>[4][5][6]</w:t>
      </w:r>
    </w:p>
    <w:p w:rsidR="003769C4" w:rsidRDefault="006539C3">
      <w:pPr>
        <w:pStyle w:val="a3"/>
        <w:rPr>
          <w:position w:val="10"/>
        </w:rPr>
      </w:pPr>
      <w:r>
        <w:t>Самки круглый год тёмно-бурые. От самок других гаг её можно отличить, помимо силуэта, по светлому пятну вокруг глаза и синему с белой каёмкой зеркалу. Молодые вне зависимости от пола похожи на взрослую самку, но в целом окрашены в более светлые рыжеватые тона. На брюхе молодых птиц заметны чёрные поперечные полоски.</w:t>
      </w:r>
      <w:r>
        <w:rPr>
          <w:position w:val="10"/>
        </w:rPr>
        <w:t>[6]</w:t>
      </w:r>
    </w:p>
    <w:p w:rsidR="003769C4" w:rsidRDefault="006539C3">
      <w:pPr>
        <w:pStyle w:val="31"/>
        <w:numPr>
          <w:ilvl w:val="0"/>
          <w:numId w:val="0"/>
        </w:numPr>
      </w:pPr>
      <w:r>
        <w:t>1.2. Голос</w:t>
      </w:r>
    </w:p>
    <w:p w:rsidR="003769C4" w:rsidRDefault="006539C3">
      <w:pPr>
        <w:pStyle w:val="a3"/>
        <w:rPr>
          <w:position w:val="10"/>
        </w:rPr>
      </w:pPr>
      <w:r>
        <w:t>Стеллеровы саги молчаливее обыкновенных, даже в брачное время. Токующий селезень изредка издаёт мягкие воркующие звуки типа «хруу..руу..руу» с небольшим понижением тона на конце. Тихое кряканье самки при беспокойстве аналогично таковому у самки обыкновенной гаги — хриплое «крррр»</w:t>
      </w:r>
      <w:r>
        <w:rPr>
          <w:position w:val="10"/>
        </w:rPr>
        <w:t>[3][5]</w:t>
      </w:r>
    </w:p>
    <w:p w:rsidR="003769C4" w:rsidRDefault="006539C3">
      <w:pPr>
        <w:pStyle w:val="21"/>
        <w:pageBreakBefore/>
        <w:numPr>
          <w:ilvl w:val="0"/>
          <w:numId w:val="0"/>
        </w:numPr>
      </w:pPr>
      <w:r>
        <w:t>2. Распространение</w:t>
      </w:r>
    </w:p>
    <w:p w:rsidR="003769C4" w:rsidRDefault="006539C3">
      <w:pPr>
        <w:pStyle w:val="a3"/>
        <w:rPr>
          <w:position w:val="10"/>
        </w:rPr>
      </w:pPr>
      <w:r>
        <w:t>Как и у очковой гаги, центральным местом её ареала является Берингово море. В Восточной Сибири утка гнездится вдоль побережья Северного Ледовитого океана к западу до Ямала.</w:t>
      </w:r>
      <w:r>
        <w:rPr>
          <w:position w:val="10"/>
        </w:rPr>
        <w:t>[7]</w:t>
      </w:r>
      <w:r>
        <w:t xml:space="preserve"> На Аляске гнездовья это птицы отмечены от низовьев Юкона к югу до нижней оконечности полуострова и к востоку до устья Маккензи.</w:t>
      </w:r>
      <w:r>
        <w:rPr>
          <w:position w:val="10"/>
        </w:rPr>
        <w:t>[8]</w:t>
      </w:r>
      <w:r>
        <w:t xml:space="preserve"> Поселения этой птицы также отмечены на острове Врангеля.</w:t>
      </w:r>
      <w:r>
        <w:rPr>
          <w:position w:val="10"/>
        </w:rPr>
        <w:t>[9]</w:t>
      </w:r>
      <w:r>
        <w:t xml:space="preserve"> В начале XX века гага спорадически гнездилась на норвежских берегах Варяжского залива, а в 1990-е годы была отмечена в Мурманской области и в Кандалакшском заливе.</w:t>
      </w:r>
      <w:r>
        <w:rPr>
          <w:position w:val="10"/>
        </w:rPr>
        <w:t>[7]</w:t>
      </w:r>
      <w:r>
        <w:t xml:space="preserve"> Во все случаях утка селится в арктических и типичных тундрах, предпочитая дельты рек. Иногда гнездится в глубине материка достаточно далеко от моря.</w:t>
      </w:r>
      <w:r>
        <w:rPr>
          <w:position w:val="10"/>
        </w:rPr>
        <w:t>[5]</w:t>
      </w:r>
      <w:r>
        <w:t xml:space="preserve"> Для кормёшки выбирает свободные ото льда участки моря с чистой водой и каменистым дном.</w:t>
      </w:r>
      <w:r>
        <w:rPr>
          <w:position w:val="10"/>
        </w:rPr>
        <w:t>[8]</w:t>
      </w:r>
    </w:p>
    <w:p w:rsidR="003769C4" w:rsidRDefault="006539C3">
      <w:pPr>
        <w:pStyle w:val="a3"/>
        <w:rPr>
          <w:position w:val="10"/>
        </w:rPr>
      </w:pPr>
      <w:r>
        <w:t>Перелётный вид. Птицы, гнездящиеся к западу от Хатанги на Гыданском полуострове, Ямале и Таймыре, по всей видимости перемещаются в западном направлении и зимуют в море у берегов Кольского полуострова, северного побережья Финляндии, в на севере и востоке Балтийского моря. Популяции Восточной Сибири и Аляски проводят зиму на в южной незамерзающей части Берингова моря у Алеутских и Курильских островов. Весной прилетают в конце мая либо начале июня, покидают гнездовые участки в период с середины июля до середины октября.</w:t>
      </w:r>
      <w:r>
        <w:rPr>
          <w:position w:val="10"/>
        </w:rPr>
        <w:t>[7][5]</w:t>
      </w:r>
    </w:p>
    <w:p w:rsidR="003769C4" w:rsidRDefault="006539C3">
      <w:pPr>
        <w:pStyle w:val="a3"/>
        <w:rPr>
          <w:position w:val="10"/>
        </w:rPr>
      </w:pPr>
      <w:r>
        <w:t>Места обитания сходны с другими видами гаг. В гнездовой период селится в арктических и типичных тундрах в устьях рек, на мелких озёрах, осоковых болотах. В отличие от очковой гаги иногда встречается в глубине материка. Остальное время проводит в море поблизости от каменистых побережий, в заливах и эстуариях, где зачастую образует стаи до нескольких сотен птиц. Как правило, кормится на мелководье с глубиной не более 5 м.</w:t>
      </w:r>
      <w:r>
        <w:rPr>
          <w:position w:val="10"/>
        </w:rPr>
        <w:t>[7]</w:t>
      </w:r>
    </w:p>
    <w:p w:rsidR="003769C4" w:rsidRDefault="006539C3">
      <w:pPr>
        <w:pStyle w:val="21"/>
        <w:pageBreakBefore/>
        <w:numPr>
          <w:ilvl w:val="0"/>
          <w:numId w:val="0"/>
        </w:numPr>
      </w:pPr>
      <w:r>
        <w:t>3. Питание</w:t>
      </w:r>
    </w:p>
    <w:p w:rsidR="003769C4" w:rsidRDefault="006539C3">
      <w:pPr>
        <w:pStyle w:val="a3"/>
        <w:rPr>
          <w:position w:val="10"/>
        </w:rPr>
      </w:pPr>
      <w:r>
        <w:t>Преимущественно животноядная утка. Питается главным образом мелкими беспозвоночными, которых добывают нырянием или на мелководье.</w:t>
      </w:r>
      <w:r>
        <w:rPr>
          <w:position w:val="10"/>
        </w:rPr>
        <w:t>[2]</w:t>
      </w:r>
      <w:r>
        <w:t xml:space="preserve"> Поздней весной и летом основу питания составляют рачки-бокоплавы и двустворчатые моллюски (большей частью плеченогие), которых утки добывают в морской воде либо в эстуариях рек. На внутренних водоёмах кормятся личинками хирономид и ручейников. Растительные корма составляют незначительный объём; употребляют в пищу побеги рдеста, водяники, зостеры, ягоды вороники и водоросли.</w:t>
      </w:r>
      <w:r>
        <w:rPr>
          <w:position w:val="10"/>
        </w:rPr>
        <w:t>[4][6]</w:t>
      </w:r>
      <w:r>
        <w:t xml:space="preserve"> За пределами гнездовых участков кормится беспанцирными беспозвоночными — бокоплавами, изоподами, улитками и двустворчатыми моллюсками, а также усоногими.</w:t>
      </w:r>
      <w:r>
        <w:rPr>
          <w:position w:val="10"/>
        </w:rPr>
        <w:t>[6]</w:t>
      </w:r>
    </w:p>
    <w:p w:rsidR="003769C4" w:rsidRDefault="006539C3">
      <w:pPr>
        <w:pStyle w:val="21"/>
        <w:pageBreakBefore/>
        <w:numPr>
          <w:ilvl w:val="0"/>
          <w:numId w:val="0"/>
        </w:numPr>
      </w:pPr>
      <w:r>
        <w:t>4. Размножение</w:t>
      </w:r>
    </w:p>
    <w:p w:rsidR="003769C4" w:rsidRDefault="006539C3">
      <w:pPr>
        <w:pStyle w:val="a3"/>
        <w:rPr>
          <w:position w:val="10"/>
        </w:rPr>
      </w:pPr>
      <w:r>
        <w:t>К местам гнездовий большинство уток прибывает уже разбившись на пары, хотя на местах нередки споры между самцами, иногда доходящие до драки, преследование самок и демонстративное поведение. Токующий самец вытягивает шею кверху и запрокидывает голову, изредка издавая воркующие звуки.</w:t>
      </w:r>
      <w:r>
        <w:rPr>
          <w:position w:val="10"/>
        </w:rPr>
        <w:t>[4]</w:t>
      </w:r>
      <w:r>
        <w:t xml:space="preserve"> Если вне сезона размножения гаги ведут стайный образ жизни, то с началом гнездования каждая пара имеет свою обособленную территорию возле пресноводного водоёма, которую охраняет от других птиц.</w:t>
      </w:r>
      <w:r>
        <w:rPr>
          <w:position w:val="10"/>
        </w:rPr>
        <w:t>[8]</w:t>
      </w:r>
      <w:r>
        <w:t xml:space="preserve"> Гнездо такое же как у гребенушки — углубление в грунте на сухом месте, хорошо укрытое в траве, выстланое мхом, сухими стебельками и пухом. В кладке обычно 6—7, максимум до 10-и, желтовато- или буровато-оливковых яиц. Размеры яиц: (55—65) х (37—43) мм</w:t>
      </w:r>
      <w:r>
        <w:rPr>
          <w:position w:val="10"/>
        </w:rPr>
        <w:t>[2]</w:t>
      </w:r>
      <w:r>
        <w:t>. Срок насиживания около трёх с половиной недель, сидит одна самка.</w:t>
      </w:r>
      <w:r>
        <w:rPr>
          <w:position w:val="10"/>
        </w:rPr>
        <w:t>[2]</w:t>
      </w:r>
      <w:r>
        <w:t xml:space="preserve"> Первое время селезень находится рядом с уткой, но после нескольких дней насиживания навсегда покидает её, вместе с другими самцами сбивается в стаи и отлетает на море, где переносит послебрачную линьку. Пуховики, едва обсохнув, покидают гнездо и следуют за матерью на ближайший водоём. Они ведут себя вполне самостоятельно и остаются одни ещё до полного оперения и появления способности к полёту.</w:t>
      </w:r>
      <w:r>
        <w:rPr>
          <w:position w:val="10"/>
        </w:rPr>
        <w:t>[8]</w:t>
      </w:r>
    </w:p>
    <w:p w:rsidR="003769C4" w:rsidRDefault="006539C3">
      <w:pPr>
        <w:pStyle w:val="21"/>
        <w:pageBreakBefore/>
        <w:numPr>
          <w:ilvl w:val="0"/>
          <w:numId w:val="0"/>
        </w:numPr>
      </w:pPr>
      <w:r>
        <w:t>5. Природоохранный статус</w:t>
      </w:r>
    </w:p>
    <w:p w:rsidR="003769C4" w:rsidRDefault="006539C3">
      <w:pPr>
        <w:pStyle w:val="a3"/>
        <w:rPr>
          <w:position w:val="10"/>
        </w:rPr>
      </w:pPr>
      <w:r>
        <w:t>В Международной Красной книге сибирская гага имеет статус уязвимого вида. Эта категория была присвоена ей вследствие значительного, с 500 до 150—200 тыс. пар, сокращения численности в период с 1970-х по середину 1990-х годов. Основной причиной деградации называют неконтролируемую охоту, среди других — гибель в рыболовных сетях (в частности, для ловли пинагора) и разлив нефти.</w:t>
      </w:r>
      <w:r>
        <w:rPr>
          <w:position w:val="10"/>
        </w:rPr>
        <w:t>[7]</w:t>
      </w:r>
    </w:p>
    <w:p w:rsidR="003769C4" w:rsidRDefault="006539C3">
      <w:pPr>
        <w:pStyle w:val="21"/>
        <w:pageBreakBefore/>
        <w:numPr>
          <w:ilvl w:val="0"/>
          <w:numId w:val="0"/>
        </w:numPr>
      </w:pPr>
      <w:r>
        <w:t>Список литературы:</w:t>
      </w:r>
    </w:p>
    <w:p w:rsidR="003769C4" w:rsidRDefault="006539C3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rPr>
          <w:i/>
          <w:iCs/>
        </w:rPr>
        <w:t>Бёме Р. Л., Флинт В. Е.</w:t>
      </w:r>
      <w:r>
        <w:t xml:space="preserve"> Пятиязычный словарь названий животных. Птицы. Латинский, русский, английский, немецкий, французский. / под общей редакцией акад. В. Е. Соколова. — М.: Рус. яз., «РУССО», 1994. — С. 35. — 2030 экз. — ISBN 5-200-00643-0</w:t>
      </w:r>
    </w:p>
    <w:p w:rsidR="003769C4" w:rsidRDefault="006539C3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rPr>
          <w:i/>
          <w:iCs/>
        </w:rPr>
        <w:t>Рябицев В. К.</w:t>
      </w:r>
      <w:r>
        <w:t xml:space="preserve"> Птицы Урала, Приуралья и Западной Сибири: Справочник-определитель. — Екатеринбург: Изд-во Уральского университета, 2001. — С. 89—90.</w:t>
      </w:r>
    </w:p>
    <w:p w:rsidR="003769C4" w:rsidRDefault="006539C3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rPr>
          <w:i/>
          <w:iCs/>
        </w:rPr>
        <w:t>Mullarney, Killian; Lars Svensson; Dan Zetterström &amp; Peter J. Grant</w:t>
      </w:r>
      <w:r>
        <w:t xml:space="preserve"> Птицы Европы = Birds of Europe. — United States: Princeton University Press, 2000. — С. 60.</w:t>
      </w:r>
    </w:p>
    <w:p w:rsidR="003769C4" w:rsidRDefault="006539C3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rPr>
          <w:i/>
          <w:iCs/>
        </w:rPr>
        <w:t>Дементьев, Г. П., Гладков Н. А.</w:t>
      </w:r>
      <w:r>
        <w:t xml:space="preserve"> Птицы Советского Союза. — Советская наука, 1953. — Т. 4. — С. 541—544. — 635 с.</w:t>
      </w:r>
    </w:p>
    <w:p w:rsidR="003769C4" w:rsidRDefault="006539C3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rPr>
          <w:i/>
          <w:iCs/>
        </w:rPr>
        <w:t>Коблик Е. А.</w:t>
      </w:r>
      <w:r>
        <w:t xml:space="preserve"> Разнообразие птиц (по материалам экспозиции Зоологического музея МГУ. — Изд. МГУ, 2001. — Т. Ч. 1 (Класс Птицы, Отряды Страусообразные, Тинамуобразные, Пингвинообразные, Гагарообразные, Поганкообразные, Буревестникообразные, Пеликанообразные, Аистообразные, Фламингообразные, Гусеобразные, Грифы Нового Света, Соколообразные).</w:t>
      </w:r>
    </w:p>
    <w:p w:rsidR="003769C4" w:rsidRDefault="006539C3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rPr>
          <w:i/>
          <w:iCs/>
        </w:rPr>
        <w:t>Johnsgard, Paul A.</w:t>
      </w:r>
      <w:r>
        <w:t xml:space="preserve"> Ducks, Geese, and Swans of the World. — Lincoln and London: University of Nebraska Press, 1978. — С. 321—323.</w:t>
      </w:r>
    </w:p>
    <w:p w:rsidR="003769C4" w:rsidRDefault="006539C3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rPr>
          <w:i/>
          <w:iCs/>
        </w:rPr>
        <w:t>Scott, Derek A., Rose, Paul M.</w:t>
      </w:r>
      <w:r>
        <w:t xml:space="preserve"> Атлас популяций утиных в Африке и западной Евразии = Atlas of Anatidae populations in Africa and Western Eurasia. — Wetlands International, 1996. — С. 200-202. — 336 с.</w:t>
      </w:r>
    </w:p>
    <w:p w:rsidR="003769C4" w:rsidRDefault="006539C3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rPr>
          <w:i/>
          <w:iCs/>
        </w:rPr>
        <w:t>Gooders, John; Trevor Boyer.</w:t>
      </w:r>
      <w:r>
        <w:t xml:space="preserve"> Ducks of Britain and the Northern Hemisphere. — London: Collins &amp; Brown, 1997. — С. 118-120.</w:t>
      </w:r>
    </w:p>
    <w:p w:rsidR="003769C4" w:rsidRDefault="006539C3">
      <w:pPr>
        <w:pStyle w:val="a3"/>
        <w:numPr>
          <w:ilvl w:val="0"/>
          <w:numId w:val="1"/>
        </w:numPr>
        <w:tabs>
          <w:tab w:val="left" w:pos="707"/>
        </w:tabs>
      </w:pPr>
      <w:r>
        <w:rPr>
          <w:i/>
          <w:iCs/>
        </w:rPr>
        <w:t>Степанян Л. С.</w:t>
      </w:r>
      <w:r>
        <w:t xml:space="preserve"> Конспект орнитологической фауны России и сопредельных территорий. — Москва: Академкнига, 2003. — С. 67.</w:t>
      </w:r>
    </w:p>
    <w:p w:rsidR="003769C4" w:rsidRDefault="006539C3">
      <w:pPr>
        <w:pStyle w:val="a3"/>
        <w:spacing w:after="0"/>
      </w:pPr>
      <w:r>
        <w:t>Источник: http://ru.wikipedia.org/wiki/Стеллерова_гага</w:t>
      </w:r>
      <w:bookmarkStart w:id="0" w:name="_GoBack"/>
      <w:bookmarkEnd w:id="0"/>
    </w:p>
    <w:sectPr w:rsidR="003769C4">
      <w:footnotePr>
        <w:pos w:val="beneathText"/>
      </w:footnotePr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Nimbus Sans L">
    <w:altName w:val="Arial"/>
    <w:charset w:val="00"/>
    <w:family w:val="auto"/>
    <w:pitch w:val="default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isplayBackgroundShape/>
  <w:revisionView w:markup="0"/>
  <w:doNotTrackMoves/>
  <w:doNotTrackFormatting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39C3"/>
    <w:rsid w:val="001505BD"/>
    <w:rsid w:val="003769C4"/>
    <w:rsid w:val="0065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F83DD-F3BB-447C-BACA-32D0BF24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  <w:jc w:val="both"/>
    </w:pPr>
    <w:rPr>
      <w:color w:val="000000"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210">
    <w:name w:val="RTF_Num 2 10"/>
  </w:style>
  <w:style w:type="character" w:customStyle="1" w:styleId="EndnoteSymbol">
    <w:name w:val="Endnote Symbol"/>
    <w:rPr>
      <w:rFonts w:ascii="Liberation Serif" w:eastAsia="DejaVu Sans" w:hAnsi="Liberation Serif" w:cs="Liberation Serif"/>
      <w:color w:val="auto"/>
      <w:sz w:val="24"/>
      <w:szCs w:val="24"/>
      <w:lang w:val="en-US"/>
    </w:rPr>
  </w:style>
  <w:style w:type="character" w:customStyle="1" w:styleId="FootnoteSymbol">
    <w:name w:val="Footnote Symbol"/>
    <w:rPr>
      <w:rFonts w:ascii="Liberation Serif" w:eastAsia="DejaVu Sans" w:hAnsi="Liberation Serif" w:cs="Liberation Serif"/>
      <w:color w:val="auto"/>
      <w:sz w:val="24"/>
      <w:szCs w:val="24"/>
      <w:lang w:val="en-US"/>
    </w:rPr>
  </w:style>
  <w:style w:type="character" w:customStyle="1" w:styleId="Internetlink">
    <w:name w:val="Internet link"/>
    <w:rPr>
      <w:rFonts w:ascii="Liberation Serif" w:eastAsia="DejaVu Sans" w:hAnsi="Liberation Serif" w:cs="Liberation Serif"/>
      <w:color w:val="000080"/>
      <w:sz w:val="24"/>
      <w:szCs w:val="24"/>
      <w:u w:val="single"/>
      <w:lang w:val="en-US"/>
    </w:rPr>
  </w:style>
  <w:style w:type="character" w:customStyle="1" w:styleId="NumberingSymbols">
    <w:name w:val="Numbering Symbols"/>
    <w:rPr>
      <w:rFonts w:ascii="Liberation Serif" w:eastAsia="DejaVu Sans" w:hAnsi="Liberation Serif" w:cs="Liberation Serif"/>
      <w:color w:val="auto"/>
      <w:sz w:val="24"/>
      <w:szCs w:val="24"/>
      <w:lang w:val="en-US"/>
    </w:rPr>
  </w:style>
  <w:style w:type="paragraph" w:customStyle="1" w:styleId="Heading">
    <w:name w:val="Heading"/>
    <w:basedOn w:val="a"/>
    <w:next w:val="a3"/>
    <w:pPr>
      <w:keepNext/>
      <w:spacing w:before="240" w:after="283"/>
    </w:pPr>
    <w:rPr>
      <w:rFonts w:ascii="Albany" w:eastAsia="HG Mincho Light J" w:hAnsi="Albany" w:cs="Albany"/>
      <w:sz w:val="28"/>
      <w:szCs w:val="28"/>
    </w:rPr>
  </w:style>
  <w:style w:type="paragraph" w:styleId="a3">
    <w:name w:val="Body Text"/>
    <w:basedOn w:val="a"/>
    <w:semiHidden/>
    <w:pPr>
      <w:spacing w:after="283"/>
    </w:pPr>
  </w:style>
  <w:style w:type="paragraph" w:styleId="a4">
    <w:name w:val="List"/>
    <w:basedOn w:val="a3"/>
    <w:semiHidden/>
  </w:style>
  <w:style w:type="paragraph" w:customStyle="1" w:styleId="1">
    <w:name w:val="Название объекта1"/>
    <w:basedOn w:val="a"/>
    <w:pPr>
      <w:suppressLineNumbers/>
      <w:spacing w:before="120" w:after="120"/>
    </w:pPr>
    <w:rPr>
      <w:rFonts w:cs="Nimbus Sans L"/>
      <w:i/>
      <w:iCs/>
      <w:sz w:val="24"/>
      <w:szCs w:val="24"/>
    </w:rPr>
  </w:style>
  <w:style w:type="paragraph" w:customStyle="1" w:styleId="Index">
    <w:name w:val="Index"/>
    <w:basedOn w:val="a"/>
  </w:style>
  <w:style w:type="paragraph" w:customStyle="1" w:styleId="HorizontalLine">
    <w:name w:val="Horizontal Line"/>
    <w:basedOn w:val="a"/>
    <w:next w:val="a3"/>
    <w:pPr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210">
    <w:name w:val="Обратный адрес 21"/>
    <w:basedOn w:val="a"/>
    <w:rPr>
      <w:i/>
      <w:iCs/>
    </w:rPr>
  </w:style>
  <w:style w:type="paragraph" w:customStyle="1" w:styleId="TableContents">
    <w:name w:val="Table Contents"/>
    <w:basedOn w:val="a3"/>
  </w:style>
  <w:style w:type="paragraph" w:customStyle="1" w:styleId="10">
    <w:name w:val="Нижний колонтитул1"/>
    <w:basedOn w:val="a"/>
    <w:pPr>
      <w:tabs>
        <w:tab w:val="center" w:pos="4818"/>
        <w:tab w:val="right" w:pos="9637"/>
      </w:tabs>
    </w:pPr>
  </w:style>
  <w:style w:type="paragraph" w:customStyle="1" w:styleId="12">
    <w:name w:val="Верхний колонтитул1"/>
    <w:basedOn w:val="a"/>
    <w:pPr>
      <w:tabs>
        <w:tab w:val="center" w:pos="4818"/>
        <w:tab w:val="right" w:pos="9637"/>
      </w:tabs>
    </w:pPr>
  </w:style>
  <w:style w:type="paragraph" w:customStyle="1" w:styleId="11">
    <w:name w:val="Заголовок 11"/>
    <w:basedOn w:val="Heading"/>
    <w:next w:val="a3"/>
    <w:pPr>
      <w:numPr>
        <w:numId w:val="2"/>
      </w:numPr>
      <w:outlineLvl w:val="0"/>
    </w:pPr>
    <w:rPr>
      <w:rFonts w:ascii="Thorndale" w:hAnsi="Thorndale" w:cs="Thorndale"/>
      <w:b/>
      <w:bCs/>
      <w:sz w:val="48"/>
      <w:szCs w:val="48"/>
    </w:rPr>
  </w:style>
  <w:style w:type="paragraph" w:customStyle="1" w:styleId="2">
    <w:name w:val="Название объекта2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21">
    <w:name w:val="Заголовок 21"/>
    <w:basedOn w:val="Heading"/>
    <w:next w:val="a3"/>
    <w:pPr>
      <w:numPr>
        <w:ilvl w:val="1"/>
        <w:numId w:val="2"/>
      </w:numPr>
      <w:outlineLvl w:val="1"/>
    </w:pPr>
    <w:rPr>
      <w:rFonts w:ascii="Liberation Serif" w:eastAsia="DejaVu Sans" w:hAnsi="Liberation Serif" w:cs="Liberation Serif"/>
      <w:b/>
      <w:bCs/>
      <w:sz w:val="36"/>
      <w:szCs w:val="36"/>
    </w:rPr>
  </w:style>
  <w:style w:type="paragraph" w:customStyle="1" w:styleId="31">
    <w:name w:val="Заголовок 31"/>
    <w:basedOn w:val="Heading"/>
    <w:next w:val="a3"/>
    <w:pPr>
      <w:numPr>
        <w:ilvl w:val="2"/>
        <w:numId w:val="2"/>
      </w:numPr>
      <w:outlineLvl w:val="2"/>
    </w:pPr>
    <w:rPr>
      <w:rFonts w:ascii="Liberation Serif" w:eastAsia="DejaVu Sans" w:hAnsi="Liberation Serif" w:cs="Liberation Serif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1323</Words>
  <Characters>7547</Characters>
  <Application>Microsoft Office Word</Application>
  <DocSecurity>0</DocSecurity>
  <Lines>62</Lines>
  <Paragraphs>17</Paragraphs>
  <ScaleCrop>false</ScaleCrop>
  <Company/>
  <LinksUpToDate>false</LinksUpToDate>
  <CharactersWithSpaces>8853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1899-12-31T21:00:00Z</cp:lastPrinted>
  <dcterms:created xsi:type="dcterms:W3CDTF">2014-05-09T09:53:00Z</dcterms:created>
  <dcterms:modified xsi:type="dcterms:W3CDTF">2014-05-09T09:53:00Z</dcterms:modified>
</cp:coreProperties>
</file>