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790" w:rsidRDefault="00635A3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Фаза подъема</w:t>
      </w:r>
      <w:r>
        <w:br/>
      </w:r>
      <w:r>
        <w:rPr>
          <w:b/>
          <w:bCs/>
        </w:rPr>
        <w:t>2 Фаза акматическая</w:t>
      </w:r>
      <w:r>
        <w:br/>
      </w:r>
      <w:r>
        <w:rPr>
          <w:b/>
          <w:bCs/>
        </w:rPr>
        <w:t>3 Фаза надлома</w:t>
      </w:r>
      <w:r>
        <w:br/>
      </w:r>
      <w:r>
        <w:rPr>
          <w:b/>
          <w:bCs/>
        </w:rPr>
        <w:t>4 Фаза инерционная</w:t>
      </w:r>
      <w:r>
        <w:br/>
      </w:r>
      <w:r>
        <w:rPr>
          <w:b/>
          <w:bCs/>
        </w:rPr>
        <w:t>5 Фаза обскурации</w:t>
      </w:r>
      <w:r>
        <w:br/>
      </w:r>
      <w:r>
        <w:rPr>
          <w:b/>
          <w:bCs/>
        </w:rPr>
        <w:t>6 Фаза мемориальная</w:t>
      </w:r>
      <w:r>
        <w:br/>
      </w:r>
      <w:r>
        <w:rPr>
          <w:b/>
          <w:bCs/>
        </w:rPr>
        <w:t>7 Источники</w:t>
      </w:r>
      <w:r>
        <w:br/>
      </w:r>
    </w:p>
    <w:p w:rsidR="00BA7790" w:rsidRDefault="00635A3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A7790" w:rsidRDefault="00635A37">
      <w:pPr>
        <w:pStyle w:val="a3"/>
      </w:pPr>
      <w:r>
        <w:t>Фаза этногенеза — в Пассионарной теории этногенеза Льва Гумилёва, стадия процесса этногенеза, определяемая направлением, скоростью и пределами изменения уровня пассионарного напряжения в этнической системе. Ф.э. характеризуется:</w:t>
      </w:r>
    </w:p>
    <w:p w:rsidR="00BA7790" w:rsidRDefault="00635A37">
      <w:pPr>
        <w:pStyle w:val="a3"/>
      </w:pPr>
      <w:r>
        <w:t>а) направлением изменения и уровнем активности этнической системы в целом (миграционной, демографической, хозяйственной, идейно-политической, военной, природопреобразовательной);</w:t>
      </w:r>
    </w:p>
    <w:p w:rsidR="00BA7790" w:rsidRDefault="00635A37">
      <w:pPr>
        <w:pStyle w:val="a3"/>
      </w:pPr>
      <w:r>
        <w:t>б) господствующими в данной фазе типами пассионариев определенного уровня (эти уровни колеблются от обычного стремления к благоустройству до жертвенности), а также количеством и ролью субпассионариев;</w:t>
      </w:r>
    </w:p>
    <w:p w:rsidR="00BA7790" w:rsidRDefault="00635A37">
      <w:pPr>
        <w:pStyle w:val="a3"/>
      </w:pPr>
      <w:r>
        <w:t>в) единым для данной фазы общественным императивом поведения;</w:t>
      </w:r>
    </w:p>
    <w:p w:rsidR="00BA7790" w:rsidRDefault="00635A37">
      <w:pPr>
        <w:pStyle w:val="a3"/>
      </w:pPr>
      <w:r>
        <w:t>г) степенью внутренней сложности системы, характеризуемой пределами и направлением изменения количества подсистем (субэтносов);</w:t>
      </w:r>
    </w:p>
    <w:p w:rsidR="00BA7790" w:rsidRDefault="00635A37">
      <w:pPr>
        <w:pStyle w:val="a3"/>
      </w:pPr>
      <w:r>
        <w:t>д) направлением изменения и уровнем резистентности этнической системы.</w:t>
      </w:r>
    </w:p>
    <w:p w:rsidR="00BA7790" w:rsidRDefault="00635A37">
      <w:pPr>
        <w:pStyle w:val="a3"/>
      </w:pPr>
      <w:r>
        <w:t>Кроме того, все Ф.э. имеют особые, присущие только им отличительные признаки.</w:t>
      </w:r>
    </w:p>
    <w:p w:rsidR="00BA7790" w:rsidRDefault="00635A37">
      <w:pPr>
        <w:pStyle w:val="21"/>
        <w:pageBreakBefore/>
        <w:numPr>
          <w:ilvl w:val="0"/>
          <w:numId w:val="0"/>
        </w:numPr>
      </w:pPr>
      <w:r>
        <w:t>1. Фаза подъема</w:t>
      </w:r>
    </w:p>
    <w:p w:rsidR="00BA7790" w:rsidRDefault="00635A37">
      <w:pPr>
        <w:pStyle w:val="a3"/>
      </w:pPr>
      <w:r>
        <w:rPr>
          <w:b/>
          <w:bCs/>
        </w:rPr>
        <w:t>Фаза подъема</w:t>
      </w:r>
      <w:r>
        <w:t> — период стабильного повышения уровня пассионарного напряжения системы вследствие пассионарного толчка или генетического дрейфа.</w:t>
      </w:r>
    </w:p>
    <w:p w:rsidR="00BA7790" w:rsidRDefault="00635A37">
      <w:pPr>
        <w:pStyle w:val="a3"/>
      </w:pPr>
      <w:r>
        <w:t>Примеры: Древнеримский суперэтнос VIII—VI вв. до н. э.; Древнекитайский суперэтнос X—VIII вв. до н. э.; Византийский суперэтнос I—III вв.; Исламский (первый) суперэтнос VI—VII вв.; Западный (европейский) суперэтнос VIII—X вв.; Российский суперэтнос XIII—XV вв.</w:t>
      </w:r>
    </w:p>
    <w:p w:rsidR="00BA7790" w:rsidRDefault="00635A37">
      <w:pPr>
        <w:pStyle w:val="21"/>
        <w:pageBreakBefore/>
        <w:numPr>
          <w:ilvl w:val="0"/>
          <w:numId w:val="0"/>
        </w:numPr>
      </w:pPr>
      <w:r>
        <w:t>2. Фаза акматическая</w:t>
      </w:r>
    </w:p>
    <w:p w:rsidR="00BA7790" w:rsidRDefault="00635A37">
      <w:pPr>
        <w:pStyle w:val="a3"/>
      </w:pPr>
      <w:r>
        <w:rPr>
          <w:b/>
          <w:bCs/>
        </w:rPr>
        <w:t>Фаза акматическая</w:t>
      </w:r>
      <w:r>
        <w:t> — колебания пассионарного напряжения в этнической системе после фазы подъема на предельном для данной системы уровне пассионарности.</w:t>
      </w:r>
    </w:p>
    <w:p w:rsidR="00BA7790" w:rsidRDefault="00635A37">
      <w:pPr>
        <w:pStyle w:val="a3"/>
      </w:pPr>
      <w:r>
        <w:t>Примеры: Древнеримский суперэтнос V—III вв. до н. э.; Древнекитайский суперэтнос VII—V вв. до н. э.; Византийский суперэтнос IV—VI вв.; Исламский (первый) суперэтнос VIII—IX вв.; Западный (европейский) суперэтнос XI—XIII вв.; Российский суперэтнос XVI—XVIII вв.</w:t>
      </w:r>
    </w:p>
    <w:p w:rsidR="00BA7790" w:rsidRDefault="00635A37">
      <w:pPr>
        <w:pStyle w:val="21"/>
        <w:pageBreakBefore/>
        <w:numPr>
          <w:ilvl w:val="0"/>
          <w:numId w:val="0"/>
        </w:numPr>
      </w:pPr>
      <w:r>
        <w:t>3. Фаза надлома</w:t>
      </w:r>
    </w:p>
    <w:p w:rsidR="00BA7790" w:rsidRDefault="00635A37">
      <w:pPr>
        <w:pStyle w:val="a3"/>
      </w:pPr>
      <w:r>
        <w:rPr>
          <w:b/>
          <w:bCs/>
        </w:rPr>
        <w:t>Фаза надлома</w:t>
      </w:r>
      <w:r>
        <w:t> — резкое снижение уровня пассионарного напряжения после акматической фазы, сопровождающееся расколом этнического поля.</w:t>
      </w:r>
    </w:p>
    <w:p w:rsidR="00BA7790" w:rsidRDefault="00635A37">
      <w:pPr>
        <w:pStyle w:val="a3"/>
      </w:pPr>
      <w:r>
        <w:t>Примеры: Древнеримский суперэтнос II—I вв. до н. э.; Древнекитайский суперэтнос IV—III вв. до н. э.; Византийский суперэтнос VII—VIII вв.; Исламский (первый) суперэтнос X—XI вв.; Западный (европейский) суперэтнос XIV—XVIII вв.; Российский суперэтнос XIX—XX вв.</w:t>
      </w:r>
    </w:p>
    <w:p w:rsidR="00BA7790" w:rsidRDefault="00635A37">
      <w:pPr>
        <w:pStyle w:val="21"/>
        <w:pageBreakBefore/>
        <w:numPr>
          <w:ilvl w:val="0"/>
          <w:numId w:val="0"/>
        </w:numPr>
      </w:pPr>
      <w:r>
        <w:t>4. Фаза инерционная</w:t>
      </w:r>
    </w:p>
    <w:p w:rsidR="00BA7790" w:rsidRDefault="00635A37">
      <w:pPr>
        <w:pStyle w:val="a3"/>
      </w:pPr>
      <w:r>
        <w:rPr>
          <w:b/>
          <w:bCs/>
        </w:rPr>
        <w:t>Фаза инерционная</w:t>
      </w:r>
      <w:r>
        <w:t xml:space="preserve"> или </w:t>
      </w:r>
      <w:r>
        <w:rPr>
          <w:b/>
          <w:bCs/>
        </w:rPr>
        <w:t>фаза инерции</w:t>
      </w:r>
      <w:r>
        <w:t> — плавное снижение пассионарного напряжения этнической системы после фазы надлома.</w:t>
      </w:r>
    </w:p>
    <w:p w:rsidR="00BA7790" w:rsidRDefault="00635A37">
      <w:pPr>
        <w:pStyle w:val="a3"/>
      </w:pPr>
      <w:r>
        <w:t>Примеры: Древнеримский суперэтнос I—II вв.; Древнекитайский суперэтнос II в. до н. э. — II в. н. э.; Византийский суперэтнос IX—XII вв.; Западный (европейский) суперэтнос XVII—XX вв.</w:t>
      </w:r>
    </w:p>
    <w:p w:rsidR="00BA7790" w:rsidRDefault="00635A37">
      <w:pPr>
        <w:pStyle w:val="21"/>
        <w:pageBreakBefore/>
        <w:numPr>
          <w:ilvl w:val="0"/>
          <w:numId w:val="0"/>
        </w:numPr>
      </w:pPr>
      <w:r>
        <w:t>5. Фаза обскурации</w:t>
      </w:r>
    </w:p>
    <w:p w:rsidR="00BA7790" w:rsidRDefault="00635A37">
      <w:pPr>
        <w:pStyle w:val="a3"/>
      </w:pPr>
      <w:r>
        <w:rPr>
          <w:b/>
          <w:bCs/>
        </w:rPr>
        <w:t>Фаза обскурации</w:t>
      </w:r>
      <w:r>
        <w:t> — снижение пассионарного напряжения ниже уровня гомеостаза, сопровождающееся либо исчезновением этноса как системы, либо превращением его в реликт.</w:t>
      </w:r>
    </w:p>
    <w:p w:rsidR="00BA7790" w:rsidRDefault="00635A37">
      <w:pPr>
        <w:pStyle w:val="a3"/>
      </w:pPr>
      <w:r>
        <w:t>Примеры: Древнеримский суперэтнос III—V вв.; Древнекитайский суперэтнос III—V вв.; Византийский суперэтнос XIII—XV вв.</w:t>
      </w:r>
    </w:p>
    <w:p w:rsidR="00BA7790" w:rsidRDefault="00635A37">
      <w:pPr>
        <w:pStyle w:val="21"/>
        <w:pageBreakBefore/>
        <w:numPr>
          <w:ilvl w:val="0"/>
          <w:numId w:val="0"/>
        </w:numPr>
      </w:pPr>
      <w:r>
        <w:t>6. Фаза мемориальная</w:t>
      </w:r>
    </w:p>
    <w:p w:rsidR="00BA7790" w:rsidRDefault="00635A37">
      <w:pPr>
        <w:pStyle w:val="a3"/>
      </w:pPr>
      <w:r>
        <w:rPr>
          <w:b/>
          <w:bCs/>
        </w:rPr>
        <w:t>Фаза мемориальная</w:t>
      </w:r>
      <w:r>
        <w:t> — состояние этноса после фазы обскурации, когда отдельными его представителями сохраняется культурная традиция. Память о героических деяниях предков продолжает жить в виде фольклорных произведений, легенд. Примеры: Тюркский суперэтнос: в долинах Горного Алтая живут потомки некогда могучих степных этносов (древних тюрок, найманов). Ныне они утеряли активность, но богатый былинный эпос говорит нам о былой славе этих народов. Византийский суперэтнос: фанариоты в Стамбуле.</w:t>
      </w:r>
    </w:p>
    <w:p w:rsidR="00BA7790" w:rsidRDefault="00635A37">
      <w:pPr>
        <w:pStyle w:val="21"/>
        <w:pageBreakBefore/>
        <w:numPr>
          <w:ilvl w:val="0"/>
          <w:numId w:val="0"/>
        </w:numPr>
      </w:pPr>
      <w:r>
        <w:t>7. Источники</w:t>
      </w:r>
    </w:p>
    <w:p w:rsidR="00BA7790" w:rsidRDefault="00635A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Гумилёв Л. Н. Этногенез и биосфера Земли. СПб.: Кристалл, 2001. ISBN 5-306-00157-2</w:t>
      </w:r>
    </w:p>
    <w:p w:rsidR="00BA7790" w:rsidRDefault="00635A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Мичурин В. А. Словарь понятий и терминов теории этногенеза. М., 1993.</w:t>
      </w:r>
    </w:p>
    <w:p w:rsidR="00BA7790" w:rsidRDefault="00635A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Ермолаев В. Ю. Толковый словарь понятий и терминов теории этногенеза. М., 1989.</w:t>
      </w:r>
    </w:p>
    <w:p w:rsidR="00BA7790" w:rsidRDefault="00635A37">
      <w:pPr>
        <w:pStyle w:val="a3"/>
        <w:numPr>
          <w:ilvl w:val="0"/>
          <w:numId w:val="1"/>
        </w:numPr>
        <w:tabs>
          <w:tab w:val="left" w:pos="707"/>
        </w:tabs>
      </w:pPr>
      <w:r>
        <w:t>Диахорническая схема развития этносов Евразии</w:t>
      </w:r>
    </w:p>
    <w:p w:rsidR="00BA7790" w:rsidRDefault="00635A37">
      <w:pPr>
        <w:pStyle w:val="a3"/>
        <w:spacing w:after="0"/>
      </w:pPr>
      <w:r>
        <w:t>Источник: http://ru.wikipedia.org/wiki/Фазы_этногенеза</w:t>
      </w:r>
      <w:bookmarkStart w:id="0" w:name="_GoBack"/>
      <w:bookmarkEnd w:id="0"/>
    </w:p>
    <w:sectPr w:rsidR="00BA779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A37"/>
    <w:rsid w:val="00635A37"/>
    <w:rsid w:val="009E17BB"/>
    <w:rsid w:val="00BA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45B07-3FFF-4A74-9F99-17E18D13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3266</Characters>
  <Application>Microsoft Office Word</Application>
  <DocSecurity>0</DocSecurity>
  <Lines>27</Lines>
  <Paragraphs>7</Paragraphs>
  <ScaleCrop>false</ScaleCrop>
  <Company>diakov.net</Company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2014-08-21T08:03:00Z</dcterms:created>
  <dcterms:modified xsi:type="dcterms:W3CDTF">2014-08-21T08:03:00Z</dcterms:modified>
</cp:coreProperties>
</file>