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EFF" w:rsidRDefault="00E72237">
      <w:pPr>
        <w:pStyle w:val="a3"/>
      </w:pPr>
      <w:r>
        <w:br/>
      </w:r>
    </w:p>
    <w:p w:rsidR="001A0EFF" w:rsidRDefault="00E72237">
      <w:pPr>
        <w:pStyle w:val="a3"/>
      </w:pPr>
      <w:r>
        <w:t>Департамент Торговли правительства США использует 10 индикаторов деловой активности отслеживающих различные сегменты экономики в попытке предсказать направление развития экономики США в ближайшем будущем. В принципе, экономических индикаторов огромное количество, однако, считается, что подавляющее их большинство не обладает предсказательной способностью. Например, уровень безработицы относится к запаздывающим экономическим индикаторам, так как безработица, как правило, начинает падать только спустя 6-8 месяцев после того как экономика начала выходить из рецессии. В то же время фондовый рынок (точнее, его индексы) является лидирующим индикатором, так как он начинает расти с опережением официальной экономической статистики, поскольку, как показывает опыт, инвесторы пытаются предугадать движения экономики раньше других и часто оказываются правы.</w:t>
      </w:r>
    </w:p>
    <w:p w:rsidR="001A0EFF" w:rsidRDefault="00E72237">
      <w:pPr>
        <w:pStyle w:val="a3"/>
      </w:pPr>
      <w:r>
        <w:t xml:space="preserve">Лидирующие индикаторы сведены в </w:t>
      </w:r>
      <w:r>
        <w:rPr>
          <w:b/>
          <w:bCs/>
        </w:rPr>
        <w:t>Индекс лидирующих индикаторов</w:t>
      </w:r>
      <w:r>
        <w:t xml:space="preserve">, который поддерживается неправительственной организацией </w:t>
      </w:r>
      <w:r>
        <w:rPr>
          <w:b/>
          <w:bCs/>
        </w:rPr>
        <w:t>The Conference Board</w:t>
      </w:r>
      <w:r>
        <w:t xml:space="preserve"> и публикуется раз в месяц с запозданием в 4-5 недель. В настоящее время к ним относятся:</w:t>
      </w:r>
    </w:p>
    <w:p w:rsidR="001A0EFF" w:rsidRDefault="00E72237">
      <w:pPr>
        <w:pStyle w:val="a3"/>
      </w:pPr>
      <w:r>
        <w:t>1. Усреднённое число новых прошений о выдаче пособия по безработице (</w:t>
      </w:r>
      <w:r>
        <w:rPr>
          <w:i/>
          <w:iCs/>
        </w:rPr>
        <w:t>initial unemployment claims</w:t>
      </w:r>
      <w:r>
        <w:t>)</w:t>
      </w:r>
    </w:p>
    <w:p w:rsidR="001A0EFF" w:rsidRDefault="00E72237">
      <w:pPr>
        <w:pStyle w:val="a3"/>
      </w:pPr>
      <w:r>
        <w:t>2. Количество новых заказов, полученных производителями на производство материалов и потребительских товаров (</w:t>
      </w:r>
      <w:r>
        <w:rPr>
          <w:i/>
          <w:iCs/>
        </w:rPr>
        <w:t>plant and equipment orders</w:t>
      </w:r>
      <w:r>
        <w:t>)</w:t>
      </w:r>
    </w:p>
    <w:p w:rsidR="001A0EFF" w:rsidRDefault="00E72237">
      <w:pPr>
        <w:pStyle w:val="a3"/>
      </w:pPr>
      <w:r>
        <w:t>3. Скорость, с которой новые товары перемещаются от поставщиков к продавцам (</w:t>
      </w:r>
      <w:r>
        <w:rPr>
          <w:i/>
          <w:iCs/>
        </w:rPr>
        <w:t>vendor performance</w:t>
      </w:r>
      <w:r>
        <w:t>)</w:t>
      </w:r>
    </w:p>
    <w:p w:rsidR="001A0EFF" w:rsidRDefault="00E72237">
      <w:pPr>
        <w:pStyle w:val="a3"/>
      </w:pPr>
      <w:r>
        <w:t>4. Количество новых заказов на капитальные вложения не связанные с обороной (</w:t>
      </w:r>
      <w:r>
        <w:rPr>
          <w:i/>
          <w:iCs/>
        </w:rPr>
        <w:t>change in unfilled durable orders</w:t>
      </w:r>
      <w:r>
        <w:t>)</w:t>
      </w:r>
    </w:p>
    <w:p w:rsidR="001A0EFF" w:rsidRDefault="00E72237">
      <w:pPr>
        <w:pStyle w:val="a3"/>
      </w:pPr>
      <w:r>
        <w:t>5. Количество вновь выданных разрешений на жилищное строительство (</w:t>
      </w:r>
      <w:r>
        <w:rPr>
          <w:i/>
          <w:iCs/>
        </w:rPr>
        <w:t>residential building permits</w:t>
      </w:r>
      <w:r>
        <w:t>)</w:t>
      </w:r>
    </w:p>
    <w:p w:rsidR="001A0EFF" w:rsidRDefault="00E72237">
      <w:pPr>
        <w:pStyle w:val="a3"/>
      </w:pPr>
      <w:r>
        <w:t>6. Индекс фондового рынка Standard and Poor 500 (</w:t>
      </w:r>
      <w:r>
        <w:rPr>
          <w:i/>
          <w:iCs/>
        </w:rPr>
        <w:t>S&amp;P 500</w:t>
      </w:r>
      <w:r>
        <w:t>)</w:t>
      </w:r>
    </w:p>
    <w:p w:rsidR="001A0EFF" w:rsidRDefault="00E72237">
      <w:pPr>
        <w:pStyle w:val="a3"/>
      </w:pPr>
      <w:r>
        <w:t>7. Индексированное к инфляции количество денег в обращении (</w:t>
      </w:r>
      <w:r>
        <w:rPr>
          <w:i/>
          <w:iCs/>
        </w:rPr>
        <w:t>real M2 money supply</w:t>
      </w:r>
      <w:r>
        <w:t>)</w:t>
      </w:r>
    </w:p>
    <w:p w:rsidR="001A0EFF" w:rsidRDefault="00E72237">
      <w:pPr>
        <w:pStyle w:val="a3"/>
      </w:pPr>
      <w:r>
        <w:t>8. Разница между процентами по коротким и длинным займам (</w:t>
      </w:r>
      <w:r>
        <w:rPr>
          <w:i/>
          <w:iCs/>
        </w:rPr>
        <w:t>the yield curve</w:t>
      </w:r>
      <w:r>
        <w:t>)</w:t>
      </w:r>
    </w:p>
    <w:p w:rsidR="001A0EFF" w:rsidRDefault="00E72237">
      <w:pPr>
        <w:pStyle w:val="a3"/>
      </w:pPr>
      <w:r>
        <w:t>9. Индекс потребительских настроений (</w:t>
      </w:r>
      <w:r>
        <w:rPr>
          <w:i/>
          <w:iCs/>
        </w:rPr>
        <w:t>consumer sentiment or consumer expectations index</w:t>
      </w:r>
      <w:r>
        <w:t>)</w:t>
      </w:r>
    </w:p>
    <w:p w:rsidR="001A0EFF" w:rsidRDefault="00E72237">
      <w:pPr>
        <w:pStyle w:val="a3"/>
      </w:pPr>
      <w:r>
        <w:t>10. Количество часов за рабочую неделю, отработанных в секторе реального производства (</w:t>
      </w:r>
      <w:r>
        <w:rPr>
          <w:i/>
          <w:iCs/>
        </w:rPr>
        <w:t>average manufacturing workweek</w:t>
      </w:r>
      <w:r>
        <w:t>)</w:t>
      </w:r>
    </w:p>
    <w:p w:rsidR="001A0EFF" w:rsidRDefault="00E72237">
      <w:pPr>
        <w:pStyle w:val="a3"/>
      </w:pPr>
      <w:r>
        <w:t>Эти индикаторы исторически начинали падать до того как экономика входила в рецессию и расти в преддверии этапа расширения. Сконструированное из них число (собственно, сам Индекс Лидирующих Индикаторов), в целом, оказалось способным предсказать все 7 официальных рецессий в экономике США за последние 50 лет. Правда, ещё в 5 случаях этот индикатор предсказывал рецессии, которые не воплотились на практике.</w:t>
      </w:r>
    </w:p>
    <w:p w:rsidR="001A0EFF" w:rsidRDefault="00E72237">
      <w:pPr>
        <w:pStyle w:val="a3"/>
      </w:pPr>
      <w:r>
        <w:t>Другим его недостатком является то, что он неспособен предсказать рецессию за определённый срок. Период между сигналом, полученным этим индикатором, и началом рецессии может варьировать от 1-2 месяцев до года. К преимуществам можно отнести низкую волатильность и лучшую предсказательную способность по сравнению с другими статистическими данными.</w:t>
      </w:r>
    </w:p>
    <w:p w:rsidR="001A0EFF" w:rsidRDefault="00E72237">
      <w:pPr>
        <w:pStyle w:val="a3"/>
      </w:pPr>
      <w:r>
        <w:t>Индекс Conference Board показывает ожидаемое развитие экономики страны в ближайшие три-шесть месяцев.</w:t>
      </w:r>
    </w:p>
    <w:p w:rsidR="001A0EFF" w:rsidRDefault="00E72237">
      <w:pPr>
        <w:pStyle w:val="a3"/>
      </w:pPr>
      <w:r>
        <w:t xml:space="preserve">Одновременно с индексом лидирующих индикаторов Conference Board также поддерживает индексы </w:t>
      </w:r>
      <w:r>
        <w:rPr>
          <w:b/>
          <w:bCs/>
        </w:rPr>
        <w:t>запаздывающих</w:t>
      </w:r>
      <w:r>
        <w:t xml:space="preserve"> (</w:t>
      </w:r>
      <w:r>
        <w:rPr>
          <w:i/>
          <w:iCs/>
        </w:rPr>
        <w:t>Lagging</w:t>
      </w:r>
      <w:r>
        <w:t xml:space="preserve">) и </w:t>
      </w:r>
      <w:r>
        <w:rPr>
          <w:b/>
          <w:bCs/>
        </w:rPr>
        <w:t>«совпадающих»</w:t>
      </w:r>
      <w:r>
        <w:t xml:space="preserve"> (</w:t>
      </w:r>
      <w:r>
        <w:rPr>
          <w:i/>
          <w:iCs/>
        </w:rPr>
        <w:t>Coincident</w:t>
      </w:r>
      <w:r>
        <w:t>) экономических индикаторов.</w:t>
      </w:r>
    </w:p>
    <w:p w:rsidR="001A0EFF" w:rsidRDefault="00E72237">
      <w:pPr>
        <w:pStyle w:val="a3"/>
      </w:pPr>
      <w:r>
        <w:t>Иногда термин используется как «</w:t>
      </w:r>
      <w:r>
        <w:rPr>
          <w:b/>
          <w:bCs/>
        </w:rPr>
        <w:t>Композитный индекс лидирующих индикаторов</w:t>
      </w:r>
      <w:r>
        <w:t>» или «</w:t>
      </w:r>
      <w:r>
        <w:rPr>
          <w:b/>
          <w:bCs/>
        </w:rPr>
        <w:t>Индекс опережающих экономических индикаторов</w:t>
      </w:r>
      <w:r>
        <w:t>».</w:t>
      </w:r>
    </w:p>
    <w:p w:rsidR="001A0EFF" w:rsidRDefault="00E72237">
      <w:pPr>
        <w:pStyle w:val="a3"/>
        <w:spacing w:after="0"/>
      </w:pPr>
      <w:r>
        <w:rPr>
          <w:b/>
          <w:bCs/>
        </w:rPr>
        <w:t>Связать</w:t>
      </w:r>
      <w:r>
        <w:t>?</w:t>
      </w:r>
    </w:p>
    <w:p w:rsidR="001A0EFF" w:rsidRDefault="00E72237">
      <w:pPr>
        <w:pStyle w:val="a3"/>
      </w:pPr>
      <w:r>
        <w:t>Источник: http://ru.wikipedia.org/wiki/Лидирующие_индикаторы</w:t>
      </w:r>
      <w:bookmarkStart w:id="0" w:name="_GoBack"/>
      <w:bookmarkEnd w:id="0"/>
    </w:p>
    <w:sectPr w:rsidR="001A0EF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237"/>
    <w:rsid w:val="000B132E"/>
    <w:rsid w:val="001A0EFF"/>
    <w:rsid w:val="00E7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9A7B6-0DF6-4D30-8A6C-00623F78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2786</Characters>
  <Application>Microsoft Office Word</Application>
  <DocSecurity>0</DocSecurity>
  <Lines>23</Lines>
  <Paragraphs>6</Paragraphs>
  <ScaleCrop>false</ScaleCrop>
  <Company>diakov.net</Company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2014-08-19T19:36:00Z</dcterms:created>
  <dcterms:modified xsi:type="dcterms:W3CDTF">2014-08-19T19:36:00Z</dcterms:modified>
</cp:coreProperties>
</file>