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31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02"/>
        <w:gridCol w:w="5044"/>
        <w:gridCol w:w="4916"/>
        <w:gridCol w:w="2255"/>
      </w:tblGrid>
      <w:tr w:rsidR="004C1856" w:rsidRPr="006A22E6" w:rsidTr="006A22E6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thinThickThinMediumGap" w:sz="8" w:space="0" w:color="auto"/>
              <w:right w:val="single" w:sz="4" w:space="0" w:color="auto"/>
            </w:tcBorders>
          </w:tcPr>
          <w:p w:rsidR="00B66C63" w:rsidRDefault="00B66C63" w:rsidP="006A22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C1856" w:rsidRPr="006A22E6" w:rsidRDefault="004C1856" w:rsidP="006A22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22E6">
              <w:rPr>
                <w:rFonts w:ascii="Times New Roman" w:hAnsi="Times New Roman"/>
              </w:rPr>
              <w:t>Преступное деяние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thinThickThinMediumGap" w:sz="8" w:space="0" w:color="auto"/>
              <w:right w:val="single" w:sz="4" w:space="0" w:color="auto"/>
            </w:tcBorders>
          </w:tcPr>
          <w:p w:rsidR="004C1856" w:rsidRPr="006A22E6" w:rsidRDefault="004C1856" w:rsidP="006A22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22E6">
              <w:rPr>
                <w:rFonts w:ascii="Times New Roman" w:hAnsi="Times New Roman"/>
              </w:rPr>
              <w:t>Судебник 1497 г.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thinThickThinMediumGap" w:sz="8" w:space="0" w:color="auto"/>
              <w:right w:val="single" w:sz="4" w:space="0" w:color="auto"/>
            </w:tcBorders>
          </w:tcPr>
          <w:p w:rsidR="004C1856" w:rsidRPr="006A22E6" w:rsidRDefault="004C1856" w:rsidP="006A22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22E6">
              <w:rPr>
                <w:rFonts w:ascii="Times New Roman" w:hAnsi="Times New Roman"/>
              </w:rPr>
              <w:t>Соборное уложение 1649 г.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thinThickThinMediumGap" w:sz="8" w:space="0" w:color="auto"/>
              <w:right w:val="single" w:sz="4" w:space="0" w:color="auto"/>
            </w:tcBorders>
          </w:tcPr>
          <w:p w:rsidR="004C1856" w:rsidRPr="006A22E6" w:rsidRDefault="004C1856" w:rsidP="006A22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22E6">
              <w:rPr>
                <w:rFonts w:ascii="Times New Roman" w:hAnsi="Times New Roman"/>
              </w:rPr>
              <w:t>Изменения</w:t>
            </w:r>
          </w:p>
        </w:tc>
      </w:tr>
      <w:tr w:rsidR="004C1856" w:rsidRPr="006A22E6" w:rsidTr="006A22E6">
        <w:tc>
          <w:tcPr>
            <w:tcW w:w="2102" w:type="dxa"/>
          </w:tcPr>
          <w:p w:rsidR="004C1856" w:rsidRPr="006A22E6" w:rsidRDefault="00956D30" w:rsidP="006A22E6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</w:rPr>
            </w:pPr>
            <w:r w:rsidRPr="006A22E6">
              <w:rPr>
                <w:rFonts w:ascii="Times New Roman" w:hAnsi="Times New Roman"/>
                <w:color w:val="000000"/>
              </w:rPr>
              <w:t>Политические преступления</w:t>
            </w:r>
          </w:p>
        </w:tc>
        <w:tc>
          <w:tcPr>
            <w:tcW w:w="5044" w:type="dxa"/>
          </w:tcPr>
          <w:p w:rsidR="004C1856" w:rsidRPr="006A22E6" w:rsidRDefault="00956D30" w:rsidP="006A22E6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</w:rPr>
            </w:pPr>
            <w:r w:rsidRPr="006A22E6">
              <w:rPr>
                <w:rFonts w:ascii="Times New Roman" w:hAnsi="Times New Roman"/>
                <w:color w:val="000000"/>
              </w:rPr>
              <w:t>К  политическим преступлениям по Судебнику 1497 г. можно отнести "крамолу", т.е. заговор против государственной власти, поджог города или крепости с целью передачи её неприятелю, "подмет", т.е. шпионаж, разглашение секретных сведений, призыв к заговорам и измене путём распространения "возмутительных" и "поносных" писем. Усиление закрепощения вызвало обострение борьбы феодально-зависимого и</w:t>
            </w:r>
            <w:r w:rsidRPr="006A22E6">
              <w:rPr>
                <w:rFonts w:ascii="Times New Roman" w:hAnsi="Times New Roman"/>
                <w:color w:val="000000"/>
              </w:rPr>
              <w:br/>
              <w:t>закрепощаемого населения. Выступления против господствующего класса приняли</w:t>
            </w:r>
            <w:r w:rsidRPr="006A22E6">
              <w:rPr>
                <w:rFonts w:ascii="Times New Roman" w:hAnsi="Times New Roman"/>
                <w:color w:val="000000"/>
              </w:rPr>
              <w:br/>
              <w:t>массовый характер. В связи с этим наряду с определёнными деяниями,</w:t>
            </w:r>
            <w:r w:rsidR="00AC0B5A" w:rsidRPr="006A22E6">
              <w:rPr>
                <w:rFonts w:ascii="Times New Roman" w:hAnsi="Times New Roman"/>
                <w:color w:val="000000"/>
              </w:rPr>
              <w:t xml:space="preserve"> </w:t>
            </w:r>
            <w:r w:rsidRPr="006A22E6">
              <w:rPr>
                <w:rFonts w:ascii="Times New Roman" w:hAnsi="Times New Roman"/>
                <w:color w:val="000000"/>
              </w:rPr>
              <w:t>признаваемыми преступными, Судебник 1497 г. вводит понятие "лихого дела" и "ведомых лихих людей". "Лихим" человеком мог быть признан любой человек, хотя бы и не совершивший никакого конкретного деяния - измены, поджога, подмёта, но сочувствующий, поддерживающий требования народа и в силу этого являющийся человеком, опасным для господствующего класса. Право господствующего класса расправляться с опасными для него</w:t>
            </w:r>
            <w:r w:rsidR="00AC0B5A" w:rsidRPr="006A22E6">
              <w:rPr>
                <w:rFonts w:ascii="Times New Roman" w:hAnsi="Times New Roman"/>
                <w:color w:val="000000"/>
              </w:rPr>
              <w:t xml:space="preserve"> </w:t>
            </w:r>
            <w:r w:rsidRPr="006A22E6">
              <w:rPr>
                <w:rFonts w:ascii="Times New Roman" w:hAnsi="Times New Roman"/>
                <w:color w:val="000000"/>
              </w:rPr>
              <w:t>представителями феодально-зависимого населения закреплялось статьёй 9 Судебника, перечислявшей ответственность за особо опасные преступления.</w:t>
            </w:r>
          </w:p>
        </w:tc>
        <w:tc>
          <w:tcPr>
            <w:tcW w:w="4916" w:type="dxa"/>
          </w:tcPr>
          <w:p w:rsidR="00956D30" w:rsidRPr="006A22E6" w:rsidRDefault="00956D30" w:rsidP="006A22E6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0000"/>
              </w:rPr>
            </w:pPr>
            <w:r w:rsidRPr="006A22E6">
              <w:rPr>
                <w:rFonts w:ascii="Times New Roman" w:hAnsi="Times New Roman"/>
                <w:color w:val="000000"/>
              </w:rPr>
              <w:t>Что касается политических преступлений,  то  в  судебниках  отмечаются только два вида: крамола (верховная измена, хотя крамольниками называются иногда и ябедники, см. указ от 9 октября 1582 года) и земская  измена  (в форме сдачи города неприятелю: Судебник 1497 г., статья 9; Судебник  1550 г. статья 61). В тоже время практика, особенно в эпоху Ивана IV, знала  и карала все виды деяний этого рода. Царствования Ивана Грозного  и  Бориса Годунова представляли самую плодородную почву для практического  развития</w:t>
            </w:r>
          </w:p>
          <w:p w:rsidR="00956D30" w:rsidRPr="006A22E6" w:rsidRDefault="00956D30" w:rsidP="006A22E6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0000"/>
              </w:rPr>
            </w:pPr>
            <w:r w:rsidRPr="006A22E6">
              <w:rPr>
                <w:rFonts w:ascii="Times New Roman" w:hAnsi="Times New Roman"/>
                <w:color w:val="000000"/>
              </w:rPr>
              <w:t>учения о  политических  преступлениях.  Уложение  точно  определяет  виды политических   преступлений.   Государственная   измена    состояла     в оскорблении царя и в бунте. Злой умысел на царя, на государство,  измена, порицание   царских   намерений,   выезд   за   границу    для    измены, подстрекательство к бунтам и смутам, - все это считалось  государственной</w:t>
            </w:r>
          </w:p>
          <w:p w:rsidR="004C1856" w:rsidRPr="006A22E6" w:rsidRDefault="00956D30" w:rsidP="006A22E6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</w:rPr>
            </w:pPr>
            <w:r w:rsidRPr="006A22E6">
              <w:rPr>
                <w:rFonts w:ascii="Times New Roman" w:hAnsi="Times New Roman"/>
                <w:color w:val="000000"/>
              </w:rPr>
              <w:t>изменой  и  наказывалось  смертной казнью.  Неопределенность  определения государственной измены  имело  серьезные  последствия:   самый  небольшой проступок мог быть отнесен к  категории  государственных  преступлений  и влек за собой смертную казнь.</w:t>
            </w:r>
          </w:p>
        </w:tc>
        <w:tc>
          <w:tcPr>
            <w:tcW w:w="2255" w:type="dxa"/>
          </w:tcPr>
          <w:p w:rsidR="004C1856" w:rsidRPr="006A22E6" w:rsidRDefault="000656D6" w:rsidP="006A22E6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</w:rPr>
            </w:pPr>
            <w:r w:rsidRPr="006A22E6">
              <w:rPr>
                <w:rFonts w:ascii="Times New Roman" w:hAnsi="Times New Roman"/>
              </w:rPr>
              <w:t>Для Соборного уложения 1649 г. характерны наиболее жестокие меры наказания по сравнению с Судебником 1497г.</w:t>
            </w:r>
          </w:p>
        </w:tc>
      </w:tr>
      <w:tr w:rsidR="004C1856" w:rsidRPr="006A22E6" w:rsidTr="006A22E6">
        <w:tc>
          <w:tcPr>
            <w:tcW w:w="2102" w:type="dxa"/>
          </w:tcPr>
          <w:p w:rsidR="004C1856" w:rsidRPr="006A22E6" w:rsidRDefault="00956D30" w:rsidP="006A22E6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</w:rPr>
            </w:pPr>
            <w:r w:rsidRPr="006A22E6">
              <w:rPr>
                <w:rFonts w:ascii="Times New Roman" w:eastAsia="Times New Roman" w:hAnsi="Times New Roman"/>
                <w:lang w:eastAsia="ru-RU"/>
              </w:rPr>
              <w:t>Имущественные преступления</w:t>
            </w:r>
          </w:p>
        </w:tc>
        <w:tc>
          <w:tcPr>
            <w:tcW w:w="5044" w:type="dxa"/>
          </w:tcPr>
          <w:p w:rsidR="004C1856" w:rsidRPr="006A22E6" w:rsidRDefault="00956D30" w:rsidP="006A22E6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</w:rPr>
            </w:pPr>
            <w:r w:rsidRPr="006A22E6">
              <w:rPr>
                <w:rFonts w:ascii="Times New Roman" w:hAnsi="Times New Roman"/>
                <w:color w:val="000000"/>
              </w:rPr>
              <w:t>Собственность феодала на средства производства и неполная собственность на</w:t>
            </w:r>
            <w:r w:rsidR="00AC0B5A" w:rsidRPr="006A22E6">
              <w:rPr>
                <w:rFonts w:ascii="Times New Roman" w:hAnsi="Times New Roman"/>
                <w:color w:val="000000"/>
              </w:rPr>
              <w:t xml:space="preserve"> </w:t>
            </w:r>
            <w:r w:rsidRPr="006A22E6">
              <w:rPr>
                <w:rFonts w:ascii="Times New Roman" w:hAnsi="Times New Roman"/>
                <w:color w:val="000000"/>
              </w:rPr>
              <w:t>работника производства является основой производственных отношений при</w:t>
            </w:r>
            <w:r w:rsidR="00AC0B5A" w:rsidRPr="006A22E6">
              <w:rPr>
                <w:rFonts w:ascii="Times New Roman" w:hAnsi="Times New Roman"/>
                <w:color w:val="000000"/>
              </w:rPr>
              <w:t xml:space="preserve"> </w:t>
            </w:r>
            <w:r w:rsidRPr="006A22E6">
              <w:rPr>
                <w:rFonts w:ascii="Times New Roman" w:hAnsi="Times New Roman"/>
                <w:color w:val="000000"/>
              </w:rPr>
              <w:t>феодальном строе. Защищая интересы господствующего класса, Судебник</w:t>
            </w:r>
            <w:r w:rsidRPr="006A22E6">
              <w:rPr>
                <w:rFonts w:ascii="Times New Roman" w:hAnsi="Times New Roman"/>
                <w:color w:val="000000"/>
              </w:rPr>
              <w:br/>
              <w:t>устанавливал ответственность за нарушение права феодальной собственности. Судебник</w:t>
            </w:r>
            <w:r w:rsidR="00AC0B5A" w:rsidRPr="006A22E6">
              <w:rPr>
                <w:rFonts w:ascii="Times New Roman" w:hAnsi="Times New Roman"/>
                <w:color w:val="000000"/>
              </w:rPr>
              <w:t xml:space="preserve"> </w:t>
            </w:r>
            <w:r w:rsidRPr="006A22E6">
              <w:rPr>
                <w:rFonts w:ascii="Times New Roman" w:hAnsi="Times New Roman"/>
                <w:color w:val="000000"/>
              </w:rPr>
              <w:t>предусматривал следующие виды преступлений против имущественных прав: 1) разбой, 2) похищение чужого имущества (татьба), 3) истребление или повреждение чужого имущества, 4) противозаконное пользование чужим имуществом. а) разбой Судебник не устанавливал различия между грабежом и разбоем. В XV в. под разбоем понималось открытое нападение, производимое обычно шайкой, но не обязательно сопровождавшееся убийством. Ответственность за разбой была различной в зависимости от того, совершался ли он "ведомым лихим человеком" или нет. Совершение разбоя "ведомым лихим человеком" каралось смертной казнью (ст. 8). Если обвиняемый в разбое не был "ведомым лихим человеком", он должен был возместить пострадавшему нанесённый ущерб ("исцево доправити") и наказывался "продажей" (ст. 38), что означало в данном случае денежный штраф. б) похищение чужого имущества Похищение чужого имущества, именуемое в Судебнике "татбой", будучи общеуголовным преступлением, являлось также своеобразной формой выражения</w:t>
            </w:r>
            <w:r w:rsidRPr="006A22E6">
              <w:rPr>
                <w:rFonts w:ascii="Times New Roman" w:hAnsi="Times New Roman"/>
                <w:color w:val="000000"/>
              </w:rPr>
              <w:br/>
              <w:t>протеста эксплуатируемых масс против социального гнёта. По Судебнику</w:t>
            </w:r>
            <w:r w:rsidR="00AC0B5A" w:rsidRPr="006A22E6">
              <w:rPr>
                <w:rFonts w:ascii="Times New Roman" w:hAnsi="Times New Roman"/>
                <w:color w:val="000000"/>
              </w:rPr>
              <w:t xml:space="preserve"> </w:t>
            </w:r>
            <w:r w:rsidRPr="006A22E6">
              <w:rPr>
                <w:rFonts w:ascii="Times New Roman" w:hAnsi="Times New Roman"/>
                <w:color w:val="000000"/>
              </w:rPr>
              <w:t>татьба, то есть кража, подразделялась на простую и квалифицированную. К</w:t>
            </w:r>
            <w:r w:rsidR="00AC0B5A" w:rsidRPr="006A22E6">
              <w:rPr>
                <w:rFonts w:ascii="Times New Roman" w:hAnsi="Times New Roman"/>
                <w:color w:val="000000"/>
              </w:rPr>
              <w:t xml:space="preserve"> </w:t>
            </w:r>
            <w:r w:rsidRPr="006A22E6">
              <w:rPr>
                <w:rFonts w:ascii="Times New Roman" w:hAnsi="Times New Roman"/>
                <w:color w:val="000000"/>
              </w:rPr>
              <w:t>квалифицированным видам кражи относилась кража церковная, головная (ст. 9), повторная кража (ст. 11 и 13), а также первая кража с поличным, совершённая</w:t>
            </w:r>
            <w:r w:rsidRPr="006A22E6">
              <w:rPr>
                <w:rFonts w:ascii="Times New Roman" w:hAnsi="Times New Roman"/>
                <w:color w:val="000000"/>
              </w:rPr>
              <w:br/>
              <w:t>"ведомым лихим человеком" (ст. 13). Церковная татьба, упоминаемая в ст. 9, перечисляющей особо опасные</w:t>
            </w:r>
            <w:r w:rsidR="00AC0B5A" w:rsidRPr="006A22E6">
              <w:rPr>
                <w:rFonts w:ascii="Times New Roman" w:hAnsi="Times New Roman"/>
                <w:color w:val="000000"/>
              </w:rPr>
              <w:t xml:space="preserve"> </w:t>
            </w:r>
            <w:r w:rsidRPr="006A22E6">
              <w:rPr>
                <w:rFonts w:ascii="Times New Roman" w:hAnsi="Times New Roman"/>
                <w:color w:val="000000"/>
              </w:rPr>
              <w:t>преступления, означает, по мнению большинства исследователей Судебника, не только кражу церковного имущества. Под церковным татем понимается лицо,</w:t>
            </w:r>
            <w:r w:rsidR="00AC0B5A" w:rsidRPr="006A22E6">
              <w:rPr>
                <w:rFonts w:ascii="Times New Roman" w:hAnsi="Times New Roman"/>
                <w:color w:val="000000"/>
              </w:rPr>
              <w:t xml:space="preserve"> </w:t>
            </w:r>
            <w:r w:rsidRPr="006A22E6">
              <w:rPr>
                <w:rFonts w:ascii="Times New Roman" w:hAnsi="Times New Roman"/>
                <w:color w:val="000000"/>
              </w:rPr>
              <w:t>совершившее святотатство, т.е. деяние, так или иначе нарушающее права и</w:t>
            </w:r>
            <w:r w:rsidR="00AC0B5A" w:rsidRPr="006A22E6">
              <w:rPr>
                <w:rFonts w:ascii="Times New Roman" w:hAnsi="Times New Roman"/>
                <w:color w:val="000000"/>
              </w:rPr>
              <w:t xml:space="preserve"> </w:t>
            </w:r>
            <w:r w:rsidRPr="006A22E6">
              <w:rPr>
                <w:rFonts w:ascii="Times New Roman" w:hAnsi="Times New Roman"/>
                <w:color w:val="000000"/>
              </w:rPr>
              <w:t>интересы церкви, являющейся оплотом феодального государства. "Укрывательство людей" влекло за собой не смертную казнь для виновных, а</w:t>
            </w:r>
            <w:r w:rsidR="00AC0B5A" w:rsidRPr="006A22E6">
              <w:rPr>
                <w:rFonts w:ascii="Times New Roman" w:hAnsi="Times New Roman"/>
                <w:color w:val="000000"/>
              </w:rPr>
              <w:t xml:space="preserve"> </w:t>
            </w:r>
            <w:r w:rsidRPr="006A22E6">
              <w:rPr>
                <w:rFonts w:ascii="Times New Roman" w:hAnsi="Times New Roman"/>
                <w:color w:val="000000"/>
              </w:rPr>
              <w:t>превращение их самих в холопов в случае невозможности возвратить похищенных</w:t>
            </w:r>
            <w:r w:rsidR="00AC0B5A" w:rsidRPr="006A22E6">
              <w:rPr>
                <w:rFonts w:ascii="Times New Roman" w:hAnsi="Times New Roman"/>
                <w:color w:val="000000"/>
              </w:rPr>
              <w:t xml:space="preserve"> </w:t>
            </w:r>
            <w:r w:rsidRPr="006A22E6">
              <w:rPr>
                <w:rFonts w:ascii="Times New Roman" w:hAnsi="Times New Roman"/>
                <w:color w:val="000000"/>
              </w:rPr>
              <w:t>людей. Поэтому под головной татьбой следует рассматривать не воровство</w:t>
            </w:r>
            <w:r w:rsidR="00AC0B5A" w:rsidRPr="006A22E6">
              <w:rPr>
                <w:rFonts w:ascii="Times New Roman" w:hAnsi="Times New Roman"/>
                <w:color w:val="000000"/>
              </w:rPr>
              <w:t xml:space="preserve"> </w:t>
            </w:r>
            <w:r w:rsidRPr="006A22E6">
              <w:rPr>
                <w:rFonts w:ascii="Times New Roman" w:hAnsi="Times New Roman"/>
                <w:color w:val="000000"/>
              </w:rPr>
              <w:t>людей, а воровство вообще, но сопровождающееся убийством. Такая точка зрения представляется более убедительной. Головная татьба так же, как татьба церковная, стоит в числе особо опасных преступлений,</w:t>
            </w:r>
            <w:r w:rsidR="00AC0B5A" w:rsidRPr="006A22E6">
              <w:rPr>
                <w:rFonts w:ascii="Times New Roman" w:hAnsi="Times New Roman"/>
                <w:color w:val="000000"/>
              </w:rPr>
              <w:t xml:space="preserve"> </w:t>
            </w:r>
            <w:r w:rsidRPr="006A22E6">
              <w:rPr>
                <w:rFonts w:ascii="Times New Roman" w:hAnsi="Times New Roman"/>
                <w:color w:val="000000"/>
              </w:rPr>
              <w:t>предусматриваемых ст. 9, особо защищающей интересы и права государства и господствующего класса от посягательств со стороны</w:t>
            </w:r>
            <w:r w:rsidR="00AC0B5A" w:rsidRPr="006A22E6">
              <w:rPr>
                <w:rFonts w:ascii="Times New Roman" w:hAnsi="Times New Roman"/>
                <w:color w:val="000000"/>
              </w:rPr>
              <w:t xml:space="preserve"> </w:t>
            </w:r>
            <w:r w:rsidRPr="006A22E6">
              <w:rPr>
                <w:rFonts w:ascii="Times New Roman" w:hAnsi="Times New Roman"/>
                <w:color w:val="000000"/>
              </w:rPr>
              <w:t>эксплуатируемых. Эксплуатируемое население (крепостные,</w:t>
            </w:r>
            <w:r w:rsidR="00AC0B5A" w:rsidRPr="006A22E6">
              <w:rPr>
                <w:rFonts w:ascii="Times New Roman" w:hAnsi="Times New Roman"/>
                <w:color w:val="000000"/>
              </w:rPr>
              <w:t xml:space="preserve"> </w:t>
            </w:r>
            <w:r w:rsidRPr="006A22E6">
              <w:rPr>
                <w:rFonts w:ascii="Times New Roman" w:hAnsi="Times New Roman"/>
                <w:color w:val="000000"/>
              </w:rPr>
              <w:t>холопы), естественно, не имели возможности и средств "воровать" чужих людей (также крепостных и холопов),</w:t>
            </w:r>
            <w:r w:rsidR="00AC0B5A" w:rsidRPr="006A22E6">
              <w:rPr>
                <w:rFonts w:ascii="Times New Roman" w:hAnsi="Times New Roman"/>
                <w:color w:val="000000"/>
              </w:rPr>
              <w:t xml:space="preserve"> </w:t>
            </w:r>
            <w:r w:rsidRPr="006A22E6">
              <w:rPr>
                <w:rFonts w:ascii="Times New Roman" w:hAnsi="Times New Roman"/>
                <w:color w:val="000000"/>
              </w:rPr>
              <w:t>укрывать их или переправлять за рубеж. Вместе с тем трудно предположить, чтобы законодательство было так сурово в отношении самого класса феодалов, тем более, что период 14-15 вв. не был ещё периодом всеобщего и полного закрепощения, и случаи переманивания и увода феодально-зависимого населения одним владельцем от другого были довольно часты. Исходя из всего этого, нет оснований полагать, что под головной татьбой Судебник понимал воровство людей.</w:t>
            </w:r>
          </w:p>
        </w:tc>
        <w:tc>
          <w:tcPr>
            <w:tcW w:w="4916" w:type="dxa"/>
          </w:tcPr>
          <w:p w:rsidR="00956D30" w:rsidRPr="006A22E6" w:rsidRDefault="00956D30" w:rsidP="006A22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A22E6">
              <w:rPr>
                <w:rFonts w:ascii="Times New Roman" w:eastAsia="Times New Roman" w:hAnsi="Times New Roman"/>
                <w:lang w:eastAsia="ru-RU"/>
              </w:rPr>
              <w:t xml:space="preserve">     </w:t>
            </w:r>
            <w:r w:rsidRPr="006A22E6">
              <w:rPr>
                <w:rFonts w:ascii="Times New Roman" w:hAnsi="Times New Roman"/>
                <w:color w:val="000000"/>
              </w:rPr>
              <w:t>В имущественных преступлениях Соборное Уложение 1649  года  обращает</w:t>
            </w:r>
            <w:r w:rsidR="00AC0B5A" w:rsidRPr="006A22E6">
              <w:rPr>
                <w:rFonts w:ascii="Times New Roman" w:hAnsi="Times New Roman"/>
                <w:color w:val="000000"/>
              </w:rPr>
              <w:t xml:space="preserve"> </w:t>
            </w:r>
            <w:r w:rsidRPr="006A22E6">
              <w:rPr>
                <w:rFonts w:ascii="Times New Roman" w:hAnsi="Times New Roman"/>
                <w:color w:val="000000"/>
              </w:rPr>
              <w:t>особое внимание, на похищения разделяя их на разбой (совершаемый  в  виде промысла),   татьбу  (кражу)  и  мошенничество  (хищение,   связанное   с обманом,  но  без  насилия).  Татьба  была  простая  и  квалифицированная</w:t>
            </w:r>
            <w:r w:rsidR="00AC0B5A" w:rsidRPr="006A22E6">
              <w:rPr>
                <w:rFonts w:ascii="Times New Roman" w:hAnsi="Times New Roman"/>
                <w:color w:val="000000"/>
              </w:rPr>
              <w:t xml:space="preserve"> </w:t>
            </w:r>
            <w:r w:rsidRPr="006A22E6">
              <w:rPr>
                <w:rFonts w:ascii="Times New Roman" w:hAnsi="Times New Roman"/>
                <w:color w:val="000000"/>
              </w:rPr>
              <w:t>(церковная,   на  службе,  конокрадство,  совершенная  в  государственном дворе, кража овощей из огорода и  рыбы  из  садка).   За  первый   разбой виновный лишался правого уха,  сажался на  три  года  в  тюрьму  и  потом ссылался на Украину (гл. XXI. ст.16.  "... у таго  разбойника  за  первой разбой после пытки отрезать правое ухо,  а в тюрьме сидеть три  годы,   а животы его дати в выти  исцом,   а  ис  тюрьмы  выимая  его,  посылати  в кайдалах работати всякое изделье,  где государь укажет. А как он в тюрьме три годы отсидит, послати в Украинные городы... "). За второй  разбой  он</w:t>
            </w:r>
            <w:r w:rsidR="00AC0B5A" w:rsidRPr="006A22E6">
              <w:rPr>
                <w:rFonts w:ascii="Times New Roman" w:hAnsi="Times New Roman"/>
                <w:color w:val="000000"/>
              </w:rPr>
              <w:t xml:space="preserve"> </w:t>
            </w:r>
            <w:r w:rsidRPr="006A22E6">
              <w:rPr>
                <w:rFonts w:ascii="Times New Roman" w:hAnsi="Times New Roman"/>
                <w:color w:val="000000"/>
              </w:rPr>
              <w:t>лишался жизни (гл. XXI ст.  17. " А будет разбойника поймают  на  разборе другие, и его потому же пытать в и(ы)ных разбоях.  Да будет он  повинится только в дву разбоях, а убийства хотя и не учинил, и его за другой разбой казнити смертию, а животы его отдать в выть исцом.").  За  первую  татьбу виновный  подвергался   наказанию   кнутом    и   лишению   левого   уха, двухгодичной тюрьме и ссылке на Украину; во  второй  раз  он  наказывался кнутом,  лишался правого уха,  сажался в тюрьму на четыре  года  и  потом ссылался  на  Украину;  третья  татьба   всегда   наказывалась   смертью.</w:t>
            </w:r>
          </w:p>
          <w:p w:rsidR="00956D30" w:rsidRPr="006A22E6" w:rsidRDefault="00956D30" w:rsidP="006A22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A22E6">
              <w:rPr>
                <w:rFonts w:ascii="Times New Roman" w:hAnsi="Times New Roman"/>
                <w:color w:val="000000"/>
              </w:rPr>
              <w:t>Мошенничество считалось наравне с первой татьбой  и  также  наказывалось:</w:t>
            </w:r>
          </w:p>
          <w:p w:rsidR="00956D30" w:rsidRPr="006A22E6" w:rsidRDefault="00956D30" w:rsidP="006A22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A22E6">
              <w:rPr>
                <w:rFonts w:ascii="Times New Roman" w:hAnsi="Times New Roman"/>
                <w:color w:val="000000"/>
              </w:rPr>
              <w:t>"Да и мошенником чинить тот  же  указ,   что  указано  чинить  татем   за первую татьбу".    Уничтожение,  порча   чужого  имущества  наказывались  не   менее жестокими наказаниями.  Поджигатель подвергался огню (гл.  II  ст.  4  "А будет кто умышлением  и изменою город зажжет,  или после того зажигальщик изыман будет, и сыщется про то его воровство допряма, и его самого зажечь</w:t>
            </w:r>
          </w:p>
          <w:p w:rsidR="00956D30" w:rsidRPr="006A22E6" w:rsidRDefault="00956D30" w:rsidP="006A22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A22E6">
              <w:rPr>
                <w:rFonts w:ascii="Times New Roman" w:hAnsi="Times New Roman"/>
                <w:color w:val="000000"/>
              </w:rPr>
              <w:t>безо всякого милосердия ").  Убытки от  пожара  выплачивались  виновником (гл. X ст. 224. " А будет кто учнет жечь на нивах своих жечь солому,  или на лугах траву, и в то время огонь разгорится,  и  пожжет  чужие  нивы  и огороды,  и в том на него будут челобитчики,  и про то сыскати. Да  будет по сыску объявится,  что он учинил то хитростью, пустил огонь по ветру, и чужие инвы и огороды не отнял своею леностью,  а отняти было мощно,  и на нем исцам убытки их велеть доправит по сыску "),  но не умышленный  пожар не влек за собой никаких взысканий (гл. X ст. 226.  "  А  будет,  у  кого загорится двор не нарошным делом, и от того и иных людей дворы погорят, и на том, чей двор напередь загорится, никому ни чего  не  правити  потому, что дому его запаление учинилось не по его умышлению"). Завладение  чужим</w:t>
            </w:r>
            <w:r w:rsidR="00AC0B5A" w:rsidRPr="006A22E6">
              <w:rPr>
                <w:rFonts w:ascii="Times New Roman" w:hAnsi="Times New Roman"/>
                <w:color w:val="000000"/>
              </w:rPr>
              <w:t xml:space="preserve"> </w:t>
            </w:r>
            <w:r w:rsidRPr="006A22E6">
              <w:rPr>
                <w:rFonts w:ascii="Times New Roman" w:hAnsi="Times New Roman"/>
                <w:color w:val="000000"/>
              </w:rPr>
              <w:t>имуществом наказывалось  кнутом,   недельною  тюрьмой  и   пенею.  Беглые</w:t>
            </w:r>
          </w:p>
          <w:p w:rsidR="004C1856" w:rsidRPr="006A22E6" w:rsidRDefault="00956D30" w:rsidP="006A22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22E6">
              <w:rPr>
                <w:rFonts w:ascii="Times New Roman" w:hAnsi="Times New Roman"/>
                <w:color w:val="000000"/>
              </w:rPr>
              <w:t>наказывались тем, что возвращались во владение их хозяина.</w:t>
            </w:r>
          </w:p>
        </w:tc>
        <w:tc>
          <w:tcPr>
            <w:tcW w:w="2255" w:type="dxa"/>
          </w:tcPr>
          <w:p w:rsidR="004C1856" w:rsidRPr="006A22E6" w:rsidRDefault="00956D30" w:rsidP="006A22E6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0000"/>
              </w:rPr>
            </w:pPr>
            <w:r w:rsidRPr="006A22E6">
              <w:rPr>
                <w:rFonts w:ascii="Times New Roman" w:hAnsi="Times New Roman"/>
                <w:color w:val="000000"/>
              </w:rPr>
              <w:t>Защита феодальной собственности и личности феодала красной нитью</w:t>
            </w:r>
            <w:r w:rsidRPr="006A22E6">
              <w:rPr>
                <w:rFonts w:ascii="Times New Roman" w:hAnsi="Times New Roman"/>
                <w:color w:val="000000"/>
              </w:rPr>
              <w:br/>
              <w:t>проходит через Судебник 1497 г. Усиливающаяся классовая борьба не могла не</w:t>
            </w:r>
            <w:r w:rsidRPr="006A22E6">
              <w:rPr>
                <w:rFonts w:ascii="Times New Roman" w:hAnsi="Times New Roman"/>
                <w:color w:val="000000"/>
              </w:rPr>
              <w:br/>
              <w:t>вызвать увеличения посягательств на собственность феодала, зачастую</w:t>
            </w:r>
            <w:r w:rsidRPr="006A22E6">
              <w:rPr>
                <w:rFonts w:ascii="Times New Roman" w:hAnsi="Times New Roman"/>
                <w:color w:val="000000"/>
              </w:rPr>
              <w:br/>
              <w:t>сопровождавшихся убийством собственника. Это также могло быть средством</w:t>
            </w:r>
            <w:r w:rsidRPr="006A22E6">
              <w:rPr>
                <w:rFonts w:ascii="Times New Roman" w:hAnsi="Times New Roman"/>
                <w:color w:val="000000"/>
              </w:rPr>
              <w:br/>
              <w:t>расправы с тем или иным представителем господствующего класса, но</w:t>
            </w:r>
            <w:r w:rsidRPr="006A22E6">
              <w:rPr>
                <w:rFonts w:ascii="Times New Roman" w:hAnsi="Times New Roman"/>
                <w:color w:val="000000"/>
              </w:rPr>
              <w:br/>
              <w:t>совершаемой не группой лиц, а в одиночку. Поэтому установление Судебником</w:t>
            </w:r>
            <w:r w:rsidRPr="006A22E6">
              <w:rPr>
                <w:rFonts w:ascii="Times New Roman" w:hAnsi="Times New Roman"/>
                <w:color w:val="000000"/>
              </w:rPr>
              <w:br/>
              <w:t>наказания за такое квалифицированное преступление, как кража,</w:t>
            </w:r>
            <w:r w:rsidRPr="006A22E6">
              <w:rPr>
                <w:rFonts w:ascii="Times New Roman" w:hAnsi="Times New Roman"/>
                <w:color w:val="000000"/>
              </w:rPr>
              <w:br/>
              <w:t>сопровождающаяся убийством, было вполне закономерным явлением. Совершение</w:t>
            </w:r>
            <w:r w:rsidRPr="006A22E6">
              <w:rPr>
                <w:rFonts w:ascii="Times New Roman" w:hAnsi="Times New Roman"/>
                <w:color w:val="000000"/>
              </w:rPr>
              <w:br/>
              <w:t>этого преступления влекло за собой смертную казнь.</w:t>
            </w:r>
          </w:p>
          <w:p w:rsidR="000656D6" w:rsidRPr="006A22E6" w:rsidRDefault="000656D6" w:rsidP="006A22E6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</w:rPr>
            </w:pPr>
            <w:r w:rsidRPr="006A22E6">
              <w:rPr>
                <w:rFonts w:ascii="Times New Roman" w:hAnsi="Times New Roman"/>
              </w:rPr>
              <w:t>Основываясь своими началами на Судебнике 1497 г. Соборное уложение ужесточило наказания.</w:t>
            </w:r>
          </w:p>
        </w:tc>
      </w:tr>
      <w:tr w:rsidR="004C1856" w:rsidRPr="006A22E6" w:rsidTr="006A22E6">
        <w:tc>
          <w:tcPr>
            <w:tcW w:w="2102" w:type="dxa"/>
          </w:tcPr>
          <w:p w:rsidR="004C1856" w:rsidRPr="006A22E6" w:rsidRDefault="00956D30" w:rsidP="006A22E6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</w:rPr>
            </w:pPr>
            <w:r w:rsidRPr="006A22E6">
              <w:rPr>
                <w:rFonts w:ascii="Times New Roman" w:hAnsi="Times New Roman"/>
              </w:rPr>
              <w:t>Преступления против личности</w:t>
            </w:r>
          </w:p>
        </w:tc>
        <w:tc>
          <w:tcPr>
            <w:tcW w:w="5044" w:type="dxa"/>
          </w:tcPr>
          <w:p w:rsidR="00AC0B5A" w:rsidRPr="006A22E6" w:rsidRDefault="00956D30" w:rsidP="006A22E6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0000"/>
              </w:rPr>
            </w:pPr>
            <w:r w:rsidRPr="006A22E6">
              <w:rPr>
                <w:rFonts w:ascii="Times New Roman" w:hAnsi="Times New Roman"/>
                <w:color w:val="000000"/>
              </w:rPr>
              <w:t>Судебник знает следующие преступления против личности: убийство (душегубство), ябедничество (злостная клевета) и преступления против чести. К этим преступлениям можно также отнести "бой" (побои; дело о побоях решалось полем - ст. 6). Наиболее серьёзным преступлением против личности было убийство. Судебник</w:t>
            </w:r>
            <w:r w:rsidR="00AC0B5A" w:rsidRPr="006A22E6">
              <w:rPr>
                <w:rFonts w:ascii="Times New Roman" w:hAnsi="Times New Roman"/>
                <w:color w:val="000000"/>
              </w:rPr>
              <w:t xml:space="preserve"> </w:t>
            </w:r>
            <w:r w:rsidRPr="006A22E6">
              <w:rPr>
                <w:rFonts w:ascii="Times New Roman" w:hAnsi="Times New Roman"/>
                <w:color w:val="000000"/>
              </w:rPr>
              <w:t>различает убийство квалифицированное и простое.</w:t>
            </w:r>
          </w:p>
          <w:p w:rsidR="004C1856" w:rsidRPr="006A22E6" w:rsidRDefault="00956D30" w:rsidP="006A22E6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</w:rPr>
            </w:pPr>
            <w:r w:rsidRPr="006A22E6">
              <w:rPr>
                <w:rFonts w:ascii="Times New Roman" w:hAnsi="Times New Roman"/>
                <w:color w:val="000000"/>
              </w:rPr>
              <w:t>Квалифицированным убийством, влекущим за собой смертную казнь, было убийство крестьянином своего владельца. "А государскому убойце... живота не дати, казнити его смертною казнию", - гласит ст. 9 Судебника, перечисляющая ряд особо опасных преступлений. Введение специального понятия - "государский убойца" и установление высшей меры наказания для лиц, совершивших это деяние,  обусловливалось учащением случаев выступления крестьян против своих господ и необходимостью защиты жизни представителей господствующего класса. Простое убийство влекло за собой обязанность для виновного уплатить</w:t>
            </w:r>
            <w:r w:rsidR="00AC0B5A" w:rsidRPr="006A22E6">
              <w:rPr>
                <w:rFonts w:ascii="Times New Roman" w:hAnsi="Times New Roman"/>
                <w:color w:val="000000"/>
              </w:rPr>
              <w:t xml:space="preserve"> </w:t>
            </w:r>
            <w:r w:rsidRPr="006A22E6">
              <w:rPr>
                <w:rFonts w:ascii="Times New Roman" w:hAnsi="Times New Roman"/>
                <w:color w:val="000000"/>
              </w:rPr>
              <w:t>"продажу", то есть штраф, и понести наказание, назначаемое по усмотрению</w:t>
            </w:r>
            <w:r w:rsidRPr="006A22E6">
              <w:rPr>
                <w:rFonts w:ascii="Times New Roman" w:hAnsi="Times New Roman"/>
                <w:color w:val="000000"/>
              </w:rPr>
              <w:br/>
              <w:t>судьи. Однако если совершивший убийство был "ведомым лихим человеком", то</w:t>
            </w:r>
            <w:r w:rsidR="00AC0B5A" w:rsidRPr="006A22E6">
              <w:rPr>
                <w:rFonts w:ascii="Times New Roman" w:hAnsi="Times New Roman"/>
                <w:color w:val="000000"/>
              </w:rPr>
              <w:t xml:space="preserve"> </w:t>
            </w:r>
            <w:r w:rsidRPr="006A22E6">
              <w:rPr>
                <w:rFonts w:ascii="Times New Roman" w:hAnsi="Times New Roman"/>
                <w:color w:val="000000"/>
              </w:rPr>
              <w:t>он так же, как и "государский убойца", подлежал смертной казни (статьи 7 и</w:t>
            </w:r>
            <w:r w:rsidR="00AC0B5A" w:rsidRPr="006A22E6">
              <w:rPr>
                <w:rFonts w:ascii="Times New Roman" w:hAnsi="Times New Roman"/>
                <w:color w:val="000000"/>
              </w:rPr>
              <w:t xml:space="preserve"> </w:t>
            </w:r>
            <w:r w:rsidRPr="006A22E6">
              <w:rPr>
                <w:rFonts w:ascii="Times New Roman" w:hAnsi="Times New Roman"/>
                <w:color w:val="000000"/>
              </w:rPr>
              <w:t>8). Ябедничество означало злостную клевету, имевшую своей целью обвинить в</w:t>
            </w:r>
            <w:r w:rsidRPr="006A22E6">
              <w:rPr>
                <w:rFonts w:ascii="Times New Roman" w:hAnsi="Times New Roman"/>
                <w:color w:val="000000"/>
              </w:rPr>
              <w:br/>
              <w:t>преступлении невиновного с тем, чтобы воспользоваться его имуществом. Это</w:t>
            </w:r>
            <w:r w:rsidRPr="006A22E6">
              <w:rPr>
                <w:rFonts w:ascii="Times New Roman" w:hAnsi="Times New Roman"/>
                <w:color w:val="000000"/>
              </w:rPr>
              <w:br/>
              <w:t>деяние, совершённое "ведомым лихим человеком", относилось уже к категории</w:t>
            </w:r>
            <w:r w:rsidR="00AC0B5A" w:rsidRPr="006A22E6">
              <w:rPr>
                <w:rFonts w:ascii="Times New Roman" w:hAnsi="Times New Roman"/>
                <w:color w:val="000000"/>
              </w:rPr>
              <w:t xml:space="preserve"> </w:t>
            </w:r>
            <w:r w:rsidRPr="006A22E6">
              <w:rPr>
                <w:rFonts w:ascii="Times New Roman" w:hAnsi="Times New Roman"/>
                <w:color w:val="000000"/>
              </w:rPr>
              <w:t>"лихих" дел, перечисленных ст. 8 и ст. 39 Судебника, и каралось смертной</w:t>
            </w:r>
            <w:r w:rsidR="00AC0B5A" w:rsidRPr="006A22E6">
              <w:rPr>
                <w:rFonts w:ascii="Times New Roman" w:hAnsi="Times New Roman"/>
                <w:color w:val="000000"/>
              </w:rPr>
              <w:t xml:space="preserve"> </w:t>
            </w:r>
            <w:r w:rsidRPr="006A22E6">
              <w:rPr>
                <w:rFonts w:ascii="Times New Roman" w:hAnsi="Times New Roman"/>
                <w:color w:val="000000"/>
              </w:rPr>
              <w:t>казнью. Преступления против чести включали в себя оскорбление действием и</w:t>
            </w:r>
            <w:r w:rsidRPr="006A22E6">
              <w:rPr>
                <w:rFonts w:ascii="Times New Roman" w:hAnsi="Times New Roman"/>
                <w:color w:val="000000"/>
              </w:rPr>
              <w:br/>
              <w:t>оскорбление словом. В отличие от РП, которая знала лишь оскорбление</w:t>
            </w:r>
            <w:r w:rsidR="00AC0B5A" w:rsidRPr="006A22E6">
              <w:rPr>
                <w:rFonts w:ascii="Times New Roman" w:hAnsi="Times New Roman"/>
                <w:color w:val="000000"/>
              </w:rPr>
              <w:t xml:space="preserve"> </w:t>
            </w:r>
            <w:r w:rsidRPr="006A22E6">
              <w:rPr>
                <w:rFonts w:ascii="Times New Roman" w:hAnsi="Times New Roman"/>
                <w:color w:val="000000"/>
              </w:rPr>
              <w:t>действием, Судебник 1497 г. устанавливает ответственность за оба вида этих</w:t>
            </w:r>
            <w:r w:rsidR="00AC0B5A" w:rsidRPr="006A22E6">
              <w:rPr>
                <w:rFonts w:ascii="Times New Roman" w:hAnsi="Times New Roman"/>
                <w:color w:val="000000"/>
              </w:rPr>
              <w:t xml:space="preserve"> </w:t>
            </w:r>
            <w:r w:rsidRPr="006A22E6">
              <w:rPr>
                <w:rFonts w:ascii="Times New Roman" w:hAnsi="Times New Roman"/>
                <w:color w:val="000000"/>
              </w:rPr>
              <w:t>преступлений. Споры по искам об оскорблении действием или словом решались</w:t>
            </w:r>
            <w:r w:rsidRPr="006A22E6">
              <w:rPr>
                <w:rFonts w:ascii="Times New Roman" w:hAnsi="Times New Roman"/>
                <w:color w:val="000000"/>
              </w:rPr>
              <w:br/>
              <w:t>"полем" и влекли для виновного обязанность уплаты "продажи" и требуемого</w:t>
            </w:r>
            <w:r w:rsidR="00AC0B5A" w:rsidRPr="006A22E6">
              <w:rPr>
                <w:rFonts w:ascii="Times New Roman" w:hAnsi="Times New Roman"/>
                <w:color w:val="000000"/>
              </w:rPr>
              <w:t xml:space="preserve"> </w:t>
            </w:r>
            <w:r w:rsidRPr="006A22E6">
              <w:rPr>
                <w:rFonts w:ascii="Times New Roman" w:hAnsi="Times New Roman"/>
                <w:color w:val="000000"/>
              </w:rPr>
              <w:t>истцом вознаграждения. В случаях примирения сторон до поля ответчик освобождался от уплаты "продажи" и стороны должны были возместить расходы, произведённые судом в связи с данным делом - езд или хоженое (ст. 53). 4. Преступления против суда Имея свой целью обеспечить необходимое для господствующего класса</w:t>
            </w:r>
            <w:r w:rsidR="00AC0B5A" w:rsidRPr="006A22E6">
              <w:rPr>
                <w:rFonts w:ascii="Times New Roman" w:hAnsi="Times New Roman"/>
                <w:color w:val="000000"/>
              </w:rPr>
              <w:t xml:space="preserve"> </w:t>
            </w:r>
            <w:r w:rsidRPr="006A22E6">
              <w:rPr>
                <w:rFonts w:ascii="Times New Roman" w:hAnsi="Times New Roman"/>
                <w:color w:val="000000"/>
              </w:rPr>
              <w:t>усиление роли суда, Судебник предусматривал ответственность должностных лиц за нарушение устанавливаемого Судебником порядка судопроизводства. Согласно ст. 19 - "О неправом суде", рассмотрение дела с нарушением установленных правил судебного разбирательства влекло за собой</w:t>
            </w:r>
            <w:r w:rsidR="00AC0B5A" w:rsidRPr="006A22E6">
              <w:rPr>
                <w:rFonts w:ascii="Times New Roman" w:hAnsi="Times New Roman"/>
                <w:color w:val="000000"/>
              </w:rPr>
              <w:t xml:space="preserve">  н</w:t>
            </w:r>
            <w:r w:rsidRPr="006A22E6">
              <w:rPr>
                <w:rFonts w:ascii="Times New Roman" w:hAnsi="Times New Roman"/>
                <w:color w:val="000000"/>
              </w:rPr>
              <w:t>едействительность судебного решения по</w:t>
            </w:r>
            <w:r w:rsidR="00AC0B5A" w:rsidRPr="006A22E6">
              <w:rPr>
                <w:rFonts w:ascii="Times New Roman" w:hAnsi="Times New Roman"/>
                <w:color w:val="000000"/>
              </w:rPr>
              <w:t xml:space="preserve"> </w:t>
            </w:r>
            <w:r w:rsidRPr="006A22E6">
              <w:rPr>
                <w:rFonts w:ascii="Times New Roman" w:hAnsi="Times New Roman"/>
                <w:color w:val="000000"/>
              </w:rPr>
              <w:t>данному делу. Судья, виновный в</w:t>
            </w:r>
            <w:r w:rsidRPr="006A22E6">
              <w:rPr>
                <w:rFonts w:ascii="Times New Roman" w:hAnsi="Times New Roman"/>
                <w:color w:val="000000"/>
              </w:rPr>
              <w:br/>
              <w:t>разборе дела "не по суду", обязан был возместить сторонам понесённые ими</w:t>
            </w:r>
            <w:r w:rsidR="00AC0B5A" w:rsidRPr="006A22E6">
              <w:rPr>
                <w:rFonts w:ascii="Times New Roman" w:hAnsi="Times New Roman"/>
                <w:color w:val="000000"/>
              </w:rPr>
              <w:t xml:space="preserve"> </w:t>
            </w:r>
            <w:r w:rsidRPr="006A22E6">
              <w:rPr>
                <w:rFonts w:ascii="Times New Roman" w:hAnsi="Times New Roman"/>
                <w:color w:val="000000"/>
              </w:rPr>
              <w:t>расходы. Однако, кроме возмещения "взятого" у сторон, судья не подвергался</w:t>
            </w:r>
            <w:r w:rsidR="00AC0B5A" w:rsidRPr="006A22E6">
              <w:rPr>
                <w:rFonts w:ascii="Times New Roman" w:hAnsi="Times New Roman"/>
                <w:color w:val="000000"/>
              </w:rPr>
              <w:t xml:space="preserve"> </w:t>
            </w:r>
            <w:r w:rsidRPr="006A22E6">
              <w:rPr>
                <w:rFonts w:ascii="Times New Roman" w:hAnsi="Times New Roman"/>
                <w:color w:val="000000"/>
              </w:rPr>
              <w:t>какому-либо иному наказанию (ст. 19). Судебник устанавливал, "чтобы ищея и ответчик судиам и приставом посулу</w:t>
            </w:r>
            <w:r w:rsidRPr="006A22E6">
              <w:rPr>
                <w:rFonts w:ascii="Times New Roman" w:hAnsi="Times New Roman"/>
                <w:color w:val="000000"/>
              </w:rPr>
              <w:br/>
              <w:t>не сулити в суду...", то есть запрещал давать судье взятки, а также вводил ответственность за лжесвидетельство: "... а послухом не видев не послушествовати, а видевши сказати правду" (ст. 67).</w:t>
            </w:r>
            <w:r w:rsidRPr="006A22E6">
              <w:rPr>
                <w:rFonts w:ascii="Times New Roman" w:hAnsi="Times New Roman"/>
                <w:color w:val="000000"/>
              </w:rPr>
              <w:br/>
              <w:t xml:space="preserve">Дача суду ложных показаний влекла для лжесвидетельства обязанность возместить потерпевшему весь понесённый им ущерб и убытки, связанные с ведением дела (ст. 67). Судебник запрещает не только давать, но и брать взятки, хотя также не устанавливает ещё наказания за получение взятки (статьи 33, 34). </w:t>
            </w:r>
          </w:p>
        </w:tc>
        <w:tc>
          <w:tcPr>
            <w:tcW w:w="4916" w:type="dxa"/>
          </w:tcPr>
          <w:p w:rsidR="00AC0B5A" w:rsidRPr="006A22E6" w:rsidRDefault="00AC0B5A" w:rsidP="006A22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A22E6">
              <w:rPr>
                <w:rFonts w:ascii="Times New Roman" w:eastAsia="Times New Roman" w:hAnsi="Times New Roman"/>
                <w:lang w:eastAsia="ru-RU"/>
              </w:rPr>
              <w:t xml:space="preserve">    Преступления против личности включали большую группу составов,  среди которых  были  убийство,  нанесение   телесных   повреждений,   побои   и оскорбления. Права всех частных лиц пользуются  равной защитой уголовного закона. Различие тяжести взысканий  общественному  состоянию  потерпевших удерживалось только в преступлениях против чести, здоровья. Личное  право холопов и  крестьян  (прикрепленных)  признано  самостоятельным  объектом преступления   (некоторые   ограничения равенства   уголовной   защиты, отмеченные в первом периоде, теперь  исчезают):  сам  господин  не  может убить своего холопа даже в том случае,  если  холоп  попадется  в  разбое</w:t>
            </w:r>
          </w:p>
          <w:p w:rsidR="00AC0B5A" w:rsidRPr="006A22E6" w:rsidRDefault="00AC0B5A" w:rsidP="006A22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A22E6">
              <w:rPr>
                <w:rFonts w:ascii="Times New Roman" w:eastAsia="Times New Roman" w:hAnsi="Times New Roman"/>
                <w:lang w:eastAsia="ru-RU"/>
              </w:rPr>
              <w:t>(Уложение XXII.79). Убийство чужих крестьян  наказывается  независимо  от частного вознаграждения (Уложение XXI.71).</w:t>
            </w:r>
          </w:p>
          <w:p w:rsidR="00AC0B5A" w:rsidRPr="006A22E6" w:rsidRDefault="00AC0B5A" w:rsidP="006A22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A22E6">
              <w:rPr>
                <w:rFonts w:ascii="Times New Roman" w:eastAsia="Times New Roman" w:hAnsi="Times New Roman"/>
                <w:lang w:eastAsia="ru-RU"/>
              </w:rPr>
              <w:t xml:space="preserve">    - Преступления против жизни мало-помалу отделяются  от  имущественных преступлений, а именно убийство от разбоя;  в  судебниках  душегубство и разбой являлись самостоятельными и раздельными преступлениями:  “а  на кого доведут татьбу или душегубство, или иное  какое  лихое  дело,  оприч  разбоя”   (Судебник   1550г.,60).В   Уложении   появляется    определение</w:t>
            </w:r>
          </w:p>
          <w:p w:rsidR="00AC0B5A" w:rsidRPr="006A22E6" w:rsidRDefault="00AC0B5A" w:rsidP="006A22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A22E6">
              <w:rPr>
                <w:rFonts w:ascii="Times New Roman" w:eastAsia="Times New Roman" w:hAnsi="Times New Roman"/>
                <w:lang w:eastAsia="ru-RU"/>
              </w:rPr>
              <w:t>квалифицированных видов убийства; лишение  жизни  может  быть  более  или</w:t>
            </w:r>
          </w:p>
          <w:p w:rsidR="00AC0B5A" w:rsidRPr="006A22E6" w:rsidRDefault="00AC0B5A" w:rsidP="006A22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A22E6">
              <w:rPr>
                <w:rFonts w:ascii="Times New Roman" w:eastAsia="Times New Roman" w:hAnsi="Times New Roman"/>
                <w:lang w:eastAsia="ru-RU"/>
              </w:rPr>
              <w:t>менее тяжким преступлением, смотря в каких отношениях, состоял  убийца  и</w:t>
            </w:r>
          </w:p>
          <w:p w:rsidR="00AC0B5A" w:rsidRPr="006A22E6" w:rsidRDefault="00AC0B5A" w:rsidP="006A22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A22E6">
              <w:rPr>
                <w:rFonts w:ascii="Times New Roman" w:eastAsia="Times New Roman" w:hAnsi="Times New Roman"/>
                <w:lang w:eastAsia="ru-RU"/>
              </w:rPr>
              <w:t>жертва. Из  отношений  родства  и  служебной  зависимости  римское  право</w:t>
            </w:r>
          </w:p>
          <w:p w:rsidR="00AC0B5A" w:rsidRPr="006A22E6" w:rsidRDefault="00AC0B5A" w:rsidP="006A22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A22E6">
              <w:rPr>
                <w:rFonts w:ascii="Times New Roman" w:eastAsia="Times New Roman" w:hAnsi="Times New Roman"/>
                <w:lang w:eastAsia="ru-RU"/>
              </w:rPr>
              <w:t>создало  понятие  “parricidium”,что  через  немецкое  право   перешло   в литовский статут, а оттуда в Уложение 1649 г., но по литовскому  статуту, из этих отношений возникают более тяжкие виды убийства; по  Уложению  же,</w:t>
            </w:r>
          </w:p>
          <w:p w:rsidR="00AC0B5A" w:rsidRPr="006A22E6" w:rsidRDefault="00AC0B5A" w:rsidP="006A22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A22E6">
              <w:rPr>
                <w:rFonts w:ascii="Times New Roman" w:eastAsia="Times New Roman" w:hAnsi="Times New Roman"/>
                <w:lang w:eastAsia="ru-RU"/>
              </w:rPr>
              <w:t>семейные отношения убийцы и  жертвы  могут  быть  причиной  и  уменьшения наказания за убийство. В XVI веке наряду  с  понятием  “неумышленное убийство”, которое было известно еще в Русской Правде, появилось  понятие “случайное убийство”, не влекшее за собой  ответственности.  В  Судебнике 1497г. вводится понятие “государский  убойца”.  В  XVI  веке  убийство  в законодательстве уже отделено от разбоя, но в практике Разбойного приказа</w:t>
            </w:r>
          </w:p>
          <w:p w:rsidR="00AC0B5A" w:rsidRPr="006A22E6" w:rsidRDefault="00AC0B5A" w:rsidP="006A22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A22E6">
              <w:rPr>
                <w:rFonts w:ascii="Times New Roman" w:eastAsia="Times New Roman" w:hAnsi="Times New Roman"/>
                <w:lang w:eastAsia="ru-RU"/>
              </w:rPr>
              <w:t xml:space="preserve">оба состава все еще проходили  вместе.  Их  окончательную  дифференциацию осуществило  только  Соборное   Уложение.   Оно   разрабатывает   систему признаков,  квалифицирующих убийство, включив в нее  убийство  женой  мужа (карается страшной казнью – зарытием живой в землю); а  женоубийство вовсе  не  отмечается,  как  особый  вид  (из  практики  видно,  что  оно наказывалось  иногда  мягче,   чем   убийство   постороннего   человека). </w:t>
            </w:r>
          </w:p>
          <w:p w:rsidR="00AC0B5A" w:rsidRPr="006A22E6" w:rsidRDefault="00AC0B5A" w:rsidP="006A22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A22E6">
              <w:rPr>
                <w:rFonts w:ascii="Times New Roman" w:eastAsia="Times New Roman" w:hAnsi="Times New Roman"/>
                <w:lang w:eastAsia="ru-RU"/>
              </w:rPr>
              <w:t>Отцеубийство  карается  смертью  “безо  всякой  пощады”.  Убийство  детей никогда не наказывалось смертью, виновный сажался в тюрьму на год и потом подвергался публичному церковному покаянию.  Но  “детоубийство”  в  узком смысле, то есть убийство матерью  незаконнорожденного  ребенка,  карается</w:t>
            </w:r>
          </w:p>
          <w:p w:rsidR="00AC0B5A" w:rsidRPr="006A22E6" w:rsidRDefault="00AC0B5A" w:rsidP="006A22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A22E6">
              <w:rPr>
                <w:rFonts w:ascii="Times New Roman" w:eastAsia="Times New Roman" w:hAnsi="Times New Roman"/>
                <w:lang w:eastAsia="ru-RU"/>
              </w:rPr>
              <w:t>смертью.</w:t>
            </w:r>
          </w:p>
          <w:p w:rsidR="00AC0B5A" w:rsidRPr="006A22E6" w:rsidRDefault="00AC0B5A" w:rsidP="006A22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A22E6">
              <w:rPr>
                <w:rFonts w:ascii="Times New Roman" w:eastAsia="Times New Roman" w:hAnsi="Times New Roman"/>
                <w:lang w:eastAsia="ru-RU"/>
              </w:rPr>
              <w:t>Убийство  господина  слугой  еще  в  Судебниках  отмечается,   как тягчайшее деяние, наравне с государственной  изменой;  по  Уложению  даже</w:t>
            </w:r>
          </w:p>
          <w:p w:rsidR="00AC0B5A" w:rsidRPr="006A22E6" w:rsidRDefault="00AC0B5A" w:rsidP="006A22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A22E6">
              <w:rPr>
                <w:rFonts w:ascii="Times New Roman" w:eastAsia="Times New Roman" w:hAnsi="Times New Roman"/>
                <w:lang w:eastAsia="ru-RU"/>
              </w:rPr>
              <w:t>покушение на такое убийство наказывается отсечением руки (гл. XXII ст. 8- 9). Из этого видно, что ужесточение и смягчение тяжести одного и того  же преступления основано не на субъективных мотивах, а на стремлении  закона</w:t>
            </w:r>
          </w:p>
          <w:p w:rsidR="00AC0B5A" w:rsidRPr="006A22E6" w:rsidRDefault="00AC0B5A" w:rsidP="006A22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A22E6">
              <w:rPr>
                <w:rFonts w:ascii="Times New Roman" w:eastAsia="Times New Roman" w:hAnsi="Times New Roman"/>
                <w:lang w:eastAsia="ru-RU"/>
              </w:rPr>
              <w:t>поддержать установленный гражданский порядок (родительскую власть, власть мужа и власть господина). На этом основании соучастие  в  отцеубийстве  и мужеубийстве посторонних лиц наказывается наравне с главным виновником.</w:t>
            </w:r>
          </w:p>
          <w:p w:rsidR="00AC0B5A" w:rsidRPr="006A22E6" w:rsidRDefault="00AC0B5A" w:rsidP="006A22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A22E6">
              <w:rPr>
                <w:rFonts w:ascii="Times New Roman" w:eastAsia="Times New Roman" w:hAnsi="Times New Roman"/>
                <w:lang w:eastAsia="ru-RU"/>
              </w:rPr>
              <w:t xml:space="preserve">     Убийство совершенное  неумышленно,  нечаянно и  при  самообороне  не считалось преступлением и не наказывалось  (Уложение XXII.20.   "А  будет кто, стреляющий ис пищали, или из лука по звери,  или по  птице,  или  по</w:t>
            </w:r>
          </w:p>
          <w:p w:rsidR="00AC0B5A" w:rsidRPr="006A22E6" w:rsidRDefault="00AC0B5A" w:rsidP="006A22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A22E6">
              <w:rPr>
                <w:rFonts w:ascii="Times New Roman" w:eastAsia="Times New Roman" w:hAnsi="Times New Roman"/>
                <w:lang w:eastAsia="ru-RU"/>
              </w:rPr>
              <w:t>премете, и стрела или пулька вспловет, и убьет кого  за  горою,   или  за городью,...., что такое убийство учинялось не нарочно,  без умышления,  и за такое убийство никакого смертию не казнити,   и  в  тюрьму  не  сажати потому,  что  такое  дело  учиниться грешным делом без умышления ").</w:t>
            </w:r>
          </w:p>
          <w:p w:rsidR="004C1856" w:rsidRPr="006A22E6" w:rsidRDefault="00AC0B5A" w:rsidP="006A22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22E6">
              <w:rPr>
                <w:rFonts w:ascii="Times New Roman" w:eastAsia="Times New Roman" w:hAnsi="Times New Roman"/>
                <w:lang w:eastAsia="ru-RU"/>
              </w:rPr>
              <w:t xml:space="preserve">       К  группе  умышленных  убийств  Уложение  относило преступления, совершенные “насильством, скопом и заговором”,  что  рассматривалось как отягчающие обстоятельства.      </w:t>
            </w:r>
          </w:p>
        </w:tc>
        <w:tc>
          <w:tcPr>
            <w:tcW w:w="2255" w:type="dxa"/>
          </w:tcPr>
          <w:p w:rsidR="004C1856" w:rsidRPr="006A22E6" w:rsidRDefault="000656D6" w:rsidP="006A22E6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</w:rPr>
            </w:pPr>
            <w:r w:rsidRPr="006A22E6">
              <w:rPr>
                <w:rFonts w:ascii="Times New Roman" w:hAnsi="Times New Roman"/>
              </w:rPr>
              <w:t>Основываясь своими началами на Судебнике 1497 г. Соборное уложение наиболее полно раскрыло данную категорию преступлений и ужесточило наказания.</w:t>
            </w:r>
          </w:p>
        </w:tc>
      </w:tr>
      <w:tr w:rsidR="004C1856" w:rsidRPr="006A22E6" w:rsidTr="006A22E6">
        <w:tc>
          <w:tcPr>
            <w:tcW w:w="2102" w:type="dxa"/>
          </w:tcPr>
          <w:p w:rsidR="004C1856" w:rsidRPr="006A22E6" w:rsidRDefault="00AC0B5A" w:rsidP="006A22E6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</w:rPr>
            </w:pPr>
            <w:r w:rsidRPr="006A22E6">
              <w:rPr>
                <w:rFonts w:ascii="Times New Roman" w:hAnsi="Times New Roman"/>
              </w:rPr>
              <w:t>Должностные преступления</w:t>
            </w:r>
          </w:p>
        </w:tc>
        <w:tc>
          <w:tcPr>
            <w:tcW w:w="5044" w:type="dxa"/>
          </w:tcPr>
          <w:p w:rsidR="004C1856" w:rsidRPr="006A22E6" w:rsidRDefault="00AC0B5A" w:rsidP="006A22E6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0000"/>
              </w:rPr>
            </w:pPr>
            <w:r w:rsidRPr="006A22E6">
              <w:rPr>
                <w:rFonts w:ascii="Times New Roman" w:hAnsi="Times New Roman"/>
                <w:color w:val="000000"/>
              </w:rPr>
              <w:t>Судебник предусматривал ответственность должностных лиц за нарушение устанавливаемого Судебником порядка судопроизводства.</w:t>
            </w:r>
          </w:p>
          <w:p w:rsidR="00AC0B5A" w:rsidRPr="006A22E6" w:rsidRDefault="00AC0B5A" w:rsidP="006A22E6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</w:rPr>
            </w:pPr>
            <w:r w:rsidRPr="006A22E6">
              <w:rPr>
                <w:rFonts w:ascii="Times New Roman" w:hAnsi="Times New Roman"/>
                <w:color w:val="000000"/>
              </w:rPr>
              <w:t>Согласно ст. 19 - "О неправом суде", рассмотрение дела с нарушением установленных правил судебного разбирательства влекло за собой</w:t>
            </w:r>
            <w:r w:rsidRPr="006A22E6">
              <w:rPr>
                <w:rFonts w:ascii="Times New Roman" w:hAnsi="Times New Roman"/>
                <w:color w:val="000000"/>
              </w:rPr>
              <w:br/>
              <w:t>недействительность судебного решения по  данному делу. Судья, виновный в разборе дела "не по суду", обязан был возместить сторонам понесённые ими расходы. Однако, кроме возмещения "взятого" у сторон, судья не подвергался какому-либо иному наказанию (ст. 19). Судебник устанавливал, "чтобы ищея и ответчик судиам и приставом посулу</w:t>
            </w:r>
            <w:r w:rsidRPr="006A22E6">
              <w:rPr>
                <w:rFonts w:ascii="Times New Roman" w:hAnsi="Times New Roman"/>
                <w:color w:val="000000"/>
              </w:rPr>
              <w:br/>
              <w:t>не сулити в суду...", то есть запрещал давать судье взятки, а также вводил ответственность за лжесвидетельство: "... а послухом не видев не</w:t>
            </w:r>
            <w:r w:rsidRPr="006A22E6">
              <w:rPr>
                <w:rFonts w:ascii="Times New Roman" w:hAnsi="Times New Roman"/>
                <w:color w:val="000000"/>
              </w:rPr>
              <w:br/>
              <w:t>послушествовати, а видевши сказати правду" (ст. 67).</w:t>
            </w:r>
            <w:r w:rsidRPr="006A22E6">
              <w:rPr>
                <w:rFonts w:ascii="Times New Roman" w:hAnsi="Times New Roman"/>
                <w:color w:val="000000"/>
              </w:rPr>
              <w:br/>
              <w:t>Дача суду ложных показаний влекла для лжесвидетельства обязанность возместить потерпевшему весь понесённый им ущерб и убытки, связанные с ведением дела (ст. 67). Судебник запрещает не только давать, но и брать взятки, хотя также не устанавливает ещё наказания за получение взятки (статьи 33, 34).</w:t>
            </w:r>
          </w:p>
        </w:tc>
        <w:tc>
          <w:tcPr>
            <w:tcW w:w="4916" w:type="dxa"/>
          </w:tcPr>
          <w:p w:rsidR="00AC0B5A" w:rsidRPr="006A22E6" w:rsidRDefault="00AC0B5A" w:rsidP="006A22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A22E6">
              <w:rPr>
                <w:rFonts w:ascii="Times New Roman" w:eastAsia="Times New Roman" w:hAnsi="Times New Roman"/>
                <w:lang w:eastAsia="ru-RU"/>
              </w:rPr>
              <w:t xml:space="preserve">       В эпоху кормления не  было  такой  необходимости  для  образования понятия об этих преступлениях; “обида”, причиняемая  наместниками,  могла</w:t>
            </w:r>
            <w:r w:rsidR="000656D6" w:rsidRPr="006A22E6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6A22E6">
              <w:rPr>
                <w:rFonts w:ascii="Times New Roman" w:eastAsia="Times New Roman" w:hAnsi="Times New Roman"/>
                <w:lang w:eastAsia="ru-RU"/>
              </w:rPr>
              <w:t>возбудить лишь частный иск первых против последних.  Однако  преступления</w:t>
            </w:r>
            <w:r w:rsidR="000656D6" w:rsidRPr="006A22E6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6A22E6">
              <w:rPr>
                <w:rFonts w:ascii="Times New Roman" w:eastAsia="Times New Roman" w:hAnsi="Times New Roman"/>
                <w:lang w:eastAsia="ru-RU"/>
              </w:rPr>
              <w:t>этого рода проникают в законодательство уже в эпоху судебников. Среди них</w:t>
            </w:r>
            <w:r w:rsidR="000656D6" w:rsidRPr="006A22E6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6A22E6">
              <w:rPr>
                <w:rFonts w:ascii="Times New Roman" w:eastAsia="Times New Roman" w:hAnsi="Times New Roman"/>
                <w:lang w:eastAsia="ru-RU"/>
              </w:rPr>
              <w:t>на  первом  месте  стояло  лихоимство.  Лихоимец   (человек,   нарушивший</w:t>
            </w:r>
          </w:p>
          <w:p w:rsidR="00AC0B5A" w:rsidRPr="006A22E6" w:rsidRDefault="00AC0B5A" w:rsidP="006A22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A22E6">
              <w:rPr>
                <w:rFonts w:ascii="Times New Roman" w:eastAsia="Times New Roman" w:hAnsi="Times New Roman"/>
                <w:lang w:eastAsia="ru-RU"/>
              </w:rPr>
              <w:t>установленный  порядок судопроизводства) из Думских людей  (заседавшие  в Боярской думе, к "думским чинам" принадлежали бояре,  окольные  и  думные дворяне)  подвергались  лишению чести и денежной пени;   лихоимец  не  из думных людей,  наказывались телесно,   кнутом  (гл.  X  ст.  5  "А  будет который боярин или окольничий, или думной человек, или иной какой  судья, истца или ответчика по посулом, или по дружбе, или  по  недружбе  правого</w:t>
            </w:r>
          </w:p>
          <w:p w:rsidR="00AC0B5A" w:rsidRPr="006A22E6" w:rsidRDefault="00AC0B5A" w:rsidP="006A22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A22E6">
              <w:rPr>
                <w:rFonts w:ascii="Times New Roman" w:eastAsia="Times New Roman" w:hAnsi="Times New Roman"/>
                <w:lang w:eastAsia="ru-RU"/>
              </w:rPr>
              <w:t>обвинит,  а виновного оправит,  а  сыщется  про  то  допряма,  и  на  тех судьях, взяти исцов иск втрое,  и отдати исцу, да и пошлины и  пересуд  и</w:t>
            </w:r>
          </w:p>
          <w:p w:rsidR="00AC0B5A" w:rsidRPr="006A22E6" w:rsidRDefault="00AC0B5A" w:rsidP="006A22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A22E6">
              <w:rPr>
                <w:rFonts w:ascii="Times New Roman" w:eastAsia="Times New Roman" w:hAnsi="Times New Roman"/>
                <w:lang w:eastAsia="ru-RU"/>
              </w:rPr>
              <w:t>правой десяток взяти на государя на них же.  Да за ту же вину у  боярина, и у окольничего у думного человека отняти честь.  А будет, который  судья такую неправду учинит не из думских людей, и тем учинити торговая  казнь,</w:t>
            </w:r>
          </w:p>
          <w:p w:rsidR="00AC0B5A" w:rsidRPr="006A22E6" w:rsidRDefault="00AC0B5A" w:rsidP="006A22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A22E6">
              <w:rPr>
                <w:rFonts w:ascii="Times New Roman" w:eastAsia="Times New Roman" w:hAnsi="Times New Roman"/>
                <w:lang w:eastAsia="ru-RU"/>
              </w:rPr>
              <w:t>и въпредь у дела не быти." ).</w:t>
            </w:r>
          </w:p>
          <w:p w:rsidR="004C1856" w:rsidRPr="006A22E6" w:rsidRDefault="00AC0B5A" w:rsidP="006A22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22E6">
              <w:rPr>
                <w:rFonts w:ascii="Times New Roman" w:eastAsia="Times New Roman" w:hAnsi="Times New Roman"/>
                <w:lang w:eastAsia="ru-RU"/>
              </w:rPr>
              <w:t xml:space="preserve">      </w:t>
            </w:r>
          </w:p>
        </w:tc>
        <w:tc>
          <w:tcPr>
            <w:tcW w:w="2255" w:type="dxa"/>
          </w:tcPr>
          <w:p w:rsidR="000656D6" w:rsidRPr="006A22E6" w:rsidRDefault="000656D6" w:rsidP="006A22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A22E6">
              <w:rPr>
                <w:rFonts w:ascii="Times New Roman" w:eastAsia="Times New Roman" w:hAnsi="Times New Roman"/>
                <w:lang w:eastAsia="ru-RU"/>
              </w:rPr>
              <w:t>Независимо  от  лихоимства  складывается   понятие   о следующих преступлениях:  умышленное  неправосудие  вследствие  мести  или   дружбы (Судебник 1497г., статья 1); отказ в правосудии (Судебник 1550 г., статья 7). Соборное Уложение  дополняло эту группу статьями о волоките, нарушении порядка судопроизводства и использовании  труда  подсудимых  в  хозяйстве судьи.</w:t>
            </w:r>
          </w:p>
          <w:p w:rsidR="004C1856" w:rsidRPr="006A22E6" w:rsidRDefault="000656D6" w:rsidP="006A22E6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</w:rPr>
            </w:pPr>
            <w:r w:rsidRPr="006A22E6">
              <w:rPr>
                <w:rFonts w:ascii="Times New Roman" w:hAnsi="Times New Roman"/>
              </w:rPr>
              <w:t>Соборное уложение наиболее полно рассматривает  данную категорию преступлений.</w:t>
            </w:r>
          </w:p>
        </w:tc>
      </w:tr>
    </w:tbl>
    <w:p w:rsidR="004C1856" w:rsidRPr="00AC0B5A" w:rsidRDefault="004C1856" w:rsidP="00AC0B5A">
      <w:pPr>
        <w:jc w:val="both"/>
        <w:rPr>
          <w:rFonts w:ascii="Times New Roman" w:hAnsi="Times New Roman"/>
        </w:rPr>
      </w:pPr>
      <w:bookmarkStart w:id="0" w:name="_GoBack"/>
      <w:bookmarkEnd w:id="0"/>
    </w:p>
    <w:sectPr w:rsidR="004C1856" w:rsidRPr="00AC0B5A" w:rsidSect="004C1856">
      <w:pgSz w:w="16838" w:h="11906" w:orient="landscape"/>
      <w:pgMar w:top="1701" w:right="1134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1856"/>
    <w:rsid w:val="000656D6"/>
    <w:rsid w:val="000C2BB9"/>
    <w:rsid w:val="00380600"/>
    <w:rsid w:val="004C1856"/>
    <w:rsid w:val="00637B44"/>
    <w:rsid w:val="006A22E6"/>
    <w:rsid w:val="008A1265"/>
    <w:rsid w:val="008E2C62"/>
    <w:rsid w:val="00956D30"/>
    <w:rsid w:val="00A13796"/>
    <w:rsid w:val="00AC0B5A"/>
    <w:rsid w:val="00AD7B38"/>
    <w:rsid w:val="00B66C63"/>
    <w:rsid w:val="00FC5720"/>
    <w:rsid w:val="00FE55AE"/>
    <w:rsid w:val="00FF1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9B3BDF-DCEB-40AE-B3F0-444F7E319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60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185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2894</Words>
  <Characters>16502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Irina</cp:lastModifiedBy>
  <cp:revision>2</cp:revision>
  <dcterms:created xsi:type="dcterms:W3CDTF">2014-08-18T15:32:00Z</dcterms:created>
  <dcterms:modified xsi:type="dcterms:W3CDTF">2014-08-18T15:32:00Z</dcterms:modified>
</cp:coreProperties>
</file>