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664" w:rsidRDefault="00620664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Pr="00FD08FA" w:rsidRDefault="00FD08FA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08FA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</w:t>
      </w:r>
    </w:p>
    <w:p w:rsidR="00FD08FA" w:rsidRPr="00FD08FA" w:rsidRDefault="00FD08FA" w:rsidP="00DD78C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08FA" w:rsidRPr="00FD08FA" w:rsidRDefault="00FD08FA" w:rsidP="00FD08F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08FA">
        <w:rPr>
          <w:rFonts w:ascii="Times New Roman" w:eastAsia="Times New Roman" w:hAnsi="Times New Roman"/>
          <w:sz w:val="28"/>
          <w:szCs w:val="28"/>
          <w:lang w:eastAsia="ru-RU"/>
        </w:rPr>
        <w:t>Введение………………………………………………………………………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..</w:t>
      </w:r>
      <w:r w:rsidRPr="00FD08FA">
        <w:rPr>
          <w:rFonts w:ascii="Times New Roman" w:eastAsia="Times New Roman" w:hAnsi="Times New Roman"/>
          <w:sz w:val="28"/>
          <w:szCs w:val="28"/>
          <w:lang w:eastAsia="ru-RU"/>
        </w:rPr>
        <w:t>….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FD08FA" w:rsidRPr="00FD08FA" w:rsidRDefault="00FD08FA" w:rsidP="00FD08F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D08FA">
        <w:rPr>
          <w:rFonts w:ascii="Times New Roman" w:eastAsia="Times New Roman" w:hAnsi="Times New Roman"/>
          <w:sz w:val="28"/>
          <w:szCs w:val="28"/>
          <w:lang w:eastAsia="ru-RU"/>
        </w:rPr>
        <w:t>1. Политическое учение Ивана Тимофеева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…………………………………...…5</w:t>
      </w:r>
    </w:p>
    <w:p w:rsidR="00FD08FA" w:rsidRPr="00FD08FA" w:rsidRDefault="00FD08FA" w:rsidP="00FD08F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D08FA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FD08FA">
        <w:rPr>
          <w:rFonts w:ascii="Times New Roman" w:hAnsi="Times New Roman"/>
          <w:sz w:val="28"/>
          <w:szCs w:val="28"/>
        </w:rPr>
        <w:t xml:space="preserve"> Политико-правовое учение Ф. Ницше</w:t>
      </w:r>
      <w:r>
        <w:rPr>
          <w:rFonts w:ascii="Times New Roman" w:hAnsi="Times New Roman"/>
          <w:sz w:val="28"/>
          <w:szCs w:val="28"/>
        </w:rPr>
        <w:t>……………………………………..…9</w:t>
      </w:r>
    </w:p>
    <w:p w:rsidR="00FD08FA" w:rsidRPr="00FD08FA" w:rsidRDefault="00FD08FA" w:rsidP="00FD08F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08FA">
        <w:rPr>
          <w:rFonts w:ascii="Times New Roman" w:eastAsia="Times New Roman" w:hAnsi="Times New Roman"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…………………………………………………………………….…14</w:t>
      </w:r>
    </w:p>
    <w:p w:rsidR="00FD08FA" w:rsidRPr="00FD08FA" w:rsidRDefault="00FD08FA" w:rsidP="00FD08F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08FA">
        <w:rPr>
          <w:rFonts w:ascii="Times New Roman" w:eastAsia="Times New Roman" w:hAnsi="Times New Roman"/>
          <w:sz w:val="28"/>
          <w:szCs w:val="28"/>
          <w:lang w:eastAsia="ru-RU"/>
        </w:rPr>
        <w:t>Список использованной литературы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………………………………………..….17</w:t>
      </w: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499" w:rsidRDefault="00781499" w:rsidP="00FD08FA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Pr="00425F10" w:rsidRDefault="00425F10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5F10">
        <w:rPr>
          <w:rFonts w:ascii="Times New Roman" w:eastAsia="Times New Roman" w:hAnsi="Times New Roman"/>
          <w:b/>
          <w:sz w:val="28"/>
          <w:szCs w:val="28"/>
          <w:lang w:eastAsia="ru-RU"/>
        </w:rPr>
        <w:t>Введение</w:t>
      </w:r>
    </w:p>
    <w:p w:rsidR="00DD78C2" w:rsidRDefault="00AD4B44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Интере</w:t>
      </w:r>
      <w:r w:rsidR="009F2205" w:rsidRPr="00A221CC">
        <w:rPr>
          <w:rFonts w:ascii="Times New Roman" w:eastAsia="Times New Roman" w:hAnsi="Times New Roman"/>
          <w:sz w:val="28"/>
          <w:szCs w:val="28"/>
          <w:lang w:eastAsia="ru-RU"/>
        </w:rPr>
        <w:t>с к прошлому в настоящее время значительно, активизировался. История, воплотившая опыт человечества, позволяет многое понять в современности, которая своими корнями связана с прошлым. Анализ совр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еменных государственно-правовых </w:t>
      </w:r>
      <w:r w:rsidR="009F2205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институтов, учреждений и политико-правовых идей, во многом зависит от преемственности, имеющей особую сохранность в политико-правовых категориях. Еще Никколо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Макиавелли писал, что для совершен</w:t>
      </w:r>
      <w:r w:rsidR="009F2205" w:rsidRPr="00A221CC">
        <w:rPr>
          <w:rFonts w:ascii="Times New Roman" w:eastAsia="Times New Roman" w:hAnsi="Times New Roman"/>
          <w:sz w:val="28"/>
          <w:szCs w:val="28"/>
          <w:lang w:eastAsia="ru-RU"/>
        </w:rPr>
        <w:t>ного понятия политики необходимо углубить свои познания, изучением исторического опыта различных государств, форм их устройства, выяснить «какие бывают виды государств, как они приобретаются и почему утрачиваются» и какие необходимы мероприятия для того, чтобы упрочить власть и обеспечить подчинение подданных. Макиавелли интересовали причины «слабости политического строя» и «возникающих между гражданами несогласий». Для понимания этих политических ситуаций, он изучал не только опыт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совершенствования </w:t>
      </w:r>
      <w:r w:rsidR="009F2205" w:rsidRPr="00A221CC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9F2205" w:rsidRPr="00A221CC">
        <w:rPr>
          <w:rFonts w:ascii="Times New Roman" w:eastAsia="Times New Roman" w:hAnsi="Times New Roman"/>
          <w:sz w:val="28"/>
          <w:szCs w:val="28"/>
          <w:lang w:eastAsia="ru-RU"/>
        </w:rPr>
        <w:t>личных государств, в разные исторические эпохи, но и т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руды ученых и философов, которые</w:t>
      </w:r>
      <w:r w:rsidR="009F2205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комментировали эти события, давали им оценку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и предлагали различные пути и ср</w:t>
      </w:r>
      <w:r w:rsidR="009F2205" w:rsidRPr="00A221CC">
        <w:rPr>
          <w:rFonts w:ascii="Times New Roman" w:eastAsia="Times New Roman" w:hAnsi="Times New Roman"/>
          <w:sz w:val="28"/>
          <w:szCs w:val="28"/>
          <w:lang w:eastAsia="ru-RU"/>
        </w:rPr>
        <w:t>едства к улучшению организации политиче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строя (формы правления) </w:t>
      </w:r>
      <w:r w:rsidR="009F2205" w:rsidRPr="00A221CC">
        <w:rPr>
          <w:rFonts w:ascii="Times New Roman" w:eastAsia="Times New Roman" w:hAnsi="Times New Roman"/>
          <w:sz w:val="28"/>
          <w:szCs w:val="28"/>
          <w:lang w:eastAsia="ru-RU"/>
        </w:rPr>
        <w:t>эффективности действия правовых сис</w:t>
      </w:r>
      <w:r w:rsidR="00DD78C2">
        <w:rPr>
          <w:rFonts w:ascii="Times New Roman" w:eastAsia="Times New Roman" w:hAnsi="Times New Roman"/>
          <w:sz w:val="28"/>
          <w:szCs w:val="28"/>
          <w:lang w:eastAsia="ru-RU"/>
        </w:rPr>
        <w:t>тем.</w:t>
      </w:r>
    </w:p>
    <w:p w:rsidR="00E85A28" w:rsidRPr="00A221CC" w:rsidRDefault="00AD4B44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образом, актуальность темы  исследования </w:t>
      </w:r>
      <w:r w:rsidR="00FD08FA" w:rsidRPr="00A221CC">
        <w:rPr>
          <w:rFonts w:ascii="Times New Roman" w:eastAsia="Times New Roman" w:hAnsi="Times New Roman"/>
          <w:sz w:val="28"/>
          <w:szCs w:val="28"/>
          <w:lang w:eastAsia="ru-RU"/>
        </w:rPr>
        <w:t>обусловлена,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прежде всего возрастающим интересом представителей гуманитарных наук к классическим доктринам прошлого, необходимостью их осмысления и интерпретации с точки зрения взаимодействия истории и современности. В этой связи не только специально-научное, но и общегуманитарное значение приобретает изучение политико-правовых взглядов двух учений: выдающимся и оригинальным мыслителем русского средневековья, крупным государственным чиновником Иваном </w:t>
      </w:r>
      <w:r w:rsidR="00FD08FA">
        <w:rPr>
          <w:rFonts w:ascii="Times New Roman" w:eastAsia="Times New Roman" w:hAnsi="Times New Roman"/>
          <w:sz w:val="28"/>
          <w:szCs w:val="28"/>
          <w:lang w:eastAsia="ru-RU"/>
        </w:rPr>
        <w:t>Тимофеевым и немецкого философа,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пис</w:t>
      </w:r>
      <w:r w:rsidR="00425F10">
        <w:rPr>
          <w:rFonts w:ascii="Times New Roman" w:eastAsia="Times New Roman" w:hAnsi="Times New Roman"/>
          <w:sz w:val="28"/>
          <w:szCs w:val="28"/>
          <w:lang w:eastAsia="ru-RU"/>
        </w:rPr>
        <w:t>ателя Фридриха Вильгельма Ницше.</w:t>
      </w:r>
    </w:p>
    <w:p w:rsidR="00AD4B44" w:rsidRPr="00A221CC" w:rsidRDefault="00AD4B44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В ходе работы, нами поставлены следующие задачи:</w:t>
      </w:r>
    </w:p>
    <w:p w:rsidR="00F26932" w:rsidRPr="00A221CC" w:rsidRDefault="00AD4B44" w:rsidP="00DD78C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Изучить</w:t>
      </w:r>
      <w:r w:rsidR="00F269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политическое учение Ивана Тимофеева.</w:t>
      </w:r>
    </w:p>
    <w:p w:rsidR="00FD08FA" w:rsidRDefault="00E85A28" w:rsidP="00FD08F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Изучить</w:t>
      </w:r>
      <w:r w:rsidRPr="00A221CC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 xml:space="preserve"> п</w:t>
      </w:r>
      <w:r w:rsidR="00F26932" w:rsidRPr="00A221CC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>олитико-правовое учение Фридриха Ницше</w:t>
      </w:r>
      <w:r w:rsidR="00FD08FA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>.</w:t>
      </w:r>
    </w:p>
    <w:p w:rsidR="00FD08FA" w:rsidRPr="00FD08FA" w:rsidRDefault="00FD08FA" w:rsidP="00FD08F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Объектом </w:t>
      </w:r>
      <w:r w:rsidR="00843105">
        <w:rPr>
          <w:rFonts w:ascii="Times New Roman" w:eastAsia="Times New Roman" w:hAnsi="Times New Roman"/>
          <w:sz w:val="28"/>
          <w:szCs w:val="28"/>
          <w:lang w:eastAsia="ru-RU"/>
        </w:rPr>
        <w:t>исследования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выступили политико-правовые</w:t>
      </w:r>
      <w:r w:rsidR="00843105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учения Ивана Тимофеева и Фридриха Ницще.</w:t>
      </w:r>
    </w:p>
    <w:p w:rsidR="00FD08FA" w:rsidRPr="00A221CC" w:rsidRDefault="00FD08FA" w:rsidP="00FD08FA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>При написании контрольной работы использовались такие методы как, метод всеобщей диалектики, анализа, синтеза, в качестве основополагающего метода выступил историко-правовой метод и</w:t>
      </w:r>
      <w:r w:rsidR="00843105"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bCs/>
          <w:iCs/>
          <w:kern w:val="36"/>
          <w:sz w:val="28"/>
          <w:szCs w:val="28"/>
          <w:lang w:eastAsia="ru-RU"/>
        </w:rPr>
        <w:t>учения.</w:t>
      </w:r>
    </w:p>
    <w:p w:rsidR="009167ED" w:rsidRPr="00A221CC" w:rsidRDefault="009167ED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976" w:rsidRPr="00A221CC" w:rsidRDefault="00385976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976" w:rsidRPr="00A221CC" w:rsidRDefault="00385976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976" w:rsidRPr="00A221CC" w:rsidRDefault="00385976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976" w:rsidRPr="00A221CC" w:rsidRDefault="00385976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976" w:rsidRPr="00A221CC" w:rsidRDefault="00385976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976" w:rsidRPr="00A221CC" w:rsidRDefault="00385976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5A28" w:rsidRDefault="00E85A28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D78C2" w:rsidRDefault="00DD78C2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D78C2" w:rsidRDefault="00DD78C2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D78C2" w:rsidRDefault="00DD78C2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D78C2" w:rsidRDefault="00DD78C2" w:rsidP="0084310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43105" w:rsidRPr="00A221CC" w:rsidRDefault="00843105" w:rsidP="0084310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6932" w:rsidRPr="00A221CC" w:rsidRDefault="00F26932" w:rsidP="00DD78C2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221CC">
        <w:rPr>
          <w:rFonts w:ascii="Times New Roman" w:eastAsia="Times New Roman" w:hAnsi="Times New Roman"/>
          <w:b/>
          <w:sz w:val="28"/>
          <w:szCs w:val="28"/>
          <w:lang w:eastAsia="ru-RU"/>
        </w:rPr>
        <w:t>Поли</w:t>
      </w:r>
      <w:r w:rsidR="00FD08FA">
        <w:rPr>
          <w:rFonts w:ascii="Times New Roman" w:eastAsia="Times New Roman" w:hAnsi="Times New Roman"/>
          <w:b/>
          <w:sz w:val="28"/>
          <w:szCs w:val="28"/>
          <w:lang w:eastAsia="ru-RU"/>
        </w:rPr>
        <w:t>тическое учение Ивана Тимофеева</w:t>
      </w: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Рубеж XVI–XVII вв., получивший название Смутного времени, был тяжелым и тревожным временем для России. Нужды социальной и политической действительности выдвинули ряд серьезных политических проблем, требующих неотложного разрешения. Особенностью политической мысли этой эпохи является ее рубежное состояние. С одной стороны, она аккумулировала все достояние и политическую квалификацию средних веков, а с другой – уже прогнозировала наступление новой эпохи и иных политических порядков.</w:t>
      </w:r>
      <w:r w:rsidR="00E85A28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Весьма яркое и полное выражение политические идеи конца XVI – первой четверти XVII в. получили во "Временнике" Ивана Тимофеева (Семенова), который В.О. Ключевский охарактеризовал как политический трактат, обнаруживающий в своем содержании исторические идеи и политические принципы целой эпохи. </w:t>
      </w:r>
    </w:p>
    <w:p w:rsidR="00492432" w:rsidRPr="00A221CC" w:rsidRDefault="00F26932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Идейными источниками государственно-правовой доктрины, Ивана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br/>
        <w:t>Тимофеева, являются разработки государственно-правовой тематики,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br/>
        <w:t>содержащиеся в произведениях мыслителей Киевской Руси,(XI — XIII вв.), и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br/>
        <w:t>новеллы, внесенные в дальнейшее развитие учений о праве и государстве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br/>
        <w:t>мыслителями Московского государства (XIV — первая треть XVII вв.).</w:t>
      </w:r>
    </w:p>
    <w:p w:rsidR="00B73732" w:rsidRPr="00A221CC" w:rsidRDefault="00B73732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Идеалом Тимофеева является, сословная монархия, во главе которой находится монарх, опирающийся в практике реализации власти на Вселюдский собор - орган, состоящий из представителей всех сословий, созванный из «всех городов и весей» России. Называя самодержцем носителя верховной власти,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Тимофеев выражал представление о нем как о самостоятельном (суверенном) правителе, не включая в это понятие, объем его властных полномочий. Однако замещение престола не в наследственном порядке стало реальным фактом. Это теоретическое положение позволяет ему в дальнейшем произвести классификацию властителей на законных и незаконных</w:t>
      </w:r>
      <w:r w:rsidR="00DD78C2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. К законным он относит, прежде всего, наследственных царей, а также царей, из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бранных установленным порядком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к незаконным – "захватчиков" и "самовенечников", которые сами "наскочили на трон".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Предложения Тимофеева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о путях и средствах преодоления трагических событий, породивших Смуту и гражданскую войну, способствовавших вторжению иностранных войск в территориальные пределы России, содержат также и меры, предотвращающие повторение подобных ситуаций в будущем. Он первым в истории отечественной политико-правовой мысли разделил понятия: об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>щество и государство</w:t>
      </w:r>
      <w:r w:rsidR="00DD78C2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2"/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. Общество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он представил как «любовное вкупесложение» всего народа, возложив на него обязанность участия в государственно-правовом строительстве, потребовав от всего общества, и каждого человека в отдельности, независимо</w:t>
      </w:r>
      <w:r w:rsidRPr="00A221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от его сословного положения, ответственности за свое поведение и исполнения патриотического долга по защите отечествами восстановления, ег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221CC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суверенности и территориальной целостности. Таким образом, Тимофеев впервые рассмотрел проблему соотношения индивидуального и социального начал в обществе в их соотношении с государство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73732" w:rsidRPr="00A221CC" w:rsidRDefault="00B73732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своих теоретических схемах он четко различает такие понятия, как самодержавие и самовластие. Тимофеев много и упорно думает о роли народа в ограничении произвола властителя. Самодержавие (единодержавие) связывается им скорее с формой государственного устройства, а самовластие трактуется как произвольный незаконный способ реализации высших властных полномочий и оценивается как тяжкий грех властителя, законопреступный по своей природе. Особенное внимание Тимофеев уделяет разоблачению тиранического правления Ивана IV, которое, по его мнению, и положило начало развитию порочного и пагубного для страны самовластия.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br/>
        <w:t>Употребляемые им термины "народ", "всенародное множество", "народное голосование", "Вселюдский собор" свидетельствуют о желании мыслителя утвердить право широкого сословного представительства. В такой организации власти Тимофеев усматривает не только определенную степень ограничения произвола верховного властителя, но и форму выражения народной воли, сплачивающей народ и дающей ему силу противостоять беззаконию и несправедливости. Отсутствие представительных форм правления мыслитель воспринимает как свидетельство политической отсталости страны. "Всенародное" участие в политической жизни государства обеспечивает согласие народа и способно действенно предотвращать внутренние и внешние невзгоды</w:t>
      </w:r>
      <w:r w:rsidR="00DD78C2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3"/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При рассмотрении вопросов права Тимофеев использует такие понятия, как "естественный закон" и "уставной закон" (под последним он понимает нормы положительного права). Тимофеев подчеркивает, что естественные законы "некасаемы" людьми, поскольку эта категория вечная и неизменная. "Уставные законы", на основании которых организована общественная жизнь, должны соответствовать естественным. К "уставному законодательству" Тимофеев относит все действующее законодательство (начиная с "первых самодержавных царей уставов"). Особенностью его политических взглядов является не только всесторонняя критика тиранического правления и тех обстоятельств, благодаря которым оно стало возможным, но и определение сущности такого правления как беззаконного.</w:t>
      </w: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Пр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авопонимание Тимофеева основано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обязательности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br/>
        <w:t>соответст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>вия закона — правде, понимаемой им как высшая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истина,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br/>
        <w:t>воплотившая в свое содержание этические постулаты Нового Завета. В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br/>
        <w:t>сфор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мулированных им представлениях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о соотношении правды,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справед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ливости и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закона, он отделяет но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рмы права от морали, формулируя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понятие о преступлении как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нарушении законов государства, и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характеризуя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аморальные действия  как поступки,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противоречащие этическим нор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>мам, завещанным Иисусом Христом.</w:t>
      </w: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Критерии класси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фикации: всего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законодател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>ьного материала,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разработанные Тимофеевым,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прив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>ели его к оригинальным выводам.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br/>
        <w:t>Подра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>зделив всю совокупность законов  регулирующих отношения в обществе</w:t>
      </w:r>
      <w:r w:rsidR="00425F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Божественные, естественные и уставные (государственные), он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выделил из</w:t>
      </w:r>
      <w:r w:rsidR="00E85A28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последних, коренные законы, которыми должен р</w:t>
      </w:r>
      <w:r w:rsidR="00425F10">
        <w:rPr>
          <w:rFonts w:ascii="Times New Roman" w:eastAsia="Times New Roman" w:hAnsi="Times New Roman"/>
          <w:sz w:val="28"/>
          <w:szCs w:val="28"/>
          <w:lang w:eastAsia="ru-RU"/>
        </w:rPr>
        <w:t xml:space="preserve">егулироваться процесс 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избрания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претендентов на Российский престол.</w:t>
      </w:r>
      <w:r w:rsidR="00425F10">
        <w:rPr>
          <w:rFonts w:ascii="Times New Roman" w:eastAsia="Times New Roman" w:hAnsi="Times New Roman"/>
          <w:sz w:val="28"/>
          <w:szCs w:val="28"/>
          <w:lang w:eastAsia="ru-RU"/>
        </w:rPr>
        <w:t xml:space="preserve"> Тимофеев рассматривал 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>коренные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законы (избирательные) </w:t>
      </w:r>
      <w:r w:rsidR="00425F10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главнейшие законоположения,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полагая, что их принятие и соблюдение, должно стимулировать уважение</w:t>
      </w:r>
      <w:r w:rsidR="00425F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ко всем нормативным актам государства. В этой части своих взглядов он</w:t>
      </w:r>
      <w:r w:rsidR="00425F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значительно обогнал свое время,- т.к. первые избирательные законы были</w:t>
      </w:r>
      <w:r w:rsidR="00425F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приняты в России только в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конце Х</w:t>
      </w:r>
      <w:r w:rsidR="00492432" w:rsidRPr="00A221CC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492432" w:rsidRPr="00A221CC">
        <w:rPr>
          <w:rFonts w:ascii="Times New Roman" w:eastAsia="Times New Roman" w:hAnsi="Times New Roman"/>
          <w:sz w:val="28"/>
          <w:szCs w:val="28"/>
          <w:lang w:eastAsia="ru-RU"/>
        </w:rPr>
        <w:t>Х в.</w:t>
      </w: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6932" w:rsidRPr="00A221CC" w:rsidRDefault="00F269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2432" w:rsidRPr="00A221CC" w:rsidRDefault="004924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2432" w:rsidRPr="00A221CC" w:rsidRDefault="004924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2432" w:rsidRPr="00A221CC" w:rsidRDefault="004924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2432" w:rsidRPr="00A221CC" w:rsidRDefault="004924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2432" w:rsidRPr="00A221CC" w:rsidRDefault="004924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2432" w:rsidRPr="00A221CC" w:rsidRDefault="004924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2432" w:rsidRPr="00A221CC" w:rsidRDefault="004924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2432" w:rsidRPr="00A221CC" w:rsidRDefault="004924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2432" w:rsidRPr="00A221CC" w:rsidRDefault="004924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2432" w:rsidRPr="00A221CC" w:rsidRDefault="004924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2432" w:rsidRDefault="00492432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5F10" w:rsidRPr="00A221CC" w:rsidRDefault="00425F10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5A28" w:rsidRDefault="00E85A28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78C2" w:rsidRDefault="00DD78C2" w:rsidP="00DD78C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43105" w:rsidRPr="00A221CC" w:rsidRDefault="00843105" w:rsidP="00DD78C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5976" w:rsidRPr="00A221CC" w:rsidRDefault="00385976" w:rsidP="00DD78C2">
      <w:pPr>
        <w:numPr>
          <w:ilvl w:val="0"/>
          <w:numId w:val="5"/>
        </w:numPr>
        <w:tabs>
          <w:tab w:val="clear" w:pos="720"/>
          <w:tab w:val="num" w:pos="-3060"/>
        </w:tabs>
        <w:spacing w:after="0"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221CC">
        <w:rPr>
          <w:rFonts w:ascii="Times New Roman" w:hAnsi="Times New Roman"/>
          <w:b/>
          <w:sz w:val="28"/>
          <w:szCs w:val="28"/>
        </w:rPr>
        <w:t>По</w:t>
      </w:r>
      <w:r w:rsidR="00FD08FA">
        <w:rPr>
          <w:rFonts w:ascii="Times New Roman" w:hAnsi="Times New Roman"/>
          <w:b/>
          <w:sz w:val="28"/>
          <w:szCs w:val="28"/>
        </w:rPr>
        <w:t>литико-правовое учение Ф. Ницше</w:t>
      </w:r>
    </w:p>
    <w:p w:rsidR="005C086F" w:rsidRPr="00A221CC" w:rsidRDefault="005C086F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bCs/>
          <w:sz w:val="28"/>
          <w:szCs w:val="28"/>
          <w:lang w:eastAsia="ru-RU"/>
        </w:rPr>
        <w:t>Фридрих Вильгельм Ницше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(1844–1900) – одна из значительных фигур в истории философской и политико-правовой мысли. Вопросы политики, государства и права освещаются, в частности, в таких его работах, как "Греческое государство", "Воля к власти", "Так говорил Заратустра", "По ту сторону добра и зла", "Происхождение морали" и др.</w:t>
      </w:r>
    </w:p>
    <w:p w:rsidR="004D550C" w:rsidRPr="00A221CC" w:rsidRDefault="004D550C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Важнейшей составляющей философии культуры (в том числе и философии истории) Ф.Ницше был характерный для его учения нигилизм. Ницшевский нигилизм многоаспектен. Необходимо учитывать, что он означает особого рода отрицание им, во-первых, всех предшествующих «непреложных» в европейской культуре истин и прежде всего исторического христианства («Бог умер!»), морали, веры в прогресс, преобразовательные возможности разума, либеральных и демократических идеалов просветителей, а, во-вторых, негативных, по оценке мыслителя, результатов господства этих идей и идеалов в современной ему культуре как упадочной, «испорченной», искусственной. Нигилизм Ф.Ницше как констатация и обоснование декаданса европейских рационалистических ценностей сочетается с апологией жизни, ее принципиальной внерациональности, антимеханистичности, «бессистемности». В сфере политики нигилизм Ф.Ницше - это в первую очередь отрицание современного ему государства как враждебного культуре. Поэтому не представляется корректным относить его к политическому анархизму в качестве специфического направления в истории учений о государстве. Что касается ницшевского правового нигилизма, то он вписывается в антиэтатистскую (в некоторых аспектах близкую исторической школе права) критику закона как «фикции», «искусственного образования», антипода «жизненных» начал культуры. Вместе с тем Ф.Ницше призывал навсегда освободиться от «христианской мантии» права и в его либеральном понимании, отвергая прежде всего какие бы то ни было эгалитарные основы и принципы права (как и культуры в целом). Учение Ф.Ницше об обществе, государстве и праве может быть реконструировано лишь в контексте своеобразно мифологизированной ницшевской философско-эстетической картины мира. Идея иерархического «кастового» строя означает у Ницше господство аристократов не по рождению или социальному положению, а аристократов как личностей, обладающих особым духовным воздействием на «чернь», особой художественной интуицией (не просто «знающих», как у Платона). «Господа» и «рабы», «знать» и «плебеи», образующие, по Ницше, сердцевину «истинной» культуры, - это своего рода психологические мифологемы мыслителя-поэта, прием эпатирования приверженцев «общепризнанных» истин. В вопросе о происхождении и сущности государства Ф.Ницше - убежденный сторонник идеи насилия «высших» над «низшими», исключающего общественный договор и тем более христианское объяснение истоков власти. Однако было бы неправильно на этом основании причислять его к представителям теории насилия в истории учений о государстве</w:t>
      </w:r>
      <w:r w:rsidR="00781499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4"/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. Сила, по Ницше, приводится в движение волей («волей к власти»), так что социально-политическая жизнь (и вообще все мироздание) предстает как стихия постоянно преобразующихся «воль к власти», как вечное становление и «возвращение» (воссоздание) всех вещей. Государство же оказывается лишь эманацией «воли к власти», а в конечном счете - только средством в «жизненной» борьбе «воль к власти», используемым в конечном счете «сверхлюдьми», демиургами всего сущего для утверждения «истинной» культуры. Таким образом, можно утверждать, что учение о государстве Ф.Ницше - разновидность волюнтаристских элитистских концепций. Ф.Ницше считал право догосударственным феноменом и связывал его первоначальное происхождение (в отличие от происхождения государства) с гражданско-правовыми договорными отношениями. Однако сущность права (как и сущность государства) он усматривал в его обусловленности «волей к власти». Ф.Ницше - «волюнтарист» по своим правовым взглядам: в основе права - воля («сильнейшего»). При этом он - апологет «неравенства прав», но главным образом потому, что «слабейшие» не «заслужили» своих прав, т.е., говоря современным языком, не обрели правосознание, соответствующее новым (по Ницше) антибуржуазным и, конечно, антихристианским ценностям культуры. </w:t>
      </w:r>
    </w:p>
    <w:p w:rsidR="005C086F" w:rsidRPr="00A221CC" w:rsidRDefault="005C086F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Ницше – убежденный антисоциалист.</w:t>
      </w:r>
    </w:p>
    <w:p w:rsidR="005C086F" w:rsidRPr="00A221CC" w:rsidRDefault="005C086F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Вся европейская культура, по его оценке, уже с давних пор переживает кризис ценностей и движется к катастрофе. "Социализм, – писал он, – действительно является конечным выводом из "современных идей" и их скрытого анархизма".</w:t>
      </w:r>
      <w:r w:rsidR="004D550C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Он отвергал революции и восстания угнетенных, расценивая их как угрозу культуре. Зло и не без проницательности Ницше предупреждал о неизбежных в грядущем революционных выступлениях масс. "...Грядущему столетию, – писал он, – предстоит испытать по местам основательные "колики", и Парижская коммуна, находящая себе апологетов и защитников даже в Германии, окажется, пожалуй, только легким "несварением желудка" по сравнению с тем, что предстоит". Вместе с тем он считал, что инстинкт собственников в конечном счете возьмет верх над социализмом</w:t>
      </w:r>
      <w:r w:rsidR="00DD78C2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5"/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C086F" w:rsidRPr="00A221CC" w:rsidRDefault="005C086F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Остро критикуя социалистические идеи, Ницше полагал, что социализм даже желателен в виде эксперимента. "И в самом деле, – писал он, – мне бы хотелось, чтобы на нескольких больших примерах было показано, что в социалистическом обществе жизнь сама себя отрицает, сама подрезает свои корни". Социалисты, отмечал он, отрицают право и правосудие, индивидуальные притязания, права и преимущества и тем самым отвергают само право, так как "при общем равенстве никому не будут нужны права". В весьма черных красках изображал он и будущее законодательство при социализме. "Если бы они, – рассуждал он о социалистах, – когда-нибудь стали сами предписывать </w:t>
      </w:r>
      <w:r w:rsidRPr="00A221C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законы, 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то можно быть уверенным, что они заковали бы себя в железные цепи и требовали бы страшной дисциплины – они </w:t>
      </w:r>
      <w:r w:rsidRPr="00A221CC">
        <w:rPr>
          <w:rFonts w:ascii="Times New Roman" w:eastAsia="Times New Roman" w:hAnsi="Times New Roman"/>
          <w:iCs/>
          <w:sz w:val="28"/>
          <w:szCs w:val="28"/>
          <w:lang w:eastAsia="ru-RU"/>
        </w:rPr>
        <w:t>знают себя!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И они подчинялись бы этим законам с сознанием, что они сами предписали их".</w:t>
      </w:r>
    </w:p>
    <w:p w:rsidR="005C086F" w:rsidRPr="00A221CC" w:rsidRDefault="005C086F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Резкой критике подверг Ницше и подход социалистов к государству. В этой связи он отмечал, что социализм, стремясь к устранению всех существующих государств, "может рассчитывать лишь на краткое и случайное, существование с помощью самого крайнего терроризма". Как бы предугадывая облик грядущего тоталитаризма, Ницше говорил об уничтожении личности при социализме, реформировании ее в целесообразный орган общественного союза, о режиме верноподданнической покорности всех граждан абсолютному государству</w:t>
      </w:r>
      <w:r w:rsidR="00781499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6"/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C086F" w:rsidRPr="00A221CC" w:rsidRDefault="005C086F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Работы Ницше при его жизни не получили широкой известности. Но последующее влияние его идей подтвердило надежды мыслителя: "Только послезавтрашний день принадлежит мне. Некоторые рождаются посмертно".</w:t>
      </w:r>
    </w:p>
    <w:p w:rsidR="005C086F" w:rsidRPr="00A221CC" w:rsidRDefault="005C086F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Идеологи фашизма и национал-социализма объявили Ницше своим предтечей. Обходя те аспекты ницшевского учения (аристократизм, индивидуализм, открытая вражда к массам, народу, "толпе", "стаду"; критика немецкого национализма; наряду с некоторыми выпадами против евреев также и неоднократная высокая оценка еврейской нации и т.п.), которые явно расходились с фашистской и национал-социалистической идеологией, рассчитанной на массовое движение, они акцентировали внимание на моментах общности и преемственности между ницшеанством и собственной идеологией. Ряд идей Ницше (о расе господ, новом порядке, о национальной миссии немцев, сверхчеловеке, воле к власти и т.д.) получили соответствующую интерпретацию и модификацию в духе идеологии национал-социализма.</w:t>
      </w:r>
    </w:p>
    <w:p w:rsidR="005C086F" w:rsidRPr="00A221CC" w:rsidRDefault="005C086F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После Второй мировой войны начался новый этап интерпретаций творчества Ницше, уяснения его подлинного места в истории философской и политико-правовой мысли</w:t>
      </w:r>
      <w:r w:rsidR="00781499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7"/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5F10" w:rsidRDefault="00425F1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8C2" w:rsidRDefault="00DD78C2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8C2" w:rsidRDefault="00DD78C2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8C2" w:rsidRDefault="00DD78C2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8C2" w:rsidRDefault="00DD78C2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8C2" w:rsidRDefault="00DD78C2" w:rsidP="00781499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5A28" w:rsidRPr="00A221CC" w:rsidRDefault="00FD08FA" w:rsidP="00DD78C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8326D0" w:rsidRPr="00A221CC" w:rsidRDefault="008326D0" w:rsidP="00DD78C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21CC">
        <w:rPr>
          <w:sz w:val="28"/>
          <w:szCs w:val="28"/>
        </w:rPr>
        <w:t>Изучение политических и правовых учений прошлого помогает лучше понять не только прошлое, но и настоящее. Связь прошлого и настоящего настолько велика, что нередко сейчас, мы продолжаем анализировать тексты сочинений выдающихся мыслителей прошлого, даже ведем с ними полемику как с живыми, нашими современниками.</w:t>
      </w:r>
    </w:p>
    <w:p w:rsidR="00FB2166" w:rsidRPr="00A221CC" w:rsidRDefault="007B2201" w:rsidP="00DD78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1CC">
        <w:rPr>
          <w:rFonts w:ascii="Times New Roman" w:hAnsi="Times New Roman"/>
          <w:sz w:val="28"/>
          <w:szCs w:val="28"/>
        </w:rPr>
        <w:t>История политических и правовых учений дает возможность понять важность и значение государства и права в духовных приобретениях человечества на разных этапах его развития, увидеть постоянную работу человеческой мысли над поисками лучших, оптимальных форм организации государственно-правового бытия человечества. Независимо от общественно-экономических формаций, от уровня развития производительных сил и производственных отношений, всегда, на протяжении всего периода истории политических и правовых учений можно найти примеры утверждений о праве, как мерило справедливости, о необходимости подчинения законам, о государстве, как оптимальную форму согласования общих интересов всех членов общества. Любое политическое учение представляет собой ответ на потребности общественной практики, на вопросы, которые поставлены жизненной ситуацией в тот или иной период истории. Политическая практика людей обуславливала возникновение и развитие политических теорий и выступала главным критерием их истинности и жизненности. В политических учениях в любых случаях находят свое концентрированное выражение экономические интересы общественных классов и других социальных сил. Эти интересы нуждаются в охране их государственной властью, в связи с этим политические теории обосновывали необходимость такой политической системы общества, доказывали правомерность такого государственного устройства, которые бы наилучшим образом защищали экономические интересы господствующих в данный момент социальных сил. Мы можем сказать, что, в конечном счете, политические теории, вызванные к жизни экономическими интересами людей, оказывали обратное влияние на экономическую систему общества и его социальную структуру.</w:t>
      </w:r>
    </w:p>
    <w:p w:rsidR="00793380" w:rsidRPr="00A221CC" w:rsidRDefault="00FB2166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hAnsi="Times New Roman"/>
          <w:sz w:val="28"/>
          <w:szCs w:val="28"/>
        </w:rPr>
        <w:t>При рассмотрении политических и правовых учений Ивана Тимофеева и Фридриха</w:t>
      </w:r>
      <w:r w:rsidR="00793380" w:rsidRPr="00A221CC">
        <w:rPr>
          <w:rFonts w:ascii="Times New Roman" w:hAnsi="Times New Roman"/>
          <w:sz w:val="28"/>
          <w:szCs w:val="28"/>
        </w:rPr>
        <w:t xml:space="preserve"> Ницше, мы можем проследить что их взгляды были более чем прогрессивными на тот период.</w:t>
      </w:r>
      <w:r w:rsidR="00793380"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Особенностью государственно-правового учения Тимофеева являлось наличие в нем не только критических замечаний, но  и развернутого представления о дальнейших путях и средствах государственно-правового строительства в России.</w:t>
      </w:r>
    </w:p>
    <w:p w:rsidR="00793380" w:rsidRPr="00A221CC" w:rsidRDefault="00793380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>Основные положения государственно правовой доктрины Тимофеева, несмотря на прямую их обусловленность исторической эпохой, в настоящее время, могут быть переосмыслены в свете разрешений научно-теоретической проблематики XX -XX</w:t>
      </w:r>
      <w:r w:rsidRPr="00A221CC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A221CC">
        <w:rPr>
          <w:rFonts w:ascii="Times New Roman" w:eastAsia="Times New Roman" w:hAnsi="Times New Roman"/>
          <w:sz w:val="28"/>
          <w:szCs w:val="28"/>
          <w:lang w:eastAsia="ru-RU"/>
        </w:rPr>
        <w:t xml:space="preserve"> вв. Особенно интересны и продуктивны, поиски мыслителем наиболее  оптимальной для России формы правления, определения взаимных прав и обязанностей государства  и личности, соотношения закона, правды и справедливости. </w:t>
      </w:r>
    </w:p>
    <w:p w:rsidR="00777F4E" w:rsidRPr="00A221CC" w:rsidRDefault="00FD40F1" w:rsidP="00DD78C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1CC">
        <w:rPr>
          <w:rFonts w:ascii="Times New Roman" w:hAnsi="Times New Roman"/>
          <w:sz w:val="28"/>
          <w:szCs w:val="28"/>
        </w:rPr>
        <w:t xml:space="preserve">Неординарные, а в ряде случаев шокирующие суждения и оценки Ницше оказали заметное воздействие на его современников. Интерес к ницшеанству вышел за рамки жизни самого Ницше. Несомненным является усиление влияния идей мыслителя не только на духовное развитие человечества в XX веке, но и на формирование некоторых политических (в частности, фашистских) структур Германии и Италии. Но на основе его государственно-правовых оценок и предположений формировались также и прогрессивные теории с ярко выраженной гуманистической направленностью. </w:t>
      </w:r>
      <w:r w:rsidRPr="00A221CC">
        <w:rPr>
          <w:rFonts w:ascii="Times New Roman" w:hAnsi="Times New Roman"/>
          <w:sz w:val="28"/>
          <w:szCs w:val="28"/>
        </w:rPr>
        <w:br/>
        <w:t xml:space="preserve">На современном переломном этапе развития общества продолжаются </w:t>
      </w:r>
      <w:r w:rsidRPr="00A221CC">
        <w:rPr>
          <w:rFonts w:ascii="Times New Roman" w:hAnsi="Times New Roman"/>
          <w:sz w:val="28"/>
          <w:szCs w:val="28"/>
        </w:rPr>
        <w:br/>
        <w:t xml:space="preserve">поиски новых и нестандартных подходов к государственным и правовым </w:t>
      </w:r>
      <w:r w:rsidRPr="00A221CC">
        <w:rPr>
          <w:rFonts w:ascii="Times New Roman" w:hAnsi="Times New Roman"/>
          <w:sz w:val="28"/>
          <w:szCs w:val="28"/>
        </w:rPr>
        <w:br/>
        <w:t xml:space="preserve">реалиям. В этой связи особую значимость и остроту приобретают </w:t>
      </w:r>
      <w:r w:rsidRPr="00A221CC">
        <w:rPr>
          <w:rFonts w:ascii="Times New Roman" w:hAnsi="Times New Roman"/>
          <w:sz w:val="28"/>
          <w:szCs w:val="28"/>
        </w:rPr>
        <w:br/>
        <w:t>утверждения Ницше о принципиальной невозможности сосуществования самодовлеющего государства, пронизывающие все сферы общества и высокоразвитой культуры. Ницше пророчески предостерегал человечество об опасности иллюзий поиска простых путей к созданию "идеального государства", поскольку таковое, по его мнению, уничтожит культуру, человеческую индивидуальност</w:t>
      </w:r>
      <w:r w:rsidR="00A221CC" w:rsidRPr="00A221CC">
        <w:rPr>
          <w:rFonts w:ascii="Times New Roman" w:hAnsi="Times New Roman"/>
          <w:sz w:val="28"/>
          <w:szCs w:val="28"/>
        </w:rPr>
        <w:t>ь и даже саму государственность</w:t>
      </w:r>
      <w:r w:rsidRPr="00A221CC">
        <w:rPr>
          <w:rFonts w:ascii="Times New Roman" w:hAnsi="Times New Roman"/>
          <w:sz w:val="28"/>
          <w:szCs w:val="28"/>
        </w:rPr>
        <w:t xml:space="preserve">. Демократия, по утверждению Ницше, не позволяет провести какие-либо серьезные изменения в обществе, поскольку частая смена должностных лиц является помехой для длительного и глубокого реформирования. </w:t>
      </w:r>
      <w:r w:rsidRPr="00A221CC">
        <w:rPr>
          <w:rFonts w:ascii="Times New Roman" w:hAnsi="Times New Roman"/>
          <w:sz w:val="28"/>
          <w:szCs w:val="28"/>
        </w:rPr>
        <w:br/>
        <w:t>В связи с широким распространением в мире в XX веке различных форм фашистского движения многие исследователи усматривают его идейные истоки в ницшеанстве.</w:t>
      </w:r>
      <w:r w:rsidR="00A221CC" w:rsidRPr="00A221CC">
        <w:rPr>
          <w:rFonts w:ascii="Times New Roman" w:hAnsi="Times New Roman"/>
          <w:sz w:val="28"/>
          <w:szCs w:val="28"/>
        </w:rPr>
        <w:t xml:space="preserve"> </w:t>
      </w:r>
      <w:r w:rsidRPr="00A221CC">
        <w:rPr>
          <w:rFonts w:ascii="Times New Roman" w:hAnsi="Times New Roman"/>
          <w:sz w:val="28"/>
          <w:szCs w:val="28"/>
        </w:rPr>
        <w:t>Действительно, многие государственно-правовые идеи (о сверхчеловеке, о расе господ и расе рабов и т.д.) были восприняты и переработаны фашизмом. Но Ницше в то же время выступал против национализма, против манипулирования "массами" с помощью политических средств. Он мечтал о становлении нового аристократического государства, о свободном развитии индивидуальности, что вступало в противоречие с национал-социалис</w:t>
      </w:r>
      <w:r w:rsidR="00A221CC">
        <w:rPr>
          <w:rFonts w:ascii="Times New Roman" w:hAnsi="Times New Roman"/>
          <w:sz w:val="28"/>
          <w:szCs w:val="28"/>
        </w:rPr>
        <w:t>тической идеологией и практикой.</w:t>
      </w:r>
      <w:r w:rsidR="00A221CC" w:rsidRPr="00A221CC">
        <w:rPr>
          <w:rFonts w:ascii="Times New Roman" w:hAnsi="Times New Roman"/>
          <w:sz w:val="28"/>
          <w:szCs w:val="28"/>
        </w:rPr>
        <w:t xml:space="preserve"> </w:t>
      </w:r>
      <w:r w:rsidR="007B2201" w:rsidRPr="00A221CC">
        <w:rPr>
          <w:rFonts w:ascii="Times New Roman" w:hAnsi="Times New Roman"/>
          <w:sz w:val="28"/>
          <w:szCs w:val="28"/>
        </w:rPr>
        <w:t xml:space="preserve">Таким образом, политические идеи и взгляды различных мыслителей нужно оценивать не только с точки зрения развития мировой политической мысли, но и с позиции тех национальных, исторических условий, которые существовали в данной стране и обусловили возникновение именно таких политических взглядов и идей. </w:t>
      </w:r>
    </w:p>
    <w:p w:rsidR="00A221CC" w:rsidRDefault="00A221CC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21CC" w:rsidRDefault="00A221CC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21CC" w:rsidRDefault="00A221CC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21CC" w:rsidRDefault="00A221CC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21CC" w:rsidRDefault="00A221CC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21CC" w:rsidRDefault="00A221CC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D78C2" w:rsidRDefault="00DD78C2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D78C2" w:rsidRDefault="00DD78C2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D78C2" w:rsidRDefault="00DD78C2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D78C2" w:rsidRDefault="00DD78C2" w:rsidP="00DD78C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238E2" w:rsidRPr="00DD78C2" w:rsidRDefault="00DD78C2" w:rsidP="00DD78C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</w:t>
      </w:r>
      <w:r w:rsidR="00A221CC">
        <w:rPr>
          <w:rFonts w:ascii="Times New Roman" w:hAnsi="Times New Roman"/>
          <w:b/>
          <w:sz w:val="28"/>
          <w:szCs w:val="28"/>
        </w:rPr>
        <w:t>спользованн</w:t>
      </w:r>
      <w:r>
        <w:rPr>
          <w:rFonts w:ascii="Times New Roman" w:hAnsi="Times New Roman"/>
          <w:b/>
          <w:sz w:val="28"/>
          <w:szCs w:val="28"/>
        </w:rPr>
        <w:t>ой</w:t>
      </w:r>
      <w:r w:rsidR="00A221CC">
        <w:rPr>
          <w:rFonts w:ascii="Times New Roman" w:hAnsi="Times New Roman"/>
          <w:b/>
          <w:sz w:val="28"/>
          <w:szCs w:val="28"/>
        </w:rPr>
        <w:t xml:space="preserve"> литератур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C238E2" w:rsidRPr="00425F10" w:rsidRDefault="00C238E2" w:rsidP="00DD78C2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25F10">
        <w:rPr>
          <w:sz w:val="28"/>
          <w:szCs w:val="28"/>
        </w:rPr>
        <w:t xml:space="preserve">Азаркин Н.И. История политических учений. — Вып. 1. — М., </w:t>
      </w:r>
      <w:r w:rsidR="00DD78C2">
        <w:rPr>
          <w:sz w:val="28"/>
          <w:szCs w:val="28"/>
        </w:rPr>
        <w:t>2007</w:t>
      </w:r>
      <w:r w:rsidRPr="00425F10">
        <w:rPr>
          <w:sz w:val="28"/>
          <w:szCs w:val="28"/>
        </w:rPr>
        <w:t>.</w:t>
      </w:r>
    </w:p>
    <w:p w:rsidR="00C238E2" w:rsidRPr="00425F10" w:rsidRDefault="00C238E2" w:rsidP="00DD78C2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25F10">
        <w:rPr>
          <w:sz w:val="28"/>
          <w:szCs w:val="28"/>
        </w:rPr>
        <w:t xml:space="preserve">Гольдберг А.Л. Историко-политические идеи русской книжности XVI -XVII вв. -Л., 1970. С.20; </w:t>
      </w:r>
    </w:p>
    <w:p w:rsidR="00C238E2" w:rsidRPr="00425F10" w:rsidRDefault="00C238E2" w:rsidP="00DD78C2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25F10">
        <w:rPr>
          <w:sz w:val="28"/>
          <w:szCs w:val="28"/>
        </w:rPr>
        <w:t>Державина О.А. Дьяк Иван Тимофеев и его Временник. // Временник Ивана Тимофеева. - М., 1951.С377;</w:t>
      </w:r>
    </w:p>
    <w:p w:rsidR="00C238E2" w:rsidRPr="00425F10" w:rsidRDefault="00C238E2" w:rsidP="00DD78C2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25F10">
        <w:rPr>
          <w:sz w:val="28"/>
          <w:szCs w:val="28"/>
        </w:rPr>
        <w:t>Золотухина Н.М. Развитие русской средневековой политико-правовой мысли. - М., 1985. С. И 5-117 и мн. др.</w:t>
      </w:r>
    </w:p>
    <w:p w:rsidR="00C238E2" w:rsidRDefault="00C238E2" w:rsidP="00DD78C2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25F10">
        <w:rPr>
          <w:sz w:val="28"/>
          <w:szCs w:val="28"/>
        </w:rPr>
        <w:t xml:space="preserve">Исаев И.А. История государства и права России. - М, 1996. С.49-52; </w:t>
      </w:r>
    </w:p>
    <w:p w:rsidR="00C238E2" w:rsidRPr="00425F10" w:rsidRDefault="00C238E2" w:rsidP="00DD78C2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25F10">
        <w:rPr>
          <w:sz w:val="28"/>
          <w:szCs w:val="28"/>
        </w:rPr>
        <w:t>История политических и правовых учений / Под общ. ред. В.С. Нерсесянца. — М., 2003.</w:t>
      </w:r>
    </w:p>
    <w:p w:rsidR="00C238E2" w:rsidRPr="00425F10" w:rsidRDefault="00C238E2" w:rsidP="00DD78C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F10">
        <w:rPr>
          <w:rFonts w:ascii="Times New Roman" w:hAnsi="Times New Roman"/>
          <w:bCs/>
          <w:sz w:val="28"/>
          <w:szCs w:val="28"/>
        </w:rPr>
        <w:t xml:space="preserve">История политических и правовых учений России </w:t>
      </w:r>
      <w:r w:rsidRPr="00425F10">
        <w:rPr>
          <w:rFonts w:ascii="Times New Roman" w:hAnsi="Times New Roman"/>
          <w:bCs/>
          <w:sz w:val="28"/>
          <w:szCs w:val="28"/>
          <w:lang w:val="en-US"/>
        </w:rPr>
        <w:t>XI</w:t>
      </w:r>
      <w:r w:rsidRPr="00425F10">
        <w:rPr>
          <w:rFonts w:ascii="Times New Roman" w:hAnsi="Times New Roman"/>
          <w:bCs/>
          <w:sz w:val="28"/>
          <w:szCs w:val="28"/>
        </w:rPr>
        <w:t>-</w:t>
      </w:r>
      <w:r w:rsidRPr="00425F10"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425F10">
        <w:rPr>
          <w:rFonts w:ascii="Times New Roman" w:hAnsi="Times New Roman"/>
          <w:bCs/>
          <w:sz w:val="28"/>
          <w:szCs w:val="28"/>
        </w:rPr>
        <w:t xml:space="preserve"> вв.</w:t>
      </w:r>
      <w:r w:rsidRPr="00425F10">
        <w:rPr>
          <w:rFonts w:ascii="Times New Roman" w:hAnsi="Times New Roman"/>
          <w:sz w:val="28"/>
          <w:szCs w:val="28"/>
        </w:rPr>
        <w:t xml:space="preserve"> – М.: Юристъ, 1995. – Ницше Ф. Так говорил Заратустра. // Сочинения в 2-х томах. Т.2. С. 158. </w:t>
      </w:r>
    </w:p>
    <w:p w:rsidR="00C238E2" w:rsidRPr="00425F10" w:rsidRDefault="00C238E2" w:rsidP="00DD78C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F10">
        <w:rPr>
          <w:rFonts w:ascii="Times New Roman" w:hAnsi="Times New Roman"/>
          <w:bCs/>
          <w:sz w:val="28"/>
          <w:szCs w:val="28"/>
        </w:rPr>
        <w:t>История политических и правовых учений</w:t>
      </w:r>
      <w:r w:rsidRPr="00425F10">
        <w:rPr>
          <w:rFonts w:ascii="Times New Roman" w:hAnsi="Times New Roman"/>
          <w:sz w:val="28"/>
          <w:szCs w:val="28"/>
        </w:rPr>
        <w:t>. Учебник для вузов / Под общ. ред. В.С. Нерсесянца. – М.: ИНФРА-М, 1996. – 736 с.</w:t>
      </w:r>
    </w:p>
    <w:p w:rsidR="00C238E2" w:rsidRPr="00425F10" w:rsidRDefault="00C238E2" w:rsidP="00DD78C2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25F10">
        <w:rPr>
          <w:sz w:val="28"/>
          <w:szCs w:val="28"/>
        </w:rPr>
        <w:t>История правовых и политических учений / Под ред. О.Э. Лейста. — М:, 1997</w:t>
      </w:r>
    </w:p>
    <w:p w:rsidR="00C238E2" w:rsidRPr="00425F10" w:rsidRDefault="00C238E2" w:rsidP="00DD78C2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25F10">
        <w:rPr>
          <w:sz w:val="28"/>
          <w:szCs w:val="28"/>
        </w:rPr>
        <w:t>Корецкий В.И. Новые материалы о дьяке Иване Тимофееве, историке и публицисте</w:t>
      </w:r>
      <w:r w:rsidR="00DD78C2">
        <w:rPr>
          <w:sz w:val="28"/>
          <w:szCs w:val="28"/>
        </w:rPr>
        <w:t xml:space="preserve"> XVII в. //АЕ за 1974.-М., 1975</w:t>
      </w:r>
      <w:r w:rsidRPr="00425F10">
        <w:rPr>
          <w:sz w:val="28"/>
          <w:szCs w:val="28"/>
        </w:rPr>
        <w:t>.</w:t>
      </w:r>
    </w:p>
    <w:p w:rsidR="00C238E2" w:rsidRPr="00425F10" w:rsidRDefault="00C238E2" w:rsidP="00DD78C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F10">
        <w:rPr>
          <w:rFonts w:ascii="Times New Roman" w:hAnsi="Times New Roman"/>
          <w:sz w:val="28"/>
          <w:szCs w:val="28"/>
        </w:rPr>
        <w:t>Мачин И.Ф. История политических и правовых учений: Пособие для сдачи экзамена. – М.: Юрайт-Издат, 2006. – 208 с.</w:t>
      </w:r>
    </w:p>
    <w:p w:rsidR="00C238E2" w:rsidRPr="00425F10" w:rsidRDefault="00C238E2" w:rsidP="00DD78C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Cs w:val="28"/>
        </w:rPr>
      </w:pPr>
      <w:r w:rsidRPr="00425F10">
        <w:rPr>
          <w:szCs w:val="28"/>
        </w:rPr>
        <w:t xml:space="preserve">Утяшев М.М. </w:t>
      </w:r>
      <w:r w:rsidRPr="00425F10">
        <w:rPr>
          <w:bCs/>
          <w:szCs w:val="28"/>
        </w:rPr>
        <w:t>Курс лекций по истории политических и правовых учений</w:t>
      </w:r>
      <w:r w:rsidRPr="00425F10">
        <w:rPr>
          <w:szCs w:val="28"/>
        </w:rPr>
        <w:t xml:space="preserve">. - Уфа: Полиграфкомбинат, </w:t>
      </w:r>
      <w:r w:rsidR="00DD78C2">
        <w:rPr>
          <w:szCs w:val="28"/>
        </w:rPr>
        <w:t>2009</w:t>
      </w:r>
      <w:r w:rsidRPr="00425F10">
        <w:rPr>
          <w:szCs w:val="28"/>
        </w:rPr>
        <w:t>. – 320 с.</w:t>
      </w:r>
      <w:bookmarkStart w:id="0" w:name="_GoBack"/>
      <w:bookmarkEnd w:id="0"/>
    </w:p>
    <w:sectPr w:rsidR="00C238E2" w:rsidRPr="00425F10" w:rsidSect="00FD08FA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7E1" w:rsidRDefault="006207E1">
      <w:r>
        <w:separator/>
      </w:r>
    </w:p>
  </w:endnote>
  <w:endnote w:type="continuationSeparator" w:id="0">
    <w:p w:rsidR="006207E1" w:rsidRDefault="00620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8FA" w:rsidRDefault="00FD08FA" w:rsidP="00FD08FA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D08FA" w:rsidRDefault="00FD08FA" w:rsidP="00FD08F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8FA" w:rsidRDefault="00FD08FA" w:rsidP="006207E1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20664">
      <w:rPr>
        <w:rStyle w:val="ab"/>
        <w:noProof/>
      </w:rPr>
      <w:t>2</w:t>
    </w:r>
    <w:r>
      <w:rPr>
        <w:rStyle w:val="ab"/>
      </w:rPr>
      <w:fldChar w:fldCharType="end"/>
    </w:r>
  </w:p>
  <w:p w:rsidR="00FD08FA" w:rsidRDefault="00FD08FA" w:rsidP="00FD08F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7E1" w:rsidRDefault="006207E1">
      <w:r>
        <w:separator/>
      </w:r>
    </w:p>
  </w:footnote>
  <w:footnote w:type="continuationSeparator" w:id="0">
    <w:p w:rsidR="006207E1" w:rsidRDefault="006207E1">
      <w:r>
        <w:continuationSeparator/>
      </w:r>
    </w:p>
  </w:footnote>
  <w:footnote w:id="1">
    <w:p w:rsidR="00DD78C2" w:rsidRPr="00DD78C2" w:rsidRDefault="00DD78C2" w:rsidP="00843105">
      <w:pPr>
        <w:pStyle w:val="a8"/>
        <w:spacing w:after="0" w:line="240" w:lineRule="auto"/>
        <w:rPr>
          <w:rFonts w:ascii="Times New Roman" w:hAnsi="Times New Roman"/>
        </w:rPr>
      </w:pPr>
      <w:r w:rsidRPr="00DD78C2">
        <w:rPr>
          <w:rStyle w:val="a9"/>
          <w:rFonts w:ascii="Times New Roman" w:hAnsi="Times New Roman"/>
        </w:rPr>
        <w:footnoteRef/>
      </w:r>
      <w:r w:rsidRPr="00DD78C2">
        <w:rPr>
          <w:rFonts w:ascii="Times New Roman" w:hAnsi="Times New Roman"/>
        </w:rPr>
        <w:t xml:space="preserve"> См.: Мачин И.Ф. История политических и правовых учений: Пособие для сдачи экзамена. – М.: Юрайт-Издат, 2006.</w:t>
      </w:r>
      <w:r>
        <w:rPr>
          <w:rFonts w:ascii="Times New Roman" w:hAnsi="Times New Roman"/>
        </w:rPr>
        <w:t xml:space="preserve"> С. 119.</w:t>
      </w:r>
    </w:p>
  </w:footnote>
  <w:footnote w:id="2">
    <w:p w:rsidR="00DD78C2" w:rsidRPr="00DD78C2" w:rsidRDefault="00DD78C2" w:rsidP="00843105">
      <w:pPr>
        <w:pStyle w:val="a8"/>
        <w:spacing w:after="0" w:line="240" w:lineRule="auto"/>
        <w:jc w:val="both"/>
        <w:rPr>
          <w:rFonts w:ascii="Times New Roman" w:hAnsi="Times New Roman"/>
        </w:rPr>
      </w:pPr>
      <w:r w:rsidRPr="00DD78C2">
        <w:rPr>
          <w:rStyle w:val="a9"/>
          <w:rFonts w:ascii="Times New Roman" w:hAnsi="Times New Roman"/>
        </w:rPr>
        <w:footnoteRef/>
      </w:r>
      <w:r w:rsidRPr="00DD78C2">
        <w:rPr>
          <w:rFonts w:ascii="Times New Roman" w:hAnsi="Times New Roman"/>
        </w:rPr>
        <w:t xml:space="preserve"> См.: </w:t>
      </w:r>
      <w:r w:rsidRPr="00DD78C2">
        <w:rPr>
          <w:rFonts w:ascii="Times New Roman" w:hAnsi="Times New Roman"/>
          <w:szCs w:val="28"/>
        </w:rPr>
        <w:t xml:space="preserve">Утяшев М.М. </w:t>
      </w:r>
      <w:r w:rsidRPr="00DD78C2">
        <w:rPr>
          <w:rFonts w:ascii="Times New Roman" w:hAnsi="Times New Roman"/>
          <w:bCs/>
          <w:szCs w:val="28"/>
        </w:rPr>
        <w:t>Курс лекций по истории политических и правовых учений</w:t>
      </w:r>
      <w:r w:rsidRPr="00DD78C2">
        <w:rPr>
          <w:rFonts w:ascii="Times New Roman" w:hAnsi="Times New Roman"/>
          <w:szCs w:val="28"/>
        </w:rPr>
        <w:t>. - Уфа: Полиграфкомбинат, 2009. С. 265.</w:t>
      </w:r>
    </w:p>
  </w:footnote>
  <w:footnote w:id="3">
    <w:p w:rsidR="00DD78C2" w:rsidRPr="00DD78C2" w:rsidRDefault="00DD78C2" w:rsidP="00DD78C2">
      <w:pPr>
        <w:pStyle w:val="a8"/>
        <w:spacing w:line="240" w:lineRule="auto"/>
        <w:jc w:val="both"/>
        <w:rPr>
          <w:rFonts w:ascii="Times New Roman" w:hAnsi="Times New Roman"/>
        </w:rPr>
      </w:pPr>
      <w:r w:rsidRPr="00DD78C2">
        <w:rPr>
          <w:rStyle w:val="a9"/>
          <w:rFonts w:ascii="Times New Roman" w:hAnsi="Times New Roman"/>
        </w:rPr>
        <w:footnoteRef/>
      </w:r>
      <w:r w:rsidRPr="00DD78C2">
        <w:rPr>
          <w:rFonts w:ascii="Times New Roman" w:hAnsi="Times New Roman"/>
        </w:rPr>
        <w:t xml:space="preserve"> См.: Мачин И.Ф. История политических и правовых учений: Пособие для сдачи экзамена. – М.: Юрайт-Издат, 2006. С. 123.</w:t>
      </w:r>
    </w:p>
  </w:footnote>
  <w:footnote w:id="4">
    <w:p w:rsidR="00781499" w:rsidRDefault="00781499">
      <w:pPr>
        <w:pStyle w:val="a8"/>
      </w:pPr>
      <w:r>
        <w:rPr>
          <w:rStyle w:val="a9"/>
        </w:rPr>
        <w:footnoteRef/>
      </w:r>
      <w:r>
        <w:t xml:space="preserve"> См.:  </w:t>
      </w:r>
      <w:r w:rsidRPr="00425F10">
        <w:rPr>
          <w:szCs w:val="28"/>
        </w:rPr>
        <w:t xml:space="preserve">Утяшев М.М. </w:t>
      </w:r>
      <w:r w:rsidRPr="00425F10">
        <w:rPr>
          <w:bCs/>
          <w:szCs w:val="28"/>
        </w:rPr>
        <w:t>Курс лекций по истории политических и правовых учений</w:t>
      </w:r>
      <w:r w:rsidRPr="00425F10">
        <w:rPr>
          <w:szCs w:val="28"/>
        </w:rPr>
        <w:t xml:space="preserve">. - Уфа: Полиграфкомбинат, </w:t>
      </w:r>
      <w:r>
        <w:rPr>
          <w:szCs w:val="28"/>
        </w:rPr>
        <w:t>2009</w:t>
      </w:r>
      <w:r w:rsidRPr="00425F10">
        <w:rPr>
          <w:szCs w:val="28"/>
        </w:rPr>
        <w:t xml:space="preserve">. </w:t>
      </w:r>
      <w:r>
        <w:rPr>
          <w:szCs w:val="28"/>
        </w:rPr>
        <w:t xml:space="preserve">С. 198. </w:t>
      </w:r>
    </w:p>
  </w:footnote>
  <w:footnote w:id="5">
    <w:p w:rsidR="00DD78C2" w:rsidRPr="00DD78C2" w:rsidRDefault="00DD78C2" w:rsidP="00DD78C2">
      <w:pPr>
        <w:pStyle w:val="a8"/>
        <w:spacing w:line="240" w:lineRule="auto"/>
        <w:jc w:val="both"/>
        <w:rPr>
          <w:rFonts w:ascii="Times New Roman" w:hAnsi="Times New Roman"/>
        </w:rPr>
      </w:pPr>
      <w:r w:rsidRPr="00DD78C2">
        <w:rPr>
          <w:rStyle w:val="a9"/>
          <w:rFonts w:ascii="Times New Roman" w:hAnsi="Times New Roman"/>
        </w:rPr>
        <w:footnoteRef/>
      </w:r>
      <w:r w:rsidRPr="00DD78C2">
        <w:rPr>
          <w:rFonts w:ascii="Times New Roman" w:hAnsi="Times New Roman"/>
        </w:rPr>
        <w:t xml:space="preserve"> См.: Мачин И.Ф. История политических и правовых учений: Пособие для сдачи экзамена. – М.: Юрайт-Издат, 2006. С. 209. </w:t>
      </w:r>
    </w:p>
  </w:footnote>
  <w:footnote w:id="6">
    <w:p w:rsidR="00781499" w:rsidRPr="00781499" w:rsidRDefault="00781499" w:rsidP="00781499">
      <w:pPr>
        <w:pStyle w:val="a8"/>
        <w:spacing w:line="240" w:lineRule="auto"/>
        <w:jc w:val="both"/>
        <w:rPr>
          <w:rFonts w:ascii="Times New Roman" w:hAnsi="Times New Roman"/>
        </w:rPr>
      </w:pPr>
      <w:r w:rsidRPr="00781499">
        <w:rPr>
          <w:rStyle w:val="a9"/>
          <w:rFonts w:ascii="Times New Roman" w:hAnsi="Times New Roman"/>
        </w:rPr>
        <w:footnoteRef/>
      </w:r>
      <w:r w:rsidRPr="00781499">
        <w:rPr>
          <w:rFonts w:ascii="Times New Roman" w:hAnsi="Times New Roman"/>
        </w:rPr>
        <w:t xml:space="preserve"> См.: </w:t>
      </w:r>
      <w:r w:rsidRPr="00781499">
        <w:rPr>
          <w:rFonts w:ascii="Times New Roman" w:hAnsi="Times New Roman"/>
          <w:szCs w:val="28"/>
        </w:rPr>
        <w:t xml:space="preserve">Утяшев М.М. </w:t>
      </w:r>
      <w:r w:rsidRPr="00781499">
        <w:rPr>
          <w:rFonts w:ascii="Times New Roman" w:hAnsi="Times New Roman"/>
          <w:bCs/>
          <w:szCs w:val="28"/>
        </w:rPr>
        <w:t>Курс лекций по истории политических и правовых учений</w:t>
      </w:r>
      <w:r w:rsidRPr="00781499">
        <w:rPr>
          <w:rFonts w:ascii="Times New Roman" w:hAnsi="Times New Roman"/>
          <w:szCs w:val="28"/>
        </w:rPr>
        <w:t>. - Уфа: Полиграфкомбинат, 2009. С. 211.</w:t>
      </w:r>
    </w:p>
  </w:footnote>
  <w:footnote w:id="7">
    <w:p w:rsidR="00781499" w:rsidRPr="00781499" w:rsidRDefault="00781499" w:rsidP="00781499">
      <w:pPr>
        <w:pStyle w:val="a8"/>
        <w:spacing w:line="240" w:lineRule="auto"/>
        <w:rPr>
          <w:rFonts w:ascii="Times New Roman" w:hAnsi="Times New Roman"/>
        </w:rPr>
      </w:pPr>
      <w:r w:rsidRPr="00781499">
        <w:rPr>
          <w:rStyle w:val="a9"/>
          <w:rFonts w:ascii="Times New Roman" w:hAnsi="Times New Roman"/>
        </w:rPr>
        <w:footnoteRef/>
      </w:r>
      <w:r w:rsidRPr="00781499">
        <w:rPr>
          <w:rFonts w:ascii="Times New Roman" w:hAnsi="Times New Roman"/>
        </w:rPr>
        <w:t xml:space="preserve"> См.: </w:t>
      </w:r>
      <w:r w:rsidRPr="00781499">
        <w:rPr>
          <w:rFonts w:ascii="Times New Roman" w:hAnsi="Times New Roman"/>
          <w:szCs w:val="28"/>
        </w:rPr>
        <w:t xml:space="preserve">Утяшев М.М. </w:t>
      </w:r>
      <w:r w:rsidRPr="00781499">
        <w:rPr>
          <w:rFonts w:ascii="Times New Roman" w:hAnsi="Times New Roman"/>
          <w:bCs/>
          <w:szCs w:val="28"/>
        </w:rPr>
        <w:t>Курс лекций по истории политических и правовых учений</w:t>
      </w:r>
      <w:r w:rsidRPr="00781499">
        <w:rPr>
          <w:rFonts w:ascii="Times New Roman" w:hAnsi="Times New Roman"/>
          <w:szCs w:val="28"/>
        </w:rPr>
        <w:t>. - Уфа: Полиграфкомбинат, 2009. С. 202.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C4330"/>
    <w:multiLevelType w:val="hybridMultilevel"/>
    <w:tmpl w:val="9B021590"/>
    <w:lvl w:ilvl="0" w:tplc="4A949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496302"/>
    <w:multiLevelType w:val="hybridMultilevel"/>
    <w:tmpl w:val="431282F4"/>
    <w:lvl w:ilvl="0" w:tplc="B05A09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607CD"/>
    <w:multiLevelType w:val="hybridMultilevel"/>
    <w:tmpl w:val="362A4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CF1AAD"/>
    <w:multiLevelType w:val="hybridMultilevel"/>
    <w:tmpl w:val="F0C8C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F1770"/>
    <w:multiLevelType w:val="hybridMultilevel"/>
    <w:tmpl w:val="A8881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8F1"/>
    <w:rsid w:val="00107869"/>
    <w:rsid w:val="002C0444"/>
    <w:rsid w:val="00385976"/>
    <w:rsid w:val="00425F10"/>
    <w:rsid w:val="00492432"/>
    <w:rsid w:val="004D550C"/>
    <w:rsid w:val="005C086F"/>
    <w:rsid w:val="00620664"/>
    <w:rsid w:val="006207E1"/>
    <w:rsid w:val="00777F4E"/>
    <w:rsid w:val="00781499"/>
    <w:rsid w:val="00793380"/>
    <w:rsid w:val="007B2201"/>
    <w:rsid w:val="008326D0"/>
    <w:rsid w:val="00843105"/>
    <w:rsid w:val="00847B2F"/>
    <w:rsid w:val="009167ED"/>
    <w:rsid w:val="009F2205"/>
    <w:rsid w:val="00A221CC"/>
    <w:rsid w:val="00AD4B44"/>
    <w:rsid w:val="00B73732"/>
    <w:rsid w:val="00C208F1"/>
    <w:rsid w:val="00C238E2"/>
    <w:rsid w:val="00D02DC9"/>
    <w:rsid w:val="00DD78C2"/>
    <w:rsid w:val="00E85A28"/>
    <w:rsid w:val="00EE1D39"/>
    <w:rsid w:val="00F16DBA"/>
    <w:rsid w:val="00F26932"/>
    <w:rsid w:val="00FB2166"/>
    <w:rsid w:val="00FD08FA"/>
    <w:rsid w:val="00FD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782E9-0DCB-4380-95F8-391B8016A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7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597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385976"/>
    <w:rPr>
      <w:rFonts w:ascii="Times New Roman" w:eastAsia="Times New Roman" w:hAnsi="Times New Roman"/>
      <w:sz w:val="28"/>
    </w:rPr>
  </w:style>
  <w:style w:type="paragraph" w:styleId="a5">
    <w:name w:val="Normal (Web)"/>
    <w:basedOn w:val="a"/>
    <w:uiPriority w:val="99"/>
    <w:unhideWhenUsed/>
    <w:rsid w:val="003859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85976"/>
    <w:rPr>
      <w:color w:val="0000FF"/>
      <w:u w:val="single"/>
    </w:rPr>
  </w:style>
  <w:style w:type="character" w:customStyle="1" w:styleId="a7">
    <w:name w:val="выделение"/>
    <w:basedOn w:val="a0"/>
    <w:rsid w:val="00107869"/>
  </w:style>
  <w:style w:type="character" w:customStyle="1" w:styleId="-">
    <w:name w:val="опред-е"/>
    <w:basedOn w:val="a0"/>
    <w:rsid w:val="00107869"/>
  </w:style>
  <w:style w:type="paragraph" w:styleId="a8">
    <w:name w:val="footnote text"/>
    <w:basedOn w:val="a"/>
    <w:semiHidden/>
    <w:rsid w:val="00DD78C2"/>
    <w:rPr>
      <w:sz w:val="20"/>
      <w:szCs w:val="20"/>
    </w:rPr>
  </w:style>
  <w:style w:type="character" w:styleId="a9">
    <w:name w:val="footnote reference"/>
    <w:basedOn w:val="a0"/>
    <w:semiHidden/>
    <w:rsid w:val="00DD78C2"/>
    <w:rPr>
      <w:vertAlign w:val="superscript"/>
    </w:rPr>
  </w:style>
  <w:style w:type="paragraph" w:styleId="aa">
    <w:name w:val="footer"/>
    <w:basedOn w:val="a"/>
    <w:rsid w:val="00FD08FA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D08FA"/>
  </w:style>
  <w:style w:type="paragraph" w:styleId="ac">
    <w:name w:val="header"/>
    <w:basedOn w:val="a"/>
    <w:rsid w:val="00FD08F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3352</Words>
  <Characters>19108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Irina</cp:lastModifiedBy>
  <cp:revision>2</cp:revision>
  <dcterms:created xsi:type="dcterms:W3CDTF">2014-08-18T12:16:00Z</dcterms:created>
  <dcterms:modified xsi:type="dcterms:W3CDTF">2014-08-18T12:16:00Z</dcterms:modified>
</cp:coreProperties>
</file>