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Во внешней политике СССР конца 1920—1930 гг. можно выделить три основных периода: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1) 1928—1933 гг. — союз с Германией, противостоящий западным демократиям;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2) 1933—1939 гг. — постепенное сближение с Англией, Францией и США в условиях разрастающейся угрозы со стороны Германии и Японии;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3) июнь 1939—1941 гг. — сближение с Германией (вплоть до начала Великой Отечественной войны).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В первый период японская агрессия в Маньчжурии способствовала улучшению отношений с Китаем. Поддержка Китая в дальнейшем была сокращена и полностью прекратилась после заключения советско-японского договора от 13 апреля 1941 г.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В период с 1928 по 1933 гг. наиболее активные экономические и дипломатические отношения были установлены с Германией, однако после прихода к власти национал-социалистов западная политика СССР радикально меняется и приобретает явный антигерманский характер.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В 1935 г. были заключены договоры о взаимной помощи с Францией и Чехословакией.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Двойственность политики СССР обнаружилась в 1939 г., когда одновременно с проходившими в июле-августе англо-франко-советскими переговорами по поводу германской угрозы шли секретные переговоры с Германией, закончившиеся подписанием 23 августа в Москве пакта о ненападении. Его подписали министр иностранных дел А. Риббентроп с немецкой стороны и нарком иностранных дел В. М. Молотов — с советской.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Пакт содержал секретные протоколы о разделе сфер влияния в Восточной Европе.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С самого начала войны секретные протоколы пакта Молотова—Риббентропа вступили в действие: с 17 по 29 сентября 1939 г. Красная армия заняла западные районы Белоруссии и Украины. 28 сентября 1939 г. был подписан советско-германский договор </w:t>
      </w:r>
      <w:r>
        <w:rPr>
          <w:sz w:val="22"/>
          <w:szCs w:val="22"/>
          <w:lang w:val="en-US"/>
        </w:rPr>
        <w:t>«</w:t>
      </w:r>
      <w:r>
        <w:rPr>
          <w:sz w:val="22"/>
          <w:szCs w:val="22"/>
        </w:rPr>
        <w:t>О дружбе и границе</w:t>
      </w:r>
      <w:r>
        <w:rPr>
          <w:sz w:val="22"/>
          <w:szCs w:val="22"/>
          <w:lang w:val="en-US"/>
        </w:rPr>
        <w:t xml:space="preserve">», </w:t>
      </w:r>
      <w:r>
        <w:rPr>
          <w:sz w:val="22"/>
          <w:szCs w:val="22"/>
        </w:rPr>
        <w:t>определявший границу между Германией и СССР приблизительно по линии Керзона.</w:t>
      </w:r>
    </w:p>
    <w:p w:rsidR="00092DED" w:rsidRDefault="00DC64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Одновременно шли форсированные приготовления к войне. Так, численность вооруженных сил СССР за 2 предвоенных года возросла втрое (около 5,3 млн человек), значительно увеличился выпуск военной продукции, а ассигнования на военные нужды в 1940 г. достигли 32,6% государственного бюджета. С другой стороны, необходимые масштабы производства современного вооружения так и не были достигнуты, были допущены ошибки в разработке военной доктрины, а боеспособность армии была ослаблена массовыми репрессиями, в ходе которых было уничтожено свыше 40 тыс. командиров и политработников, а упорное игнорирование сведений о подготовке Германии к войне не позволило вовремя привести войска в боеготовность.</w:t>
      </w:r>
      <w:bookmarkStart w:id="0" w:name="_GoBack"/>
      <w:bookmarkEnd w:id="0"/>
    </w:p>
    <w:sectPr w:rsidR="00092DE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imbus Sans L">
    <w:altName w:val="Aria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425"/>
    <w:rsid w:val="00092DED"/>
    <w:rsid w:val="00583C49"/>
    <w:rsid w:val="00DC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A7B91-9653-479F-B230-8898CBDC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Calibri" w:eastAsia="Calibri" w:hAnsi="Calibri" w:cs="Calibri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Nimbus Sans L" w:eastAsia="Nimbus Sans L" w:hAnsi="Nimbus Sans L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2083</Characters>
  <Application>Microsoft Office Word</Application>
  <DocSecurity>0</DocSecurity>
  <Lines>17</Lines>
  <Paragraphs>4</Paragraphs>
  <ScaleCrop>false</ScaleCrop>
  <Company>diakov.net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2014-08-18T06:01:00Z</dcterms:created>
  <dcterms:modified xsi:type="dcterms:W3CDTF">2014-08-18T06:01:00Z</dcterms:modified>
</cp:coreProperties>
</file>