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C67" w:rsidRDefault="00F268D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Международные осложнения</w:t>
      </w:r>
      <w:r>
        <w:br/>
      </w:r>
      <w:r>
        <w:rPr>
          <w:b/>
          <w:bCs/>
        </w:rPr>
        <w:t>3 Постройка</w:t>
      </w:r>
      <w:r>
        <w:br/>
      </w:r>
      <w:r>
        <w:rPr>
          <w:b/>
          <w:bCs/>
        </w:rPr>
        <w:t>4 Современное состояние дороги</w:t>
      </w:r>
      <w:r>
        <w:br/>
      </w:r>
      <w:r>
        <w:rPr>
          <w:b/>
          <w:bCs/>
        </w:rPr>
        <w:t>Список литературы</w:t>
      </w:r>
    </w:p>
    <w:p w:rsidR="009B6C67" w:rsidRDefault="00F268D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B6C67" w:rsidRDefault="00F268DA">
      <w:pPr>
        <w:pStyle w:val="a3"/>
      </w:pPr>
      <w:r>
        <w:t>Багдадская железная дорога — планировавшаяся и частично построенная железная дорога Берлин — Вена — Стамбул — Багдад — Басра — Кувейт, ставшая важным фактором международной политики начала XX века. Багдадская железная дорога, протяженность около 2400 км, соединяет Босфор с Персидским заливом.</w:t>
      </w:r>
    </w:p>
    <w:p w:rsidR="009B6C67" w:rsidRDefault="00F268DA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9B6C67" w:rsidRDefault="00F268DA">
      <w:pPr>
        <w:pStyle w:val="a3"/>
      </w:pPr>
      <w:r>
        <w:t>Различные нереализованные проекты постройки железной дороги к Персидскому заливу выдвигались англичанами ещё в середине XIX века.</w:t>
      </w:r>
    </w:p>
    <w:p w:rsidR="009B6C67" w:rsidRDefault="00F268DA">
      <w:pPr>
        <w:pStyle w:val="a3"/>
      </w:pPr>
      <w:r>
        <w:t xml:space="preserve">Развитие железных дорог в азиатской Турции шло медленно. Построенная дорога Хайдар-паша (Стамбул) — Измит в 1877 году была продана немецкому банку. К 1906 году немцами была построена линия Измит — Эскишехир — Конья — Эрегли (около 900 км.) с ответвлением Эскишехир — Анкара (263 км.). В 1899 году, после визита Вильгельма II в Османскую империю, глава Deutsche Bank Сименс подписал предварительное соглашение о концессии на строительство и эксплуатацию основной магистрали Багдадской железной дороги — от Коньи через Багдад до Персидского залива. Для этого берлинский и вюртембергский банки создали компанию </w:t>
      </w:r>
      <w:r>
        <w:rPr>
          <w:i/>
          <w:iCs/>
        </w:rPr>
        <w:t>Société de Chemins de Fer Ottomans d'Anatolie</w:t>
      </w:r>
      <w:r>
        <w:t>. В 1903 окончательно была оформлена концессия, обеспечившая германской компании высокую оплату за каждый километр введённой в эксплуатацию дороги (т. н. километрическую гарантию).</w:t>
      </w:r>
    </w:p>
    <w:p w:rsidR="009B6C67" w:rsidRDefault="00F268DA">
      <w:pPr>
        <w:pStyle w:val="a3"/>
      </w:pPr>
      <w:r>
        <w:t>По плану, Багдадская железная дорога должна была пройти от Эрегли до города Адана, затем идти на восток до Нусайбина и Мосула, а затем на юг по правому берегу Тигра до Багдада, Басры и Кувейта. Планировались ответвление до Алеппо на соединение с уже существующей Сирийской железной дорогой до Бейрута и Дамаска со строящимся продолжением в виде узкоколейной Хиджазской железной дороги до Мекки. Другое крупное ответвление должно было пройти от Багдада в Ханекин, на границу с Персией.</w:t>
      </w:r>
    </w:p>
    <w:p w:rsidR="009B6C67" w:rsidRDefault="00F268DA">
      <w:pPr>
        <w:pStyle w:val="21"/>
        <w:pageBreakBefore/>
        <w:numPr>
          <w:ilvl w:val="0"/>
          <w:numId w:val="0"/>
        </w:numPr>
      </w:pPr>
      <w:r>
        <w:t>2. Международные осложнения</w:t>
      </w:r>
    </w:p>
    <w:p w:rsidR="009B6C67" w:rsidRDefault="009B6C67">
      <w:pPr>
        <w:pStyle w:val="a3"/>
      </w:pPr>
    </w:p>
    <w:p w:rsidR="009B6C67" w:rsidRDefault="00F268DA">
      <w:pPr>
        <w:pStyle w:val="a3"/>
      </w:pPr>
      <w:r>
        <w:t>Постройка дороги вызвала беспокойство в России, так как дорога, особенно в случае северного варианта пути, позволила бы Турции быстро перебрасывать войска на кавказскую границу России. Поэтому Россия в 1900 году добилась от Турции заключения соглашения, по которому Турция обязывалась не передавать иностранным компаниям строительство железных дорог к северу от Линии Анкара — Сивас — Диярбакыр — Ван, а могла строить их либо сама, либо передать постройку русским капиталистам. Таким образом прорыв Германии к кавказской границе был предотвращен.</w:t>
      </w:r>
    </w:p>
    <w:p w:rsidR="009B6C67" w:rsidRDefault="00F268DA">
      <w:pPr>
        <w:pStyle w:val="a3"/>
      </w:pPr>
      <w:r>
        <w:t>В 1911 году между Россией и Германией было заключено Потсдамское соглашение, по которому Россия обязалась не препятствовать постройке железной дороги Берлин-Багдад в обмен на признание российских интересов в Иране.</w:t>
      </w:r>
    </w:p>
    <w:p w:rsidR="009B6C67" w:rsidRDefault="00F268DA">
      <w:pPr>
        <w:pStyle w:val="a3"/>
      </w:pPr>
      <w:r>
        <w:t>Особое беспокойство Англии вызывало продолжение дороги от Багдада к Персидскому заливу. Стремясь найти компромисс, в июне 1914 года Германия передала Англии строительство ж.-д. магистрали к югу от Багдада. Англо-германский конфликт из-за немецкого проникновения в район Персидского залива считается одной из причин Первой мировой войны.</w:t>
      </w:r>
    </w:p>
    <w:p w:rsidR="009B6C67" w:rsidRDefault="00F268DA">
      <w:pPr>
        <w:pStyle w:val="21"/>
        <w:pageBreakBefore/>
        <w:numPr>
          <w:ilvl w:val="0"/>
          <w:numId w:val="0"/>
        </w:numPr>
      </w:pPr>
      <w:r>
        <w:t>3. Постройка</w:t>
      </w:r>
    </w:p>
    <w:p w:rsidR="009B6C67" w:rsidRDefault="00F268DA">
      <w:pPr>
        <w:pStyle w:val="a3"/>
      </w:pPr>
      <w:r>
        <w:t>К началу Первой мировой войны Багдадская железная дорога была построена только частично. На севере рельсы были проложены до Рас-эль-Айна (за время войны до Нусайбина), на юге — от Багдада до Самарры. После поражения Центральных держав и распада Османской империи строительство прекратилось. Только к лету 1940 года строительство всех отдельных участков турецкими подрядчиками было полностью завершено, и в июле 1940 года из Стамбула в Багдад отправился первый прямой и беспересадочный поезд.</w:t>
      </w:r>
    </w:p>
    <w:p w:rsidR="009B6C67" w:rsidRDefault="00F268DA">
      <w:pPr>
        <w:pStyle w:val="21"/>
        <w:pageBreakBefore/>
        <w:numPr>
          <w:ilvl w:val="0"/>
          <w:numId w:val="0"/>
        </w:numPr>
      </w:pPr>
      <w:r>
        <w:t>4. Современное состояние дороги</w:t>
      </w:r>
    </w:p>
    <w:p w:rsidR="009B6C67" w:rsidRDefault="00F268DA">
      <w:pPr>
        <w:pStyle w:val="a3"/>
      </w:pPr>
      <w:r>
        <w:t>Большая часть дороги находится в рабочем состоянии</w:t>
      </w:r>
      <w:r>
        <w:rPr>
          <w:position w:val="10"/>
        </w:rPr>
        <w:t>[1]</w:t>
      </w:r>
      <w:r>
        <w:t>. Большинство железнодорожных станций также сохранилось.</w:t>
      </w:r>
    </w:p>
    <w:p w:rsidR="009B6C67" w:rsidRDefault="00F268DA">
      <w:pPr>
        <w:pStyle w:val="a3"/>
      </w:pPr>
      <w:r>
        <w:t>Перегон от Топрах-кале до Нарли был электрифицирован в связи с большим объёмом перевозок руды.</w:t>
      </w:r>
    </w:p>
    <w:p w:rsidR="009B6C67" w:rsidRDefault="00F268D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B6C67" w:rsidRDefault="00F268D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Neil Robinson </w:t>
      </w:r>
      <w:r>
        <w:rPr>
          <w:i/>
          <w:iCs/>
        </w:rPr>
        <w:t>World Rail Atlas and Historical Summary: Vol. 8 The Middle East and Caucasus</w:t>
      </w:r>
      <w:r>
        <w:t xml:space="preserve"> Publisher: «World Rail Atlas» 2006 ISBN 954-12-0128-8  (англ.)</w:t>
      </w:r>
    </w:p>
    <w:p w:rsidR="009B6C67" w:rsidRDefault="00F268DA">
      <w:pPr>
        <w:pStyle w:val="a3"/>
        <w:spacing w:after="0"/>
      </w:pPr>
      <w:r>
        <w:t>Источник: http://ru.wikipedia.org/wiki/Багдадская_железная_дорога</w:t>
      </w:r>
      <w:bookmarkStart w:id="0" w:name="_GoBack"/>
      <w:bookmarkEnd w:id="0"/>
    </w:p>
    <w:sectPr w:rsidR="009B6C6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8DA"/>
    <w:rsid w:val="009B6C67"/>
    <w:rsid w:val="00E624C8"/>
    <w:rsid w:val="00F2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528BC-9E3C-4388-95E6-7C8841EF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2014-04-06T15:18:00Z</dcterms:created>
  <dcterms:modified xsi:type="dcterms:W3CDTF">2014-04-06T15:18:00Z</dcterms:modified>
</cp:coreProperties>
</file>