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C53" w:rsidRPr="00413B87" w:rsidRDefault="00D97C53" w:rsidP="009477EE">
      <w:pPr>
        <w:spacing w:after="0" w:line="360" w:lineRule="auto"/>
        <w:ind w:firstLine="709"/>
        <w:jc w:val="center"/>
        <w:rPr>
          <w:rFonts w:ascii="Times New Roman" w:hAnsi="Times New Roman"/>
          <w:sz w:val="28"/>
          <w:szCs w:val="28"/>
          <w:lang w:val="uk-UA" w:eastAsia="ru-RU"/>
        </w:rPr>
      </w:pPr>
      <w:r w:rsidRPr="00413B87">
        <w:rPr>
          <w:rFonts w:ascii="Times New Roman" w:hAnsi="Times New Roman"/>
          <w:sz w:val="28"/>
          <w:szCs w:val="28"/>
          <w:lang w:val="uk-UA" w:eastAsia="ru-RU"/>
        </w:rPr>
        <w:t>Міністерство освіти і науки України</w:t>
      </w:r>
    </w:p>
    <w:p w:rsidR="00D97C53" w:rsidRPr="00413B87" w:rsidRDefault="00D97C53" w:rsidP="009477EE">
      <w:pPr>
        <w:spacing w:after="0" w:line="360" w:lineRule="auto"/>
        <w:ind w:firstLine="709"/>
        <w:jc w:val="center"/>
        <w:rPr>
          <w:rFonts w:ascii="Times New Roman" w:hAnsi="Times New Roman"/>
          <w:sz w:val="28"/>
          <w:szCs w:val="28"/>
          <w:lang w:val="uk-UA" w:eastAsia="ru-RU"/>
        </w:rPr>
      </w:pPr>
      <w:r w:rsidRPr="00413B87">
        <w:rPr>
          <w:rFonts w:ascii="Times New Roman" w:hAnsi="Times New Roman"/>
          <w:sz w:val="28"/>
          <w:szCs w:val="28"/>
          <w:lang w:val="uk-UA" w:eastAsia="ru-RU"/>
        </w:rPr>
        <w:t>Криворізький економічний інститут Державного вищого</w:t>
      </w:r>
    </w:p>
    <w:p w:rsidR="00D97C53" w:rsidRPr="00413B87" w:rsidRDefault="00D97C53" w:rsidP="009477EE">
      <w:pPr>
        <w:spacing w:after="0" w:line="360" w:lineRule="auto"/>
        <w:ind w:firstLine="709"/>
        <w:jc w:val="center"/>
        <w:rPr>
          <w:rFonts w:ascii="Times New Roman" w:hAnsi="Times New Roman"/>
          <w:sz w:val="28"/>
          <w:szCs w:val="28"/>
          <w:lang w:val="uk-UA" w:eastAsia="ru-RU"/>
        </w:rPr>
      </w:pPr>
      <w:r w:rsidRPr="00413B87">
        <w:rPr>
          <w:rFonts w:ascii="Times New Roman" w:hAnsi="Times New Roman"/>
          <w:sz w:val="28"/>
          <w:szCs w:val="28"/>
          <w:lang w:val="uk-UA" w:eastAsia="ru-RU"/>
        </w:rPr>
        <w:t>навчального закладу «Київський національний економічний</w:t>
      </w:r>
    </w:p>
    <w:p w:rsidR="00D97C53" w:rsidRPr="00413B87" w:rsidRDefault="00D97C53" w:rsidP="009477EE">
      <w:pPr>
        <w:spacing w:after="0" w:line="360" w:lineRule="auto"/>
        <w:ind w:firstLine="709"/>
        <w:jc w:val="center"/>
        <w:rPr>
          <w:rFonts w:ascii="Times New Roman" w:hAnsi="Times New Roman"/>
          <w:sz w:val="28"/>
          <w:szCs w:val="28"/>
          <w:lang w:val="uk-UA" w:eastAsia="ru-RU"/>
        </w:rPr>
      </w:pPr>
      <w:r w:rsidRPr="00413B87">
        <w:rPr>
          <w:rFonts w:ascii="Times New Roman" w:hAnsi="Times New Roman"/>
          <w:sz w:val="28"/>
          <w:szCs w:val="28"/>
          <w:lang w:val="uk-UA" w:eastAsia="ru-RU"/>
        </w:rPr>
        <w:t>університет імені Вадима Гетьмана»</w:t>
      </w:r>
    </w:p>
    <w:p w:rsidR="00D97C53" w:rsidRPr="00413B87" w:rsidRDefault="00D97C53" w:rsidP="009477EE">
      <w:pPr>
        <w:spacing w:after="0" w:line="360" w:lineRule="auto"/>
        <w:ind w:firstLine="709"/>
        <w:jc w:val="center"/>
        <w:rPr>
          <w:rFonts w:ascii="Times New Roman" w:hAnsi="Times New Roman"/>
          <w:sz w:val="28"/>
          <w:szCs w:val="28"/>
          <w:lang w:val="uk-UA" w:eastAsia="ru-RU"/>
        </w:rPr>
      </w:pPr>
    </w:p>
    <w:p w:rsidR="00D97C53" w:rsidRPr="00413B87" w:rsidRDefault="00D97C53" w:rsidP="009477EE">
      <w:pPr>
        <w:spacing w:after="0" w:line="360" w:lineRule="auto"/>
        <w:ind w:firstLine="709"/>
        <w:jc w:val="center"/>
        <w:rPr>
          <w:rFonts w:ascii="Times New Roman" w:hAnsi="Times New Roman"/>
          <w:sz w:val="28"/>
          <w:szCs w:val="28"/>
          <w:lang w:val="uk-UA" w:eastAsia="ru-RU"/>
        </w:rPr>
      </w:pPr>
    </w:p>
    <w:p w:rsidR="00D97C53" w:rsidRPr="00413B87" w:rsidRDefault="00D97C53" w:rsidP="009477EE">
      <w:pPr>
        <w:spacing w:after="0" w:line="360" w:lineRule="auto"/>
        <w:ind w:firstLine="709"/>
        <w:jc w:val="center"/>
        <w:rPr>
          <w:rFonts w:ascii="Times New Roman" w:hAnsi="Times New Roman"/>
          <w:sz w:val="28"/>
          <w:szCs w:val="28"/>
          <w:lang w:val="uk-UA" w:eastAsia="ru-RU"/>
        </w:rPr>
      </w:pPr>
      <w:r w:rsidRPr="00413B87">
        <w:rPr>
          <w:rFonts w:ascii="Times New Roman" w:hAnsi="Times New Roman"/>
          <w:sz w:val="28"/>
          <w:szCs w:val="28"/>
          <w:lang w:val="uk-UA" w:eastAsia="ru-RU"/>
        </w:rPr>
        <w:t>Кафедра обліку і аудиту</w:t>
      </w:r>
    </w:p>
    <w:p w:rsidR="00D97C53" w:rsidRPr="00413B87" w:rsidRDefault="00D97C53" w:rsidP="009477EE">
      <w:pPr>
        <w:spacing w:after="0" w:line="360" w:lineRule="auto"/>
        <w:ind w:firstLine="709"/>
        <w:jc w:val="center"/>
        <w:rPr>
          <w:rFonts w:ascii="Times New Roman" w:hAnsi="Times New Roman"/>
          <w:sz w:val="28"/>
          <w:szCs w:val="28"/>
          <w:lang w:val="uk-UA" w:eastAsia="ru-RU"/>
        </w:rPr>
      </w:pPr>
    </w:p>
    <w:p w:rsidR="00D97C53" w:rsidRPr="00413B87" w:rsidRDefault="00D97C53" w:rsidP="009477EE">
      <w:pPr>
        <w:spacing w:after="0" w:line="360" w:lineRule="auto"/>
        <w:ind w:firstLine="709"/>
        <w:jc w:val="center"/>
        <w:rPr>
          <w:rFonts w:ascii="Times New Roman" w:hAnsi="Times New Roman"/>
          <w:sz w:val="28"/>
          <w:szCs w:val="28"/>
          <w:lang w:val="uk-UA" w:eastAsia="ru-RU"/>
        </w:rPr>
      </w:pPr>
    </w:p>
    <w:p w:rsidR="00D97C53" w:rsidRPr="00413B87" w:rsidRDefault="00D97C53" w:rsidP="009477EE">
      <w:pPr>
        <w:spacing w:after="0" w:line="360" w:lineRule="auto"/>
        <w:ind w:firstLine="709"/>
        <w:jc w:val="center"/>
        <w:rPr>
          <w:rFonts w:ascii="Times New Roman" w:hAnsi="Times New Roman"/>
          <w:sz w:val="28"/>
          <w:szCs w:val="28"/>
          <w:lang w:val="uk-UA" w:eastAsia="ru-RU"/>
        </w:rPr>
      </w:pPr>
    </w:p>
    <w:p w:rsidR="00D97C53" w:rsidRDefault="00D97C53" w:rsidP="009477EE">
      <w:pPr>
        <w:spacing w:after="0" w:line="360" w:lineRule="auto"/>
        <w:ind w:firstLine="709"/>
        <w:jc w:val="center"/>
        <w:rPr>
          <w:rFonts w:ascii="Times New Roman" w:hAnsi="Times New Roman"/>
          <w:sz w:val="28"/>
          <w:szCs w:val="28"/>
          <w:lang w:val="uk-UA" w:eastAsia="ru-RU"/>
        </w:rPr>
      </w:pPr>
    </w:p>
    <w:p w:rsidR="00D97C53" w:rsidRDefault="00D97C53" w:rsidP="009477EE">
      <w:pPr>
        <w:spacing w:after="0" w:line="360" w:lineRule="auto"/>
        <w:ind w:firstLine="709"/>
        <w:jc w:val="center"/>
        <w:rPr>
          <w:rFonts w:ascii="Times New Roman" w:hAnsi="Times New Roman"/>
          <w:sz w:val="28"/>
          <w:szCs w:val="28"/>
          <w:lang w:val="uk-UA" w:eastAsia="ru-RU"/>
        </w:rPr>
      </w:pPr>
    </w:p>
    <w:p w:rsidR="00D97C53" w:rsidRDefault="00D97C53" w:rsidP="009477EE">
      <w:pPr>
        <w:spacing w:after="0" w:line="360" w:lineRule="auto"/>
        <w:ind w:firstLine="709"/>
        <w:jc w:val="center"/>
        <w:rPr>
          <w:rFonts w:ascii="Times New Roman" w:hAnsi="Times New Roman"/>
          <w:sz w:val="28"/>
          <w:szCs w:val="28"/>
          <w:lang w:val="uk-UA" w:eastAsia="ru-RU"/>
        </w:rPr>
      </w:pPr>
    </w:p>
    <w:p w:rsidR="00D97C53" w:rsidRDefault="00D97C53" w:rsidP="009477EE">
      <w:pPr>
        <w:spacing w:after="0" w:line="360" w:lineRule="auto"/>
        <w:ind w:firstLine="709"/>
        <w:jc w:val="center"/>
        <w:rPr>
          <w:rFonts w:ascii="Times New Roman" w:hAnsi="Times New Roman"/>
          <w:sz w:val="28"/>
          <w:szCs w:val="28"/>
          <w:lang w:val="uk-UA" w:eastAsia="ru-RU"/>
        </w:rPr>
      </w:pPr>
    </w:p>
    <w:p w:rsidR="00D97C53" w:rsidRPr="00413B87" w:rsidRDefault="00D97C53" w:rsidP="009477EE">
      <w:pPr>
        <w:spacing w:after="0" w:line="360" w:lineRule="auto"/>
        <w:ind w:firstLine="709"/>
        <w:jc w:val="center"/>
        <w:rPr>
          <w:rFonts w:ascii="Times New Roman" w:hAnsi="Times New Roman"/>
          <w:sz w:val="28"/>
          <w:szCs w:val="28"/>
          <w:lang w:val="uk-UA" w:eastAsia="ru-RU"/>
        </w:rPr>
      </w:pPr>
      <w:r w:rsidRPr="00413B87">
        <w:rPr>
          <w:rFonts w:ascii="Times New Roman" w:hAnsi="Times New Roman"/>
          <w:sz w:val="28"/>
          <w:szCs w:val="28"/>
          <w:lang w:val="uk-UA" w:eastAsia="ru-RU"/>
        </w:rPr>
        <w:t>Контрольна робота</w:t>
      </w:r>
    </w:p>
    <w:p w:rsidR="00D97C53" w:rsidRPr="00413B87" w:rsidRDefault="00903CEE" w:rsidP="009477EE">
      <w:pPr>
        <w:spacing w:after="0" w:line="360" w:lineRule="auto"/>
        <w:ind w:firstLine="709"/>
        <w:jc w:val="center"/>
        <w:rPr>
          <w:rFonts w:ascii="Times New Roman" w:hAnsi="Times New Roman"/>
          <w:sz w:val="28"/>
          <w:szCs w:val="28"/>
          <w:lang w:val="uk-UA" w:eastAsia="ru-RU"/>
        </w:rPr>
      </w:pPr>
      <w:r>
        <w:rPr>
          <w:rFonts w:ascii="Times New Roman" w:hAnsi="Times New Roman"/>
          <w:sz w:val="28"/>
          <w:szCs w:val="28"/>
          <w:lang w:val="uk-UA" w:eastAsia="ru-RU"/>
        </w:rPr>
        <w:t>Облік в банках</w:t>
      </w:r>
    </w:p>
    <w:p w:rsidR="00D97C53" w:rsidRPr="00413B87" w:rsidRDefault="00D97C53" w:rsidP="00006626">
      <w:pPr>
        <w:spacing w:after="0" w:line="360" w:lineRule="auto"/>
        <w:ind w:firstLine="709"/>
        <w:jc w:val="both"/>
        <w:rPr>
          <w:rFonts w:ascii="Times New Roman" w:hAnsi="Times New Roman"/>
          <w:sz w:val="28"/>
          <w:szCs w:val="28"/>
          <w:lang w:val="uk-UA" w:eastAsia="ru-RU"/>
        </w:rPr>
      </w:pPr>
    </w:p>
    <w:p w:rsidR="00D97C53" w:rsidRPr="00413B87" w:rsidRDefault="00D97C53" w:rsidP="00006626">
      <w:pPr>
        <w:spacing w:after="0" w:line="360" w:lineRule="auto"/>
        <w:ind w:firstLine="709"/>
        <w:jc w:val="both"/>
        <w:rPr>
          <w:rFonts w:ascii="Times New Roman" w:hAnsi="Times New Roman"/>
          <w:sz w:val="28"/>
          <w:szCs w:val="28"/>
          <w:lang w:val="uk-UA" w:eastAsia="ru-RU"/>
        </w:rPr>
      </w:pPr>
    </w:p>
    <w:p w:rsidR="00D97C53" w:rsidRPr="00413B87" w:rsidRDefault="00D97C53" w:rsidP="00006626">
      <w:pPr>
        <w:spacing w:after="0" w:line="360" w:lineRule="auto"/>
        <w:ind w:firstLine="709"/>
        <w:jc w:val="both"/>
        <w:rPr>
          <w:rFonts w:ascii="Times New Roman" w:hAnsi="Times New Roman"/>
          <w:sz w:val="28"/>
          <w:szCs w:val="28"/>
          <w:lang w:val="uk-UA" w:eastAsia="ru-RU"/>
        </w:rPr>
      </w:pPr>
    </w:p>
    <w:p w:rsidR="00D97C53" w:rsidRPr="00413B87" w:rsidRDefault="00D97C53" w:rsidP="00006626">
      <w:pPr>
        <w:spacing w:after="0" w:line="360" w:lineRule="auto"/>
        <w:ind w:firstLine="709"/>
        <w:jc w:val="both"/>
        <w:rPr>
          <w:rFonts w:ascii="Times New Roman" w:hAnsi="Times New Roman"/>
          <w:sz w:val="28"/>
          <w:szCs w:val="28"/>
          <w:lang w:val="uk-UA" w:eastAsia="ru-RU"/>
        </w:rPr>
      </w:pPr>
    </w:p>
    <w:p w:rsidR="00D97C53" w:rsidRPr="00413B87" w:rsidRDefault="00D97C53" w:rsidP="00006626">
      <w:pPr>
        <w:spacing w:after="0" w:line="360" w:lineRule="auto"/>
        <w:ind w:firstLine="709"/>
        <w:jc w:val="both"/>
        <w:rPr>
          <w:rFonts w:ascii="Times New Roman" w:hAnsi="Times New Roman"/>
          <w:sz w:val="28"/>
          <w:szCs w:val="28"/>
          <w:lang w:val="uk-UA" w:eastAsia="ru-RU"/>
        </w:rPr>
      </w:pPr>
    </w:p>
    <w:p w:rsidR="00D97C53" w:rsidRPr="00413B87" w:rsidRDefault="00D97C53" w:rsidP="00006626">
      <w:pPr>
        <w:spacing w:after="0" w:line="360" w:lineRule="auto"/>
        <w:ind w:firstLine="709"/>
        <w:jc w:val="both"/>
        <w:rPr>
          <w:rFonts w:ascii="Times New Roman" w:hAnsi="Times New Roman"/>
          <w:sz w:val="28"/>
          <w:szCs w:val="28"/>
          <w:lang w:val="uk-UA" w:eastAsia="ru-RU"/>
        </w:rPr>
      </w:pPr>
    </w:p>
    <w:p w:rsidR="00D97C53" w:rsidRPr="00413B87" w:rsidRDefault="00D97C53" w:rsidP="00006626">
      <w:pPr>
        <w:spacing w:after="0" w:line="360" w:lineRule="auto"/>
        <w:ind w:firstLine="709"/>
        <w:jc w:val="both"/>
        <w:rPr>
          <w:rFonts w:ascii="Times New Roman" w:hAnsi="Times New Roman"/>
          <w:sz w:val="28"/>
          <w:szCs w:val="28"/>
          <w:lang w:val="uk-UA" w:eastAsia="ru-RU"/>
        </w:rPr>
      </w:pPr>
    </w:p>
    <w:p w:rsidR="00D97C53" w:rsidRPr="00413B87" w:rsidRDefault="00D97C53" w:rsidP="00006626">
      <w:pPr>
        <w:spacing w:after="0" w:line="360" w:lineRule="auto"/>
        <w:ind w:firstLine="709"/>
        <w:jc w:val="both"/>
        <w:rPr>
          <w:rFonts w:ascii="Times New Roman" w:hAnsi="Times New Roman"/>
          <w:sz w:val="28"/>
          <w:szCs w:val="28"/>
          <w:lang w:val="uk-UA" w:eastAsia="ru-RU"/>
        </w:rPr>
      </w:pPr>
    </w:p>
    <w:p w:rsidR="00D97C53" w:rsidRPr="00413B87" w:rsidRDefault="00D97C53" w:rsidP="00006626">
      <w:pPr>
        <w:spacing w:after="0" w:line="360" w:lineRule="auto"/>
        <w:ind w:firstLine="709"/>
        <w:jc w:val="both"/>
        <w:rPr>
          <w:rFonts w:ascii="Times New Roman" w:hAnsi="Times New Roman"/>
          <w:sz w:val="28"/>
          <w:szCs w:val="28"/>
          <w:lang w:val="uk-UA" w:eastAsia="ru-RU"/>
        </w:rPr>
      </w:pPr>
    </w:p>
    <w:p w:rsidR="00D97C53" w:rsidRPr="00413B87" w:rsidRDefault="00D97C53" w:rsidP="00006626">
      <w:pPr>
        <w:spacing w:after="0" w:line="360" w:lineRule="auto"/>
        <w:ind w:firstLine="709"/>
        <w:jc w:val="both"/>
        <w:rPr>
          <w:rFonts w:ascii="Times New Roman" w:hAnsi="Times New Roman"/>
          <w:sz w:val="28"/>
          <w:szCs w:val="28"/>
          <w:lang w:val="uk-UA" w:eastAsia="ru-RU"/>
        </w:rPr>
      </w:pPr>
    </w:p>
    <w:p w:rsidR="00D97C53" w:rsidRPr="00413B87" w:rsidRDefault="00D97C53" w:rsidP="009477EE">
      <w:pPr>
        <w:spacing w:after="0" w:line="360" w:lineRule="auto"/>
        <w:ind w:firstLine="709"/>
        <w:jc w:val="center"/>
        <w:rPr>
          <w:rFonts w:ascii="Times New Roman" w:hAnsi="Times New Roman"/>
          <w:sz w:val="28"/>
          <w:szCs w:val="28"/>
          <w:lang w:val="uk-UA" w:eastAsia="ru-RU"/>
        </w:rPr>
      </w:pPr>
      <w:r w:rsidRPr="00413B87">
        <w:rPr>
          <w:rFonts w:ascii="Times New Roman" w:hAnsi="Times New Roman"/>
          <w:sz w:val="28"/>
          <w:szCs w:val="28"/>
          <w:lang w:val="uk-UA" w:eastAsia="ru-RU"/>
        </w:rPr>
        <w:t>Кривий</w:t>
      </w:r>
      <w:r>
        <w:rPr>
          <w:rFonts w:ascii="Times New Roman" w:hAnsi="Times New Roman"/>
          <w:sz w:val="28"/>
          <w:szCs w:val="28"/>
          <w:lang w:val="uk-UA" w:eastAsia="ru-RU"/>
        </w:rPr>
        <w:t xml:space="preserve"> </w:t>
      </w:r>
      <w:r w:rsidRPr="00413B87">
        <w:rPr>
          <w:rFonts w:ascii="Times New Roman" w:hAnsi="Times New Roman"/>
          <w:sz w:val="28"/>
          <w:szCs w:val="28"/>
          <w:lang w:val="uk-UA" w:eastAsia="ru-RU"/>
        </w:rPr>
        <w:t>Ріг</w:t>
      </w:r>
    </w:p>
    <w:p w:rsidR="00D97C53" w:rsidRPr="00413B87" w:rsidRDefault="00D97C53" w:rsidP="009477EE">
      <w:pPr>
        <w:spacing w:after="0" w:line="360" w:lineRule="auto"/>
        <w:ind w:firstLine="709"/>
        <w:jc w:val="center"/>
        <w:rPr>
          <w:rFonts w:ascii="Times New Roman" w:hAnsi="Times New Roman"/>
          <w:sz w:val="28"/>
          <w:szCs w:val="28"/>
          <w:lang w:val="uk-UA" w:eastAsia="ru-RU"/>
        </w:rPr>
      </w:pPr>
      <w:r w:rsidRPr="00413B87">
        <w:rPr>
          <w:rFonts w:ascii="Times New Roman" w:hAnsi="Times New Roman"/>
          <w:sz w:val="28"/>
          <w:szCs w:val="28"/>
          <w:lang w:val="uk-UA" w:eastAsia="ru-RU"/>
        </w:rPr>
        <w:t>2011</w:t>
      </w:r>
    </w:p>
    <w:p w:rsidR="00D97C53" w:rsidRPr="00413B87" w:rsidRDefault="00D97C53" w:rsidP="00006626">
      <w:pPr>
        <w:pStyle w:val="2"/>
        <w:jc w:val="both"/>
        <w:rPr>
          <w:b w:val="0"/>
          <w:i w:val="0"/>
        </w:rPr>
      </w:pPr>
      <w:r w:rsidRPr="00413B87">
        <w:rPr>
          <w:b w:val="0"/>
          <w:i w:val="0"/>
        </w:rPr>
        <w:br w:type="page"/>
        <w:t>Варіант 2</w:t>
      </w:r>
    </w:p>
    <w:p w:rsidR="00D97C53" w:rsidRPr="00413B87" w:rsidRDefault="00D97C53" w:rsidP="00833951">
      <w:pPr>
        <w:rPr>
          <w:lang w:val="uk-UA" w:eastAsia="ru-RU"/>
        </w:rPr>
      </w:pPr>
    </w:p>
    <w:p w:rsidR="00D97C53" w:rsidRPr="00413B87" w:rsidRDefault="00D97C53" w:rsidP="00006626">
      <w:pPr>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Завдання 1</w:t>
      </w:r>
    </w:p>
    <w:p w:rsidR="00D97C53" w:rsidRPr="00413B87" w:rsidRDefault="00D97C53" w:rsidP="00006626">
      <w:pPr>
        <w:spacing w:after="0" w:line="360" w:lineRule="auto"/>
        <w:ind w:firstLine="709"/>
        <w:jc w:val="both"/>
        <w:rPr>
          <w:rFonts w:ascii="Times New Roman" w:hAnsi="Times New Roman"/>
          <w:sz w:val="28"/>
          <w:szCs w:val="28"/>
          <w:lang w:val="uk-UA" w:eastAsia="ru-RU"/>
        </w:rPr>
      </w:pPr>
    </w:p>
    <w:p w:rsidR="00D97C53" w:rsidRPr="00413B87" w:rsidRDefault="00D97C53" w:rsidP="00006626">
      <w:pPr>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 xml:space="preserve">Банк залучає депозит у фізичної особи обсягом 17000 грн. на 6 місяців за річною ставкою 34% з виплатою в разі погашення процентів, які нараховуються щомісяця. При визначенні кількості днів дії депозиту розрахунок виконують за методом «30/360». </w:t>
      </w:r>
    </w:p>
    <w:p w:rsidR="006F0F04" w:rsidRDefault="006F0F04" w:rsidP="00006626">
      <w:pPr>
        <w:spacing w:after="0" w:line="360" w:lineRule="auto"/>
        <w:ind w:firstLine="709"/>
        <w:jc w:val="both"/>
        <w:rPr>
          <w:rFonts w:ascii="Times New Roman" w:hAnsi="Times New Roman"/>
          <w:sz w:val="28"/>
          <w:szCs w:val="28"/>
          <w:lang w:val="uk-UA" w:eastAsia="ru-RU"/>
        </w:rPr>
      </w:pPr>
    </w:p>
    <w:p w:rsidR="00D97C53" w:rsidRDefault="006F0F04" w:rsidP="00006626">
      <w:pPr>
        <w:spacing w:after="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Роз'вязання</w:t>
      </w:r>
    </w:p>
    <w:p w:rsidR="006F0F04" w:rsidRPr="00413B87" w:rsidRDefault="006F0F04" w:rsidP="00006626">
      <w:pPr>
        <w:spacing w:after="0" w:line="360" w:lineRule="auto"/>
        <w:ind w:firstLine="709"/>
        <w:jc w:val="both"/>
        <w:rPr>
          <w:rFonts w:ascii="Times New Roman" w:hAnsi="Times New Roman"/>
          <w:sz w:val="28"/>
          <w:szCs w:val="28"/>
          <w:lang w:val="uk-UA" w:eastAsia="ru-RU"/>
        </w:rPr>
      </w:pPr>
    </w:p>
    <w:p w:rsidR="00D97C53" w:rsidRPr="00413B87" w:rsidRDefault="00D97C53" w:rsidP="00006626">
      <w:pPr>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 xml:space="preserve">Отже, сума процентів за 6 місяців становитиме: </w:t>
      </w:r>
    </w:p>
    <w:p w:rsidR="00D97C53" w:rsidRPr="00413B87" w:rsidRDefault="00D97C53" w:rsidP="00006626">
      <w:pPr>
        <w:spacing w:after="0" w:line="360" w:lineRule="auto"/>
        <w:ind w:firstLine="709"/>
        <w:jc w:val="both"/>
        <w:rPr>
          <w:rFonts w:ascii="Times New Roman" w:hAnsi="Times New Roman"/>
          <w:sz w:val="28"/>
          <w:szCs w:val="28"/>
          <w:lang w:val="uk-UA" w:eastAsia="ru-RU"/>
        </w:rPr>
      </w:pPr>
    </w:p>
    <w:p w:rsidR="00D97C53" w:rsidRPr="00413B87" w:rsidRDefault="008327F0" w:rsidP="00006626">
      <w:pPr>
        <w:spacing w:after="0" w:line="360" w:lineRule="auto"/>
        <w:ind w:firstLine="709"/>
        <w:jc w:val="both"/>
        <w:rPr>
          <w:rFonts w:ascii="Times New Roman" w:hAnsi="Times New Roman"/>
          <w:sz w:val="28"/>
          <w:szCs w:val="28"/>
          <w:lang w:val="uk-UA" w:eastAsia="ru-RU"/>
        </w:rPr>
      </w:pPr>
      <w:r w:rsidRPr="00413B87">
        <w:rPr>
          <w:rFonts w:ascii="Times New Roman" w:eastAsia="Times New Roman" w:hAnsi="Times New Roman"/>
          <w:sz w:val="28"/>
          <w:szCs w:val="28"/>
          <w:lang w:val="uk-UA" w:eastAsia="ru-RU"/>
        </w:rPr>
        <w:object w:dxaOrig="1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25pt;height:30pt" o:ole="">
            <v:imagedata r:id="rId7" o:title=""/>
          </v:shape>
          <o:OLEObject Type="Embed" ProgID="Equation.3" ShapeID="_x0000_i1025" DrawAspect="Content" ObjectID="_1457515265" r:id="rId8"/>
        </w:object>
      </w:r>
      <w:r w:rsidRPr="00413B87">
        <w:rPr>
          <w:rFonts w:ascii="Times New Roman" w:eastAsia="Times New Roman" w:hAnsi="Times New Roman"/>
          <w:sz w:val="28"/>
          <w:szCs w:val="28"/>
          <w:lang w:val="uk-UA" w:eastAsia="ru-RU"/>
        </w:rPr>
        <w:object w:dxaOrig="460" w:dyaOrig="620">
          <v:shape id="_x0000_i1026" type="#_x0000_t75" style="width:23.25pt;height:30pt" o:ole="">
            <v:imagedata r:id="rId9" o:title=""/>
          </v:shape>
          <o:OLEObject Type="Embed" ProgID="Equation.3" ShapeID="_x0000_i1026" DrawAspect="Content" ObjectID="_1457515266" r:id="rId10"/>
        </w:object>
      </w:r>
      <w:r w:rsidR="00D97C53" w:rsidRPr="00413B87">
        <w:rPr>
          <w:rFonts w:ascii="Times New Roman" w:hAnsi="Times New Roman"/>
          <w:sz w:val="28"/>
          <w:szCs w:val="28"/>
          <w:lang w:val="uk-UA" w:eastAsia="ru-RU"/>
        </w:rPr>
        <w:t>=5780*0,5=2890 грн.</w:t>
      </w:r>
    </w:p>
    <w:p w:rsidR="00D97C53" w:rsidRPr="00413B87" w:rsidRDefault="00D97C53" w:rsidP="00006626">
      <w:pPr>
        <w:spacing w:after="0" w:line="360" w:lineRule="auto"/>
        <w:ind w:firstLine="709"/>
        <w:jc w:val="both"/>
        <w:rPr>
          <w:rFonts w:ascii="Times New Roman" w:hAnsi="Times New Roman"/>
          <w:sz w:val="28"/>
          <w:szCs w:val="28"/>
          <w:lang w:val="uk-UA" w:eastAsia="ru-RU"/>
        </w:rPr>
      </w:pPr>
    </w:p>
    <w:p w:rsidR="00D97C53" w:rsidRPr="00413B87" w:rsidRDefault="00D97C53" w:rsidP="00006626">
      <w:pPr>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 xml:space="preserve">Сума депозиту в момент його погашення (вкл. проценти) становитиме 19890 грн. Коли застосовується номінальна ставка і щомісяця нараховуються проценти, витрати банку щомісяця дорівнюють: </w:t>
      </w:r>
      <w:r w:rsidR="008327F0" w:rsidRPr="00413B87">
        <w:rPr>
          <w:rFonts w:ascii="Times New Roman" w:eastAsia="Times New Roman" w:hAnsi="Times New Roman"/>
          <w:sz w:val="28"/>
          <w:szCs w:val="28"/>
          <w:lang w:val="uk-UA" w:eastAsia="ru-RU"/>
        </w:rPr>
        <w:object w:dxaOrig="1500" w:dyaOrig="480">
          <v:shape id="_x0000_i1027" type="#_x0000_t75" style="width:73.5pt;height:23.25pt" o:ole="">
            <v:imagedata r:id="rId11" o:title=""/>
          </v:shape>
          <o:OLEObject Type="Embed" ProgID="Equation.3" ShapeID="_x0000_i1027" DrawAspect="Content" ObjectID="_1457515267" r:id="rId12"/>
        </w:object>
      </w:r>
      <w:r w:rsidRPr="00413B87">
        <w:rPr>
          <w:rFonts w:ascii="Times New Roman" w:hAnsi="Times New Roman"/>
          <w:sz w:val="28"/>
          <w:szCs w:val="28"/>
          <w:lang w:val="uk-UA" w:eastAsia="ru-RU"/>
        </w:rPr>
        <w:t xml:space="preserve"> грн.</w:t>
      </w:r>
    </w:p>
    <w:p w:rsidR="00D97C53" w:rsidRPr="00413B87" w:rsidRDefault="00D97C53" w:rsidP="00006626">
      <w:pPr>
        <w:spacing w:after="0" w:line="360" w:lineRule="auto"/>
        <w:ind w:firstLine="709"/>
        <w:jc w:val="both"/>
        <w:rPr>
          <w:rFonts w:ascii="Times New Roman" w:hAnsi="Times New Roman"/>
          <w:sz w:val="28"/>
          <w:szCs w:val="28"/>
          <w:lang w:val="uk-UA" w:eastAsia="ru-RU"/>
        </w:rPr>
      </w:pPr>
    </w:p>
    <w:p w:rsidR="00D97C53" w:rsidRPr="00413B87" w:rsidRDefault="00D97C53" w:rsidP="00006626">
      <w:pPr>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Таблиця 1. Процентні витрати за депозитною операцією</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6"/>
        <w:gridCol w:w="2713"/>
        <w:gridCol w:w="2287"/>
        <w:gridCol w:w="2386"/>
      </w:tblGrid>
      <w:tr w:rsidR="00D97C53" w:rsidRPr="00413B87" w:rsidTr="00833951">
        <w:trPr>
          <w:trHeight w:val="318"/>
          <w:jc w:val="center"/>
        </w:trPr>
        <w:tc>
          <w:tcPr>
            <w:tcW w:w="1827" w:type="dxa"/>
            <w:vMerge w:val="restart"/>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Період (місяць)</w:t>
            </w:r>
          </w:p>
        </w:tc>
        <w:tc>
          <w:tcPr>
            <w:tcW w:w="8021" w:type="dxa"/>
            <w:gridSpan w:val="3"/>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Метод рівних частин</w:t>
            </w:r>
          </w:p>
        </w:tc>
      </w:tr>
      <w:tr w:rsidR="00D97C53" w:rsidRPr="00413B87" w:rsidTr="00833951">
        <w:trPr>
          <w:trHeight w:val="139"/>
          <w:jc w:val="center"/>
        </w:trPr>
        <w:tc>
          <w:tcPr>
            <w:tcW w:w="1827" w:type="dxa"/>
            <w:vMerge/>
          </w:tcPr>
          <w:p w:rsidR="00D97C53" w:rsidRPr="00413B87" w:rsidRDefault="00D97C53" w:rsidP="00833951">
            <w:pPr>
              <w:spacing w:after="0" w:line="360" w:lineRule="auto"/>
              <w:jc w:val="both"/>
              <w:rPr>
                <w:rFonts w:ascii="Times New Roman" w:hAnsi="Times New Roman"/>
                <w:sz w:val="20"/>
                <w:szCs w:val="20"/>
                <w:lang w:val="uk-UA" w:eastAsia="ru-RU"/>
              </w:rPr>
            </w:pPr>
          </w:p>
        </w:tc>
        <w:tc>
          <w:tcPr>
            <w:tcW w:w="2947"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Сума витрат за нарахованими процентами, грн.</w:t>
            </w:r>
          </w:p>
        </w:tc>
        <w:tc>
          <w:tcPr>
            <w:tcW w:w="2483"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Сума зобов`язань банку, грн.</w:t>
            </w:r>
          </w:p>
        </w:tc>
        <w:tc>
          <w:tcPr>
            <w:tcW w:w="2591"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Ставка витрат до сумарних зобов`язань, %</w:t>
            </w:r>
          </w:p>
        </w:tc>
      </w:tr>
      <w:tr w:rsidR="00D97C53" w:rsidRPr="00413B87" w:rsidTr="00833951">
        <w:trPr>
          <w:trHeight w:val="304"/>
          <w:jc w:val="center"/>
        </w:trPr>
        <w:tc>
          <w:tcPr>
            <w:tcW w:w="1827"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1-й</w:t>
            </w:r>
          </w:p>
        </w:tc>
        <w:tc>
          <w:tcPr>
            <w:tcW w:w="2947"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481,7</w:t>
            </w:r>
          </w:p>
        </w:tc>
        <w:tc>
          <w:tcPr>
            <w:tcW w:w="2483"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17000</w:t>
            </w:r>
          </w:p>
        </w:tc>
        <w:tc>
          <w:tcPr>
            <w:tcW w:w="2591"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2,75</w:t>
            </w:r>
          </w:p>
        </w:tc>
      </w:tr>
      <w:tr w:rsidR="00D97C53" w:rsidRPr="00413B87" w:rsidTr="00833951">
        <w:trPr>
          <w:trHeight w:val="304"/>
          <w:jc w:val="center"/>
        </w:trPr>
        <w:tc>
          <w:tcPr>
            <w:tcW w:w="1827"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2-й</w:t>
            </w:r>
          </w:p>
        </w:tc>
        <w:tc>
          <w:tcPr>
            <w:tcW w:w="2947"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481,7</w:t>
            </w:r>
          </w:p>
        </w:tc>
        <w:tc>
          <w:tcPr>
            <w:tcW w:w="2483"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17481,7</w:t>
            </w:r>
          </w:p>
        </w:tc>
        <w:tc>
          <w:tcPr>
            <w:tcW w:w="2591"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2,68</w:t>
            </w:r>
          </w:p>
        </w:tc>
      </w:tr>
      <w:tr w:rsidR="00D97C53" w:rsidRPr="00413B87" w:rsidTr="00833951">
        <w:trPr>
          <w:trHeight w:val="304"/>
          <w:jc w:val="center"/>
        </w:trPr>
        <w:tc>
          <w:tcPr>
            <w:tcW w:w="1827"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3-й</w:t>
            </w:r>
          </w:p>
        </w:tc>
        <w:tc>
          <w:tcPr>
            <w:tcW w:w="2947"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481,7</w:t>
            </w:r>
          </w:p>
        </w:tc>
        <w:tc>
          <w:tcPr>
            <w:tcW w:w="2483"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17963,4</w:t>
            </w:r>
          </w:p>
        </w:tc>
        <w:tc>
          <w:tcPr>
            <w:tcW w:w="2591"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2,6</w:t>
            </w:r>
          </w:p>
        </w:tc>
      </w:tr>
      <w:tr w:rsidR="00D97C53" w:rsidRPr="00413B87" w:rsidTr="00833951">
        <w:trPr>
          <w:trHeight w:val="304"/>
          <w:jc w:val="center"/>
        </w:trPr>
        <w:tc>
          <w:tcPr>
            <w:tcW w:w="1827"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4-й</w:t>
            </w:r>
          </w:p>
        </w:tc>
        <w:tc>
          <w:tcPr>
            <w:tcW w:w="2947"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481,7</w:t>
            </w:r>
          </w:p>
        </w:tc>
        <w:tc>
          <w:tcPr>
            <w:tcW w:w="2483"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18445,1</w:t>
            </w:r>
          </w:p>
        </w:tc>
        <w:tc>
          <w:tcPr>
            <w:tcW w:w="2591"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2,5</w:t>
            </w:r>
          </w:p>
        </w:tc>
      </w:tr>
      <w:tr w:rsidR="00D97C53" w:rsidRPr="00413B87" w:rsidTr="00833951">
        <w:trPr>
          <w:trHeight w:val="304"/>
          <w:jc w:val="center"/>
        </w:trPr>
        <w:tc>
          <w:tcPr>
            <w:tcW w:w="1827"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5-й</w:t>
            </w:r>
          </w:p>
        </w:tc>
        <w:tc>
          <w:tcPr>
            <w:tcW w:w="2947"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481,7</w:t>
            </w:r>
          </w:p>
        </w:tc>
        <w:tc>
          <w:tcPr>
            <w:tcW w:w="2483"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18926,8</w:t>
            </w:r>
          </w:p>
        </w:tc>
        <w:tc>
          <w:tcPr>
            <w:tcW w:w="2591"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2,4</w:t>
            </w:r>
          </w:p>
        </w:tc>
      </w:tr>
      <w:tr w:rsidR="00D97C53" w:rsidRPr="00413B87" w:rsidTr="00833951">
        <w:trPr>
          <w:trHeight w:val="258"/>
          <w:jc w:val="center"/>
        </w:trPr>
        <w:tc>
          <w:tcPr>
            <w:tcW w:w="1827"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6-й</w:t>
            </w:r>
          </w:p>
        </w:tc>
        <w:tc>
          <w:tcPr>
            <w:tcW w:w="2947"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481,7</w:t>
            </w:r>
          </w:p>
        </w:tc>
        <w:tc>
          <w:tcPr>
            <w:tcW w:w="2483"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19408,5</w:t>
            </w:r>
          </w:p>
        </w:tc>
        <w:tc>
          <w:tcPr>
            <w:tcW w:w="2591"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2,4</w:t>
            </w:r>
          </w:p>
        </w:tc>
      </w:tr>
      <w:tr w:rsidR="00D97C53" w:rsidRPr="00413B87" w:rsidTr="00833951">
        <w:trPr>
          <w:trHeight w:val="318"/>
          <w:jc w:val="center"/>
        </w:trPr>
        <w:tc>
          <w:tcPr>
            <w:tcW w:w="1827" w:type="dxa"/>
            <w:vMerge w:val="restart"/>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Період (місяць)</w:t>
            </w:r>
          </w:p>
        </w:tc>
        <w:tc>
          <w:tcPr>
            <w:tcW w:w="8021" w:type="dxa"/>
            <w:gridSpan w:val="3"/>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Актуарний метод</w:t>
            </w:r>
          </w:p>
        </w:tc>
      </w:tr>
      <w:tr w:rsidR="00D97C53" w:rsidRPr="00413B87" w:rsidTr="00833951">
        <w:trPr>
          <w:trHeight w:val="318"/>
          <w:jc w:val="center"/>
        </w:trPr>
        <w:tc>
          <w:tcPr>
            <w:tcW w:w="1827" w:type="dxa"/>
            <w:vMerge/>
          </w:tcPr>
          <w:p w:rsidR="00D97C53" w:rsidRPr="00413B87" w:rsidRDefault="00D97C53" w:rsidP="00833951">
            <w:pPr>
              <w:spacing w:after="0" w:line="360" w:lineRule="auto"/>
              <w:jc w:val="both"/>
              <w:rPr>
                <w:rFonts w:ascii="Times New Roman" w:hAnsi="Times New Roman"/>
                <w:sz w:val="20"/>
                <w:szCs w:val="20"/>
                <w:lang w:val="uk-UA" w:eastAsia="ru-RU"/>
              </w:rPr>
            </w:pPr>
          </w:p>
        </w:tc>
        <w:tc>
          <w:tcPr>
            <w:tcW w:w="2947"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Сума витрат за процентами, грн.</w:t>
            </w:r>
          </w:p>
        </w:tc>
        <w:tc>
          <w:tcPr>
            <w:tcW w:w="2483"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Сума зобов`язань банку, грн.</w:t>
            </w:r>
          </w:p>
        </w:tc>
        <w:tc>
          <w:tcPr>
            <w:tcW w:w="2591"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 xml:space="preserve">Ставка витрат до зобов'язань, </w:t>
            </w:r>
            <w:r w:rsidRPr="00413B87">
              <w:rPr>
                <w:rFonts w:ascii="Times New Roman" w:hAnsi="Times New Roman"/>
                <w:noProof/>
                <w:sz w:val="20"/>
                <w:szCs w:val="20"/>
                <w:lang w:val="uk-UA" w:eastAsia="ru-RU"/>
              </w:rPr>
              <w:t>%</w:t>
            </w:r>
          </w:p>
        </w:tc>
      </w:tr>
      <w:tr w:rsidR="00D97C53" w:rsidRPr="00413B87" w:rsidTr="00833951">
        <w:trPr>
          <w:trHeight w:val="318"/>
          <w:jc w:val="center"/>
        </w:trPr>
        <w:tc>
          <w:tcPr>
            <w:tcW w:w="1827"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1-й</w:t>
            </w:r>
          </w:p>
        </w:tc>
        <w:tc>
          <w:tcPr>
            <w:tcW w:w="2947"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425</w:t>
            </w:r>
          </w:p>
        </w:tc>
        <w:tc>
          <w:tcPr>
            <w:tcW w:w="2483"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17000</w:t>
            </w:r>
          </w:p>
        </w:tc>
        <w:tc>
          <w:tcPr>
            <w:tcW w:w="2591"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2.5</w:t>
            </w:r>
          </w:p>
        </w:tc>
      </w:tr>
      <w:tr w:rsidR="00D97C53" w:rsidRPr="00413B87" w:rsidTr="00833951">
        <w:trPr>
          <w:trHeight w:val="318"/>
          <w:jc w:val="center"/>
        </w:trPr>
        <w:tc>
          <w:tcPr>
            <w:tcW w:w="1827"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2-й</w:t>
            </w:r>
          </w:p>
        </w:tc>
        <w:tc>
          <w:tcPr>
            <w:tcW w:w="2947"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435.6</w:t>
            </w:r>
          </w:p>
        </w:tc>
        <w:tc>
          <w:tcPr>
            <w:tcW w:w="2483"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17425</w:t>
            </w:r>
          </w:p>
        </w:tc>
        <w:tc>
          <w:tcPr>
            <w:tcW w:w="2591"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2.5</w:t>
            </w:r>
          </w:p>
        </w:tc>
      </w:tr>
      <w:tr w:rsidR="00D97C53" w:rsidRPr="00413B87" w:rsidTr="00833951">
        <w:trPr>
          <w:trHeight w:val="318"/>
          <w:jc w:val="center"/>
        </w:trPr>
        <w:tc>
          <w:tcPr>
            <w:tcW w:w="1827"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3-й</w:t>
            </w:r>
          </w:p>
        </w:tc>
        <w:tc>
          <w:tcPr>
            <w:tcW w:w="2947"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446.5</w:t>
            </w:r>
          </w:p>
        </w:tc>
        <w:tc>
          <w:tcPr>
            <w:tcW w:w="2483"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17860.6</w:t>
            </w:r>
          </w:p>
        </w:tc>
        <w:tc>
          <w:tcPr>
            <w:tcW w:w="2591"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2.5</w:t>
            </w:r>
          </w:p>
        </w:tc>
      </w:tr>
      <w:tr w:rsidR="00D97C53" w:rsidRPr="00413B87" w:rsidTr="00833951">
        <w:trPr>
          <w:trHeight w:val="318"/>
          <w:jc w:val="center"/>
        </w:trPr>
        <w:tc>
          <w:tcPr>
            <w:tcW w:w="1827"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4-й</w:t>
            </w:r>
          </w:p>
        </w:tc>
        <w:tc>
          <w:tcPr>
            <w:tcW w:w="2947"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457.7</w:t>
            </w:r>
          </w:p>
        </w:tc>
        <w:tc>
          <w:tcPr>
            <w:tcW w:w="2483"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18307.1</w:t>
            </w:r>
          </w:p>
        </w:tc>
        <w:tc>
          <w:tcPr>
            <w:tcW w:w="2591"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2.5</w:t>
            </w:r>
          </w:p>
        </w:tc>
      </w:tr>
      <w:tr w:rsidR="00D97C53" w:rsidRPr="00413B87" w:rsidTr="00833951">
        <w:trPr>
          <w:trHeight w:val="318"/>
          <w:jc w:val="center"/>
        </w:trPr>
        <w:tc>
          <w:tcPr>
            <w:tcW w:w="1827"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5-й</w:t>
            </w:r>
          </w:p>
        </w:tc>
        <w:tc>
          <w:tcPr>
            <w:tcW w:w="2947"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469.12</w:t>
            </w:r>
          </w:p>
        </w:tc>
        <w:tc>
          <w:tcPr>
            <w:tcW w:w="2483"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18764.8</w:t>
            </w:r>
          </w:p>
        </w:tc>
        <w:tc>
          <w:tcPr>
            <w:tcW w:w="2591"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2.5</w:t>
            </w:r>
          </w:p>
        </w:tc>
      </w:tr>
      <w:tr w:rsidR="00D97C53" w:rsidRPr="00413B87" w:rsidTr="00833951">
        <w:trPr>
          <w:trHeight w:val="318"/>
          <w:jc w:val="center"/>
        </w:trPr>
        <w:tc>
          <w:tcPr>
            <w:tcW w:w="1827"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6-й</w:t>
            </w:r>
          </w:p>
        </w:tc>
        <w:tc>
          <w:tcPr>
            <w:tcW w:w="2947"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480.8</w:t>
            </w:r>
          </w:p>
        </w:tc>
        <w:tc>
          <w:tcPr>
            <w:tcW w:w="2483"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19233.9</w:t>
            </w:r>
          </w:p>
        </w:tc>
        <w:tc>
          <w:tcPr>
            <w:tcW w:w="2591" w:type="dxa"/>
          </w:tcPr>
          <w:p w:rsidR="00D97C53" w:rsidRPr="00413B87" w:rsidRDefault="00D97C53" w:rsidP="00833951">
            <w:pPr>
              <w:spacing w:after="0" w:line="360" w:lineRule="auto"/>
              <w:jc w:val="both"/>
              <w:rPr>
                <w:rFonts w:ascii="Times New Roman" w:hAnsi="Times New Roman"/>
                <w:sz w:val="20"/>
                <w:szCs w:val="20"/>
                <w:lang w:val="uk-UA" w:eastAsia="ru-RU"/>
              </w:rPr>
            </w:pPr>
            <w:r w:rsidRPr="00413B87">
              <w:rPr>
                <w:rFonts w:ascii="Times New Roman" w:hAnsi="Times New Roman"/>
                <w:sz w:val="20"/>
                <w:szCs w:val="20"/>
                <w:lang w:val="uk-UA" w:eastAsia="ru-RU"/>
              </w:rPr>
              <w:t>2.5</w:t>
            </w:r>
          </w:p>
        </w:tc>
      </w:tr>
    </w:tbl>
    <w:p w:rsidR="00D97C53" w:rsidRPr="00413B87" w:rsidRDefault="00D97C53" w:rsidP="00006626">
      <w:pPr>
        <w:spacing w:after="0" w:line="360" w:lineRule="auto"/>
        <w:ind w:firstLine="709"/>
        <w:jc w:val="both"/>
        <w:rPr>
          <w:rFonts w:ascii="Times New Roman" w:hAnsi="Times New Roman"/>
          <w:sz w:val="28"/>
          <w:szCs w:val="28"/>
          <w:lang w:val="uk-UA" w:eastAsia="ru-RU"/>
        </w:rPr>
      </w:pPr>
    </w:p>
    <w:p w:rsidR="00D97C53" w:rsidRPr="00413B87" w:rsidRDefault="00D97C53" w:rsidP="00006626">
      <w:pPr>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 xml:space="preserve">Сума витрат за % обчислюється за формулою: </w:t>
      </w:r>
      <w:r w:rsidR="008327F0" w:rsidRPr="00413B87">
        <w:rPr>
          <w:rFonts w:ascii="Times New Roman" w:eastAsia="Times New Roman" w:hAnsi="Times New Roman"/>
          <w:sz w:val="28"/>
          <w:szCs w:val="28"/>
          <w:lang w:val="uk-UA" w:eastAsia="ru-RU"/>
        </w:rPr>
        <w:object w:dxaOrig="1800" w:dyaOrig="380">
          <v:shape id="_x0000_i1028" type="#_x0000_t75" style="width:90pt;height:17.25pt" o:ole="">
            <v:imagedata r:id="rId13" o:title=""/>
          </v:shape>
          <o:OLEObject Type="Embed" ProgID="Equation.3" ShapeID="_x0000_i1028" DrawAspect="Content" ObjectID="_1457515268" r:id="rId14"/>
        </w:object>
      </w:r>
      <w:r w:rsidRPr="00413B87">
        <w:rPr>
          <w:rFonts w:ascii="Times New Roman" w:hAnsi="Times New Roman"/>
          <w:sz w:val="28"/>
          <w:szCs w:val="28"/>
          <w:lang w:val="uk-UA" w:eastAsia="ru-RU"/>
        </w:rPr>
        <w:t>, де</w:t>
      </w:r>
    </w:p>
    <w:p w:rsidR="00D97C53" w:rsidRPr="00413B87" w:rsidRDefault="00D97C53" w:rsidP="00006626">
      <w:pPr>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 xml:space="preserve">S – нарощена сума депозиту наприкінці попереднього періоду (номінал депозиту та проценти); </w:t>
      </w:r>
    </w:p>
    <w:p w:rsidR="00D97C53" w:rsidRPr="00413B87" w:rsidRDefault="00D97C53" w:rsidP="00006626">
      <w:pPr>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і – річна фактична процентна ставка;</w:t>
      </w:r>
    </w:p>
    <w:p w:rsidR="00D97C53" w:rsidRPr="00413B87" w:rsidRDefault="00D97C53" w:rsidP="00006626">
      <w:pPr>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n – кількість періодів за депозитом, за яким нараховані проценти.</w:t>
      </w:r>
    </w:p>
    <w:p w:rsidR="00D97C53" w:rsidRPr="00413B87" w:rsidRDefault="00D97C53" w:rsidP="00006626">
      <w:pPr>
        <w:spacing w:after="0" w:line="360" w:lineRule="auto"/>
        <w:ind w:firstLine="709"/>
        <w:jc w:val="both"/>
        <w:rPr>
          <w:rFonts w:ascii="Times New Roman" w:hAnsi="Times New Roman"/>
          <w:sz w:val="28"/>
          <w:szCs w:val="28"/>
          <w:lang w:val="uk-UA" w:eastAsia="ru-RU"/>
        </w:rPr>
      </w:pPr>
    </w:p>
    <w:p w:rsidR="00D97C53" w:rsidRPr="00413B87" w:rsidRDefault="008327F0" w:rsidP="00006626">
      <w:pPr>
        <w:spacing w:after="0" w:line="360" w:lineRule="auto"/>
        <w:ind w:firstLine="709"/>
        <w:jc w:val="both"/>
        <w:rPr>
          <w:rFonts w:ascii="Times New Roman" w:hAnsi="Times New Roman"/>
          <w:sz w:val="28"/>
          <w:szCs w:val="28"/>
          <w:lang w:val="uk-UA" w:eastAsia="ru-RU"/>
        </w:rPr>
      </w:pPr>
      <w:r w:rsidRPr="00413B87">
        <w:rPr>
          <w:rFonts w:ascii="Times New Roman" w:eastAsia="Times New Roman" w:hAnsi="Times New Roman"/>
          <w:sz w:val="28"/>
          <w:szCs w:val="28"/>
          <w:lang w:val="uk-UA" w:eastAsia="ru-RU"/>
        </w:rPr>
        <w:object w:dxaOrig="5120" w:dyaOrig="380">
          <v:shape id="_x0000_i1029" type="#_x0000_t75" style="width:253.5pt;height:17.25pt" o:ole="">
            <v:imagedata r:id="rId15" o:title=""/>
          </v:shape>
          <o:OLEObject Type="Embed" ProgID="Equation.3" ShapeID="_x0000_i1029" DrawAspect="Content" ObjectID="_1457515269" r:id="rId16"/>
        </w:object>
      </w:r>
    </w:p>
    <w:p w:rsidR="00D97C53" w:rsidRPr="00413B87" w:rsidRDefault="00D97C53" w:rsidP="00006626">
      <w:pPr>
        <w:spacing w:after="0" w:line="360" w:lineRule="auto"/>
        <w:ind w:firstLine="709"/>
        <w:jc w:val="both"/>
        <w:rPr>
          <w:rFonts w:ascii="Times New Roman" w:hAnsi="Times New Roman"/>
          <w:sz w:val="28"/>
          <w:szCs w:val="28"/>
          <w:lang w:val="uk-UA" w:eastAsia="ru-RU"/>
        </w:rPr>
      </w:pPr>
    </w:p>
    <w:p w:rsidR="00D97C53" w:rsidRPr="00413B87" w:rsidRDefault="00D97C53" w:rsidP="00006626">
      <w:pPr>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Нехай банк залучає депозит фізичної особи обсягом</w:t>
      </w:r>
      <w:r>
        <w:rPr>
          <w:rFonts w:ascii="Times New Roman" w:hAnsi="Times New Roman"/>
          <w:sz w:val="28"/>
          <w:szCs w:val="28"/>
          <w:lang w:val="uk-UA" w:eastAsia="ru-RU"/>
        </w:rPr>
        <w:t xml:space="preserve"> </w:t>
      </w:r>
      <w:r w:rsidRPr="00413B87">
        <w:rPr>
          <w:rFonts w:ascii="Times New Roman" w:hAnsi="Times New Roman"/>
          <w:noProof/>
          <w:sz w:val="28"/>
          <w:szCs w:val="28"/>
          <w:lang w:val="uk-UA" w:eastAsia="ru-RU"/>
        </w:rPr>
        <w:t>17000</w:t>
      </w:r>
      <w:r w:rsidRPr="00413B87">
        <w:rPr>
          <w:rFonts w:ascii="Times New Roman" w:hAnsi="Times New Roman"/>
          <w:sz w:val="28"/>
          <w:szCs w:val="28"/>
          <w:lang w:val="uk-UA" w:eastAsia="ru-RU"/>
        </w:rPr>
        <w:t xml:space="preserve"> грн. на</w:t>
      </w:r>
      <w:r w:rsidRPr="00413B87">
        <w:rPr>
          <w:rFonts w:ascii="Times New Roman" w:hAnsi="Times New Roman"/>
          <w:noProof/>
          <w:sz w:val="28"/>
          <w:szCs w:val="28"/>
          <w:lang w:val="uk-UA" w:eastAsia="ru-RU"/>
        </w:rPr>
        <w:t xml:space="preserve"> 6</w:t>
      </w:r>
      <w:r w:rsidRPr="00413B87">
        <w:rPr>
          <w:rFonts w:ascii="Times New Roman" w:hAnsi="Times New Roman"/>
          <w:sz w:val="28"/>
          <w:szCs w:val="28"/>
          <w:lang w:val="uk-UA" w:eastAsia="ru-RU"/>
        </w:rPr>
        <w:t xml:space="preserve"> місяців за ставкою</w:t>
      </w:r>
      <w:r>
        <w:rPr>
          <w:rFonts w:ascii="Times New Roman" w:hAnsi="Times New Roman"/>
          <w:sz w:val="28"/>
          <w:szCs w:val="28"/>
          <w:lang w:val="uk-UA" w:eastAsia="ru-RU"/>
        </w:rPr>
        <w:t xml:space="preserve"> </w:t>
      </w:r>
      <w:r w:rsidRPr="00413B87">
        <w:rPr>
          <w:rFonts w:ascii="Times New Roman" w:hAnsi="Times New Roman"/>
          <w:sz w:val="28"/>
          <w:szCs w:val="28"/>
          <w:lang w:val="uk-UA" w:eastAsia="ru-RU"/>
        </w:rPr>
        <w:t>34</w:t>
      </w:r>
      <w:r w:rsidRPr="00413B87">
        <w:rPr>
          <w:rFonts w:ascii="Times New Roman" w:hAnsi="Times New Roman"/>
          <w:noProof/>
          <w:sz w:val="28"/>
          <w:szCs w:val="28"/>
          <w:lang w:val="uk-UA" w:eastAsia="ru-RU"/>
        </w:rPr>
        <w:t xml:space="preserve"> % </w:t>
      </w:r>
      <w:r w:rsidRPr="00413B87">
        <w:rPr>
          <w:rFonts w:ascii="Times New Roman" w:hAnsi="Times New Roman"/>
          <w:sz w:val="28"/>
          <w:szCs w:val="28"/>
          <w:lang w:val="uk-UA" w:eastAsia="ru-RU"/>
        </w:rPr>
        <w:t>річних з капіталізацією процентів щоквартально. Нарахування</w:t>
      </w:r>
      <w:r>
        <w:rPr>
          <w:rFonts w:ascii="Times New Roman" w:hAnsi="Times New Roman"/>
          <w:sz w:val="28"/>
          <w:szCs w:val="28"/>
          <w:lang w:val="uk-UA" w:eastAsia="ru-RU"/>
        </w:rPr>
        <w:t xml:space="preserve"> </w:t>
      </w:r>
      <w:r w:rsidRPr="00413B87">
        <w:rPr>
          <w:rFonts w:ascii="Times New Roman" w:hAnsi="Times New Roman"/>
          <w:sz w:val="28"/>
          <w:szCs w:val="28"/>
          <w:lang w:val="uk-UA" w:eastAsia="ru-RU"/>
        </w:rPr>
        <w:t>процентів проводиться в останній день місяця. Кількість</w:t>
      </w:r>
      <w:r>
        <w:rPr>
          <w:rFonts w:ascii="Times New Roman" w:hAnsi="Times New Roman"/>
          <w:sz w:val="28"/>
          <w:szCs w:val="28"/>
          <w:lang w:val="uk-UA" w:eastAsia="ru-RU"/>
        </w:rPr>
        <w:t xml:space="preserve"> </w:t>
      </w:r>
      <w:r w:rsidRPr="00413B87">
        <w:rPr>
          <w:rFonts w:ascii="Times New Roman" w:hAnsi="Times New Roman"/>
          <w:sz w:val="28"/>
          <w:szCs w:val="28"/>
          <w:lang w:val="uk-UA" w:eastAsia="ru-RU"/>
        </w:rPr>
        <w:t>днів у розрахунку</w:t>
      </w:r>
      <w:r>
        <w:rPr>
          <w:rFonts w:ascii="Times New Roman" w:hAnsi="Times New Roman"/>
          <w:sz w:val="28"/>
          <w:szCs w:val="28"/>
          <w:lang w:val="uk-UA" w:eastAsia="ru-RU"/>
        </w:rPr>
        <w:t xml:space="preserve"> </w:t>
      </w:r>
      <w:r w:rsidRPr="00413B87">
        <w:rPr>
          <w:rFonts w:ascii="Times New Roman" w:hAnsi="Times New Roman"/>
          <w:sz w:val="28"/>
          <w:szCs w:val="28"/>
          <w:lang w:val="uk-UA" w:eastAsia="ru-RU"/>
        </w:rPr>
        <w:t>береться за методом «30</w:t>
      </w:r>
      <w:r w:rsidRPr="00413B87">
        <w:rPr>
          <w:rFonts w:ascii="Times New Roman" w:hAnsi="Times New Roman"/>
          <w:noProof/>
          <w:sz w:val="28"/>
          <w:szCs w:val="28"/>
          <w:lang w:val="uk-UA" w:eastAsia="ru-RU"/>
        </w:rPr>
        <w:t>/</w:t>
      </w:r>
      <w:r w:rsidRPr="00413B87">
        <w:rPr>
          <w:rFonts w:ascii="Times New Roman" w:hAnsi="Times New Roman"/>
          <w:sz w:val="28"/>
          <w:szCs w:val="28"/>
          <w:lang w:val="uk-UA" w:eastAsia="ru-RU"/>
        </w:rPr>
        <w:t>360». Розрахувати річну процентну ставку.</w:t>
      </w:r>
    </w:p>
    <w:p w:rsidR="00D97C53" w:rsidRPr="00413B87" w:rsidRDefault="00D97C53" w:rsidP="00006626">
      <w:pPr>
        <w:spacing w:after="0" w:line="360" w:lineRule="auto"/>
        <w:ind w:firstLine="709"/>
        <w:jc w:val="both"/>
        <w:rPr>
          <w:rFonts w:ascii="Times New Roman" w:hAnsi="Times New Roman"/>
          <w:bCs/>
          <w:iCs/>
          <w:sz w:val="28"/>
          <w:szCs w:val="28"/>
          <w:lang w:val="uk-UA" w:eastAsia="ru-RU"/>
        </w:rPr>
      </w:pPr>
    </w:p>
    <w:p w:rsidR="00D97C53" w:rsidRPr="00413B87" w:rsidRDefault="00D97C53" w:rsidP="00006626">
      <w:pPr>
        <w:spacing w:after="0" w:line="360" w:lineRule="auto"/>
        <w:ind w:firstLine="709"/>
        <w:jc w:val="both"/>
        <w:rPr>
          <w:rFonts w:ascii="Times New Roman" w:hAnsi="Times New Roman"/>
          <w:bCs/>
          <w:sz w:val="28"/>
          <w:szCs w:val="28"/>
          <w:lang w:val="uk-UA" w:eastAsia="ru-RU"/>
        </w:rPr>
      </w:pPr>
      <w:r w:rsidRPr="00413B87">
        <w:rPr>
          <w:rFonts w:ascii="Times New Roman" w:hAnsi="Times New Roman"/>
          <w:bCs/>
          <w:iCs/>
          <w:sz w:val="28"/>
          <w:szCs w:val="28"/>
          <w:lang w:val="uk-UA" w:eastAsia="ru-RU"/>
        </w:rPr>
        <w:t>Таблиця</w:t>
      </w:r>
      <w:r w:rsidRPr="00413B87">
        <w:rPr>
          <w:rFonts w:ascii="Times New Roman" w:hAnsi="Times New Roman"/>
          <w:bCs/>
          <w:iCs/>
          <w:noProof/>
          <w:sz w:val="28"/>
          <w:szCs w:val="28"/>
          <w:lang w:val="uk-UA" w:eastAsia="ru-RU"/>
        </w:rPr>
        <w:t xml:space="preserve"> 2. </w:t>
      </w:r>
      <w:r w:rsidRPr="00413B87">
        <w:rPr>
          <w:rFonts w:ascii="Times New Roman" w:hAnsi="Times New Roman"/>
          <w:bCs/>
          <w:sz w:val="28"/>
          <w:szCs w:val="28"/>
          <w:lang w:val="uk-UA" w:eastAsia="ru-RU"/>
        </w:rPr>
        <w:t>Розрахунок процентних витрат у разі капіталізації процентів</w:t>
      </w:r>
    </w:p>
    <w:tbl>
      <w:tblPr>
        <w:tblW w:w="9072" w:type="dxa"/>
        <w:jc w:val="center"/>
        <w:tblLayout w:type="fixed"/>
        <w:tblCellMar>
          <w:left w:w="40" w:type="dxa"/>
          <w:right w:w="40" w:type="dxa"/>
        </w:tblCellMar>
        <w:tblLook w:val="0000" w:firstRow="0" w:lastRow="0" w:firstColumn="0" w:lastColumn="0" w:noHBand="0" w:noVBand="0"/>
      </w:tblPr>
      <w:tblGrid>
        <w:gridCol w:w="865"/>
        <w:gridCol w:w="2273"/>
        <w:gridCol w:w="1473"/>
        <w:gridCol w:w="2539"/>
        <w:gridCol w:w="1922"/>
      </w:tblGrid>
      <w:tr w:rsidR="00D97C53" w:rsidRPr="00413B87" w:rsidTr="00833951">
        <w:trPr>
          <w:trHeight w:hRule="exact" w:val="845"/>
          <w:jc w:val="center"/>
        </w:trPr>
        <w:tc>
          <w:tcPr>
            <w:tcW w:w="913"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t>Період</w:t>
            </w:r>
          </w:p>
        </w:tc>
        <w:tc>
          <w:tcPr>
            <w:tcW w:w="2410"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t>Номінал депозиту, грн.</w:t>
            </w:r>
          </w:p>
        </w:tc>
        <w:tc>
          <w:tcPr>
            <w:tcW w:w="1560"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t>Процентна ставка</w:t>
            </w:r>
          </w:p>
        </w:tc>
        <w:tc>
          <w:tcPr>
            <w:tcW w:w="2693"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t>Метод підрахункуднів</w:t>
            </w:r>
          </w:p>
        </w:tc>
        <w:tc>
          <w:tcPr>
            <w:tcW w:w="2037"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t>Сума процентнихвиплат, грн.</w:t>
            </w:r>
          </w:p>
        </w:tc>
      </w:tr>
      <w:tr w:rsidR="00D97C53" w:rsidRPr="00413B87" w:rsidTr="00833951">
        <w:trPr>
          <w:trHeight w:hRule="exact" w:val="305"/>
          <w:jc w:val="center"/>
        </w:trPr>
        <w:tc>
          <w:tcPr>
            <w:tcW w:w="913"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rPr>
                <w:noProof/>
              </w:rPr>
              <w:t>1-й</w:t>
            </w:r>
          </w:p>
        </w:tc>
        <w:tc>
          <w:tcPr>
            <w:tcW w:w="2410"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rPr>
                <w:noProof/>
              </w:rPr>
              <w:t>17000</w:t>
            </w:r>
          </w:p>
        </w:tc>
        <w:tc>
          <w:tcPr>
            <w:tcW w:w="1560"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t>34</w:t>
            </w:r>
          </w:p>
        </w:tc>
        <w:tc>
          <w:tcPr>
            <w:tcW w:w="2693"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rPr>
                <w:noProof/>
              </w:rPr>
              <w:t>30/360</w:t>
            </w:r>
          </w:p>
        </w:tc>
        <w:tc>
          <w:tcPr>
            <w:tcW w:w="2037"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t>481,7</w:t>
            </w:r>
          </w:p>
        </w:tc>
      </w:tr>
      <w:tr w:rsidR="00D97C53" w:rsidRPr="00413B87" w:rsidTr="00833951">
        <w:trPr>
          <w:trHeight w:hRule="exact" w:val="305"/>
          <w:jc w:val="center"/>
        </w:trPr>
        <w:tc>
          <w:tcPr>
            <w:tcW w:w="913"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rPr>
                <w:noProof/>
              </w:rPr>
              <w:t>2-й</w:t>
            </w:r>
          </w:p>
        </w:tc>
        <w:tc>
          <w:tcPr>
            <w:tcW w:w="2410"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rPr>
                <w:noProof/>
              </w:rPr>
              <w:t>17000</w:t>
            </w:r>
          </w:p>
        </w:tc>
        <w:tc>
          <w:tcPr>
            <w:tcW w:w="1560"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t>34</w:t>
            </w:r>
          </w:p>
        </w:tc>
        <w:tc>
          <w:tcPr>
            <w:tcW w:w="2693"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rPr>
                <w:noProof/>
              </w:rPr>
              <w:t>30/360</w:t>
            </w:r>
          </w:p>
        </w:tc>
        <w:tc>
          <w:tcPr>
            <w:tcW w:w="2037"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t>481,7</w:t>
            </w:r>
          </w:p>
        </w:tc>
      </w:tr>
      <w:tr w:rsidR="00D97C53" w:rsidRPr="00413B87" w:rsidTr="00833951">
        <w:trPr>
          <w:trHeight w:hRule="exact" w:val="305"/>
          <w:jc w:val="center"/>
        </w:trPr>
        <w:tc>
          <w:tcPr>
            <w:tcW w:w="913"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rPr>
                <w:noProof/>
              </w:rPr>
              <w:t>3-й</w:t>
            </w:r>
          </w:p>
        </w:tc>
        <w:tc>
          <w:tcPr>
            <w:tcW w:w="2410"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rPr>
                <w:noProof/>
              </w:rPr>
              <w:t>17000</w:t>
            </w:r>
          </w:p>
        </w:tc>
        <w:tc>
          <w:tcPr>
            <w:tcW w:w="1560"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t>34</w:t>
            </w:r>
          </w:p>
        </w:tc>
        <w:tc>
          <w:tcPr>
            <w:tcW w:w="2693"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rPr>
                <w:noProof/>
              </w:rPr>
              <w:t>30/360</w:t>
            </w:r>
          </w:p>
        </w:tc>
        <w:tc>
          <w:tcPr>
            <w:tcW w:w="2037"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t>481,7</w:t>
            </w:r>
          </w:p>
        </w:tc>
      </w:tr>
      <w:tr w:rsidR="00D97C53" w:rsidRPr="00413B87" w:rsidTr="00833951">
        <w:trPr>
          <w:trHeight w:hRule="exact" w:val="305"/>
          <w:jc w:val="center"/>
        </w:trPr>
        <w:tc>
          <w:tcPr>
            <w:tcW w:w="913"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rPr>
                <w:noProof/>
              </w:rPr>
              <w:t>4-й</w:t>
            </w:r>
          </w:p>
        </w:tc>
        <w:tc>
          <w:tcPr>
            <w:tcW w:w="2410"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t>18445,1</w:t>
            </w:r>
          </w:p>
        </w:tc>
        <w:tc>
          <w:tcPr>
            <w:tcW w:w="1560"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t>34</w:t>
            </w:r>
          </w:p>
        </w:tc>
        <w:tc>
          <w:tcPr>
            <w:tcW w:w="2693"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rPr>
                <w:noProof/>
              </w:rPr>
              <w:t>30/360</w:t>
            </w:r>
          </w:p>
        </w:tc>
        <w:tc>
          <w:tcPr>
            <w:tcW w:w="2037"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t>481,7</w:t>
            </w:r>
          </w:p>
        </w:tc>
      </w:tr>
      <w:tr w:rsidR="00D97C53" w:rsidRPr="00413B87" w:rsidTr="00833951">
        <w:trPr>
          <w:trHeight w:hRule="exact" w:val="305"/>
          <w:jc w:val="center"/>
        </w:trPr>
        <w:tc>
          <w:tcPr>
            <w:tcW w:w="913"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rPr>
                <w:noProof/>
              </w:rPr>
              <w:t>5-й</w:t>
            </w:r>
          </w:p>
        </w:tc>
        <w:tc>
          <w:tcPr>
            <w:tcW w:w="2410"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t>18445,1</w:t>
            </w:r>
          </w:p>
        </w:tc>
        <w:tc>
          <w:tcPr>
            <w:tcW w:w="1560"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t>34</w:t>
            </w:r>
          </w:p>
        </w:tc>
        <w:tc>
          <w:tcPr>
            <w:tcW w:w="2693"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rPr>
                <w:noProof/>
              </w:rPr>
              <w:t>30/360</w:t>
            </w:r>
          </w:p>
        </w:tc>
        <w:tc>
          <w:tcPr>
            <w:tcW w:w="2037"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t>481,7</w:t>
            </w:r>
          </w:p>
        </w:tc>
      </w:tr>
      <w:tr w:rsidR="00D97C53" w:rsidRPr="00413B87" w:rsidTr="00833951">
        <w:trPr>
          <w:trHeight w:hRule="exact" w:val="366"/>
          <w:jc w:val="center"/>
        </w:trPr>
        <w:tc>
          <w:tcPr>
            <w:tcW w:w="913"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rPr>
                <w:noProof/>
              </w:rPr>
              <w:t>6-й</w:t>
            </w:r>
          </w:p>
        </w:tc>
        <w:tc>
          <w:tcPr>
            <w:tcW w:w="2410"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t>18445,1</w:t>
            </w:r>
          </w:p>
        </w:tc>
        <w:tc>
          <w:tcPr>
            <w:tcW w:w="1560"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t>34</w:t>
            </w:r>
          </w:p>
        </w:tc>
        <w:tc>
          <w:tcPr>
            <w:tcW w:w="2693"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rPr>
                <w:noProof/>
              </w:rPr>
              <w:t>30/360</w:t>
            </w:r>
          </w:p>
        </w:tc>
        <w:tc>
          <w:tcPr>
            <w:tcW w:w="2037"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833951">
            <w:pPr>
              <w:pStyle w:val="11"/>
            </w:pPr>
            <w:r w:rsidRPr="00413B87">
              <w:t>481,7</w:t>
            </w:r>
          </w:p>
        </w:tc>
      </w:tr>
    </w:tbl>
    <w:p w:rsidR="00D97C53" w:rsidRPr="00413B87" w:rsidRDefault="00D97C53" w:rsidP="00006626">
      <w:pPr>
        <w:widowControl w:val="0"/>
        <w:autoSpaceDE w:val="0"/>
        <w:autoSpaceDN w:val="0"/>
        <w:adjustRightInd w:val="0"/>
        <w:spacing w:after="0" w:line="360" w:lineRule="auto"/>
        <w:ind w:firstLine="709"/>
        <w:jc w:val="both"/>
        <w:rPr>
          <w:rFonts w:ascii="Times New Roman" w:hAnsi="Times New Roman"/>
          <w:sz w:val="28"/>
          <w:szCs w:val="28"/>
          <w:lang w:val="uk-UA" w:eastAsia="ru-RU"/>
        </w:rPr>
      </w:pPr>
    </w:p>
    <w:p w:rsidR="00D97C53" w:rsidRPr="00413B87" w:rsidRDefault="00D97C53" w:rsidP="00006626">
      <w:pPr>
        <w:widowControl w:val="0"/>
        <w:autoSpaceDE w:val="0"/>
        <w:autoSpaceDN w:val="0"/>
        <w:adjustRightInd w:val="0"/>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 xml:space="preserve">Сума процентних дорівнює </w:t>
      </w:r>
    </w:p>
    <w:p w:rsidR="00D97C53" w:rsidRPr="00413B87" w:rsidRDefault="00D97C53" w:rsidP="00006626">
      <w:pPr>
        <w:widowControl w:val="0"/>
        <w:autoSpaceDE w:val="0"/>
        <w:autoSpaceDN w:val="0"/>
        <w:adjustRightInd w:val="0"/>
        <w:spacing w:after="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br w:type="page"/>
      </w:r>
      <w:r w:rsidR="008327F0" w:rsidRPr="00413B87">
        <w:rPr>
          <w:rFonts w:ascii="Times New Roman" w:eastAsia="Times New Roman" w:hAnsi="Times New Roman"/>
          <w:sz w:val="28"/>
          <w:szCs w:val="28"/>
          <w:lang w:val="uk-UA" w:eastAsia="ru-RU"/>
        </w:rPr>
        <w:object w:dxaOrig="2360" w:dyaOrig="620">
          <v:shape id="_x0000_i1030" type="#_x0000_t75" style="width:117pt;height:30pt" o:ole="">
            <v:imagedata r:id="rId17" o:title=""/>
          </v:shape>
          <o:OLEObject Type="Embed" ProgID="Equation.3" ShapeID="_x0000_i1030" DrawAspect="Content" ObjectID="_1457515270" r:id="rId18"/>
        </w:object>
      </w:r>
      <w:r w:rsidRPr="00413B87">
        <w:rPr>
          <w:rFonts w:ascii="Times New Roman" w:hAnsi="Times New Roman"/>
          <w:sz w:val="28"/>
          <w:szCs w:val="28"/>
          <w:lang w:val="uk-UA" w:eastAsia="ru-RU"/>
        </w:rPr>
        <w:t xml:space="preserve"> грн.</w:t>
      </w:r>
    </w:p>
    <w:p w:rsidR="00D97C53" w:rsidRDefault="00D97C53" w:rsidP="00006626">
      <w:pPr>
        <w:widowControl w:val="0"/>
        <w:autoSpaceDE w:val="0"/>
        <w:autoSpaceDN w:val="0"/>
        <w:adjustRightInd w:val="0"/>
        <w:spacing w:after="0" w:line="360" w:lineRule="auto"/>
        <w:ind w:firstLine="709"/>
        <w:jc w:val="both"/>
        <w:rPr>
          <w:rFonts w:ascii="Times New Roman" w:hAnsi="Times New Roman"/>
          <w:sz w:val="28"/>
          <w:szCs w:val="28"/>
          <w:lang w:val="uk-UA" w:eastAsia="ru-RU"/>
        </w:rPr>
      </w:pPr>
    </w:p>
    <w:p w:rsidR="00D97C53" w:rsidRPr="00413B87" w:rsidRDefault="00D97C53" w:rsidP="00006626">
      <w:pPr>
        <w:widowControl w:val="0"/>
        <w:autoSpaceDE w:val="0"/>
        <w:autoSpaceDN w:val="0"/>
        <w:adjustRightInd w:val="0"/>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Отже, сума депозиту під час погашення (разом із нарахованими процентами) становлять: 17000+3012,9=20012,9 грн.</w:t>
      </w:r>
    </w:p>
    <w:p w:rsidR="00D97C53" w:rsidRPr="00413B87" w:rsidRDefault="00D97C53" w:rsidP="00006626">
      <w:pPr>
        <w:widowControl w:val="0"/>
        <w:autoSpaceDE w:val="0"/>
        <w:autoSpaceDN w:val="0"/>
        <w:adjustRightInd w:val="0"/>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Фактична процентна ставка</w:t>
      </w:r>
    </w:p>
    <w:p w:rsidR="00D97C53" w:rsidRPr="00413B87" w:rsidRDefault="00D97C53" w:rsidP="00006626">
      <w:pPr>
        <w:widowControl w:val="0"/>
        <w:autoSpaceDE w:val="0"/>
        <w:autoSpaceDN w:val="0"/>
        <w:adjustRightInd w:val="0"/>
        <w:spacing w:after="0" w:line="360" w:lineRule="auto"/>
        <w:ind w:firstLine="709"/>
        <w:jc w:val="both"/>
        <w:rPr>
          <w:rFonts w:ascii="Times New Roman" w:hAnsi="Times New Roman"/>
          <w:sz w:val="28"/>
          <w:szCs w:val="28"/>
          <w:lang w:val="uk-UA" w:eastAsia="ru-RU"/>
        </w:rPr>
      </w:pPr>
    </w:p>
    <w:p w:rsidR="00D97C53" w:rsidRPr="00413B87" w:rsidRDefault="008327F0" w:rsidP="00006626">
      <w:pPr>
        <w:widowControl w:val="0"/>
        <w:autoSpaceDE w:val="0"/>
        <w:autoSpaceDN w:val="0"/>
        <w:adjustRightInd w:val="0"/>
        <w:spacing w:after="0" w:line="360" w:lineRule="auto"/>
        <w:ind w:firstLine="709"/>
        <w:jc w:val="both"/>
        <w:rPr>
          <w:rFonts w:ascii="Times New Roman" w:hAnsi="Times New Roman"/>
          <w:sz w:val="28"/>
          <w:szCs w:val="28"/>
          <w:lang w:val="uk-UA" w:eastAsia="ru-RU"/>
        </w:rPr>
      </w:pPr>
      <w:r w:rsidRPr="00413B87">
        <w:rPr>
          <w:rFonts w:ascii="Times New Roman" w:eastAsia="Times New Roman" w:hAnsi="Times New Roman"/>
          <w:sz w:val="28"/>
          <w:szCs w:val="28"/>
          <w:lang w:val="uk-UA" w:eastAsia="ru-RU"/>
        </w:rPr>
        <w:object w:dxaOrig="5000" w:dyaOrig="700">
          <v:shape id="_x0000_i1031" type="#_x0000_t75" style="width:247.5pt;height:35.25pt" o:ole="">
            <v:imagedata r:id="rId19" o:title=""/>
          </v:shape>
          <o:OLEObject Type="Embed" ProgID="Equation.3" ShapeID="_x0000_i1031" DrawAspect="Content" ObjectID="_1457515271" r:id="rId20"/>
        </w:object>
      </w:r>
      <w:r w:rsidR="00D97C53" w:rsidRPr="00413B87">
        <w:rPr>
          <w:rFonts w:ascii="Times New Roman" w:hAnsi="Times New Roman"/>
          <w:sz w:val="28"/>
          <w:szCs w:val="28"/>
          <w:lang w:val="uk-UA" w:eastAsia="ru-RU"/>
        </w:rPr>
        <w:t xml:space="preserve"> річних</w:t>
      </w:r>
    </w:p>
    <w:p w:rsidR="00D97C53" w:rsidRPr="00413B87" w:rsidRDefault="00D97C53" w:rsidP="00006626">
      <w:pPr>
        <w:widowControl w:val="0"/>
        <w:autoSpaceDE w:val="0"/>
        <w:autoSpaceDN w:val="0"/>
        <w:adjustRightInd w:val="0"/>
        <w:spacing w:after="0" w:line="360" w:lineRule="auto"/>
        <w:ind w:firstLine="709"/>
        <w:jc w:val="both"/>
        <w:rPr>
          <w:rFonts w:ascii="Times New Roman" w:hAnsi="Times New Roman"/>
          <w:sz w:val="28"/>
          <w:szCs w:val="28"/>
          <w:lang w:val="uk-UA" w:eastAsia="ru-RU"/>
        </w:rPr>
      </w:pPr>
    </w:p>
    <w:p w:rsidR="00D97C53" w:rsidRPr="00413B87" w:rsidRDefault="00D97C53" w:rsidP="00006626">
      <w:pPr>
        <w:widowControl w:val="0"/>
        <w:autoSpaceDE w:val="0"/>
        <w:autoSpaceDN w:val="0"/>
        <w:adjustRightInd w:val="0"/>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Як бачимо, фактична процентна ставка вища за ту, яку визначено угодою.</w:t>
      </w:r>
    </w:p>
    <w:p w:rsidR="00D97C53" w:rsidRPr="00413B87" w:rsidRDefault="00D97C53" w:rsidP="00006626">
      <w:pPr>
        <w:widowControl w:val="0"/>
        <w:autoSpaceDE w:val="0"/>
        <w:autoSpaceDN w:val="0"/>
        <w:adjustRightInd w:val="0"/>
        <w:spacing w:after="0" w:line="360" w:lineRule="auto"/>
        <w:ind w:firstLine="709"/>
        <w:jc w:val="both"/>
        <w:rPr>
          <w:rFonts w:ascii="Times New Roman" w:hAnsi="Times New Roman"/>
          <w:bCs/>
          <w:sz w:val="28"/>
          <w:szCs w:val="28"/>
          <w:lang w:val="uk-UA" w:eastAsia="uk-UA"/>
        </w:rPr>
      </w:pPr>
      <w:r w:rsidRPr="00413B87">
        <w:rPr>
          <w:rFonts w:ascii="Times New Roman" w:hAnsi="Times New Roman"/>
          <w:sz w:val="28"/>
          <w:szCs w:val="28"/>
          <w:lang w:val="uk-UA" w:eastAsia="ru-RU"/>
        </w:rPr>
        <w:t xml:space="preserve">За формулою </w:t>
      </w:r>
      <w:r w:rsidR="008327F0" w:rsidRPr="00413B87">
        <w:rPr>
          <w:rFonts w:ascii="Times New Roman" w:eastAsia="Times New Roman" w:hAnsi="Times New Roman"/>
          <w:bCs/>
          <w:sz w:val="28"/>
          <w:szCs w:val="28"/>
          <w:lang w:val="uk-UA" w:eastAsia="uk-UA"/>
        </w:rPr>
        <w:object w:dxaOrig="1800" w:dyaOrig="380">
          <v:shape id="_x0000_i1032" type="#_x0000_t75" style="width:90pt;height:17.25pt" o:ole="">
            <v:imagedata r:id="rId13" o:title=""/>
          </v:shape>
          <o:OLEObject Type="Embed" ProgID="Equation.3" ShapeID="_x0000_i1032" DrawAspect="Content" ObjectID="_1457515272" r:id="rId21"/>
        </w:object>
      </w:r>
      <w:r w:rsidRPr="00413B87">
        <w:rPr>
          <w:rFonts w:ascii="Times New Roman" w:hAnsi="Times New Roman"/>
          <w:bCs/>
          <w:sz w:val="28"/>
          <w:szCs w:val="28"/>
          <w:lang w:val="uk-UA" w:eastAsia="uk-UA"/>
        </w:rPr>
        <w:t>проведемо розрахунок актуарним методом за кожний місяць чинної депозитної угоди.</w:t>
      </w:r>
    </w:p>
    <w:p w:rsidR="00D97C53" w:rsidRDefault="00D97C53" w:rsidP="00006626">
      <w:pPr>
        <w:widowControl w:val="0"/>
        <w:autoSpaceDE w:val="0"/>
        <w:autoSpaceDN w:val="0"/>
        <w:adjustRightInd w:val="0"/>
        <w:spacing w:after="0" w:line="360" w:lineRule="auto"/>
        <w:ind w:firstLine="709"/>
        <w:jc w:val="both"/>
        <w:rPr>
          <w:rFonts w:ascii="Times New Roman" w:hAnsi="Times New Roman"/>
          <w:sz w:val="28"/>
          <w:szCs w:val="28"/>
          <w:lang w:val="uk-UA" w:eastAsia="ru-RU"/>
        </w:rPr>
      </w:pPr>
    </w:p>
    <w:p w:rsidR="00D97C53" w:rsidRPr="00413B87" w:rsidRDefault="008327F0" w:rsidP="00006626">
      <w:pPr>
        <w:widowControl w:val="0"/>
        <w:autoSpaceDE w:val="0"/>
        <w:autoSpaceDN w:val="0"/>
        <w:adjustRightInd w:val="0"/>
        <w:spacing w:after="0" w:line="360" w:lineRule="auto"/>
        <w:ind w:firstLine="709"/>
        <w:jc w:val="both"/>
        <w:rPr>
          <w:rFonts w:ascii="Times New Roman" w:hAnsi="Times New Roman"/>
          <w:sz w:val="28"/>
          <w:szCs w:val="28"/>
          <w:lang w:val="uk-UA" w:eastAsia="ru-RU"/>
        </w:rPr>
      </w:pPr>
      <w:r w:rsidRPr="00413B87">
        <w:rPr>
          <w:rFonts w:ascii="Times New Roman" w:eastAsia="Times New Roman" w:hAnsi="Times New Roman"/>
          <w:sz w:val="28"/>
          <w:szCs w:val="28"/>
          <w:lang w:val="uk-UA" w:eastAsia="ru-RU"/>
        </w:rPr>
        <w:object w:dxaOrig="5220" w:dyaOrig="400">
          <v:shape id="_x0000_i1033" type="#_x0000_t75" style="width:258.75pt;height:19.5pt" o:ole="">
            <v:imagedata r:id="rId22" o:title=""/>
          </v:shape>
          <o:OLEObject Type="Embed" ProgID="Equation.3" ShapeID="_x0000_i1033" DrawAspect="Content" ObjectID="_1457515273" r:id="rId23"/>
        </w:object>
      </w:r>
    </w:p>
    <w:p w:rsidR="00D97C53" w:rsidRPr="00413B87" w:rsidRDefault="00D97C53" w:rsidP="00006626">
      <w:pPr>
        <w:widowControl w:val="0"/>
        <w:autoSpaceDE w:val="0"/>
        <w:autoSpaceDN w:val="0"/>
        <w:adjustRightInd w:val="0"/>
        <w:spacing w:after="0" w:line="360" w:lineRule="auto"/>
        <w:ind w:firstLine="709"/>
        <w:jc w:val="both"/>
        <w:rPr>
          <w:rFonts w:ascii="Times New Roman" w:hAnsi="Times New Roman"/>
          <w:bCs/>
          <w:iCs/>
          <w:sz w:val="28"/>
          <w:szCs w:val="28"/>
          <w:lang w:val="uk-UA" w:eastAsia="uk-UA"/>
        </w:rPr>
      </w:pPr>
    </w:p>
    <w:p w:rsidR="00D97C53" w:rsidRPr="00413B87" w:rsidRDefault="00D97C53" w:rsidP="00D333DA">
      <w:pPr>
        <w:widowControl w:val="0"/>
        <w:autoSpaceDE w:val="0"/>
        <w:autoSpaceDN w:val="0"/>
        <w:adjustRightInd w:val="0"/>
        <w:spacing w:after="0" w:line="360" w:lineRule="auto"/>
        <w:ind w:firstLine="709"/>
        <w:jc w:val="both"/>
        <w:rPr>
          <w:rFonts w:ascii="Times New Roman" w:hAnsi="Times New Roman"/>
          <w:sz w:val="28"/>
          <w:szCs w:val="28"/>
          <w:lang w:val="uk-UA"/>
        </w:rPr>
      </w:pPr>
      <w:r w:rsidRPr="00413B87">
        <w:rPr>
          <w:rFonts w:ascii="Times New Roman" w:hAnsi="Times New Roman"/>
          <w:bCs/>
          <w:iCs/>
          <w:sz w:val="28"/>
          <w:szCs w:val="28"/>
          <w:lang w:val="uk-UA" w:eastAsia="uk-UA"/>
        </w:rPr>
        <w:t>Таблиця</w:t>
      </w:r>
      <w:r w:rsidRPr="00413B87">
        <w:rPr>
          <w:rFonts w:ascii="Times New Roman" w:hAnsi="Times New Roman"/>
          <w:bCs/>
          <w:iCs/>
          <w:noProof/>
          <w:sz w:val="28"/>
          <w:szCs w:val="28"/>
          <w:lang w:val="uk-UA" w:eastAsia="uk-UA"/>
        </w:rPr>
        <w:t xml:space="preserve"> 3 </w:t>
      </w:r>
      <w:r w:rsidRPr="00413B87">
        <w:rPr>
          <w:rFonts w:ascii="Times New Roman" w:hAnsi="Times New Roman"/>
          <w:sz w:val="28"/>
          <w:szCs w:val="28"/>
          <w:lang w:val="uk-UA"/>
        </w:rPr>
        <w:t>Витрати банку за нарахованими процентами при використанні актуарного методу, грн.</w:t>
      </w:r>
    </w:p>
    <w:tbl>
      <w:tblPr>
        <w:tblW w:w="8835" w:type="dxa"/>
        <w:jc w:val="center"/>
        <w:tblLayout w:type="fixed"/>
        <w:tblCellMar>
          <w:left w:w="40" w:type="dxa"/>
          <w:right w:w="40" w:type="dxa"/>
        </w:tblCellMar>
        <w:tblLook w:val="0000" w:firstRow="0" w:lastRow="0" w:firstColumn="0" w:lastColumn="0" w:noHBand="0" w:noVBand="0"/>
      </w:tblPr>
      <w:tblGrid>
        <w:gridCol w:w="2500"/>
        <w:gridCol w:w="1984"/>
        <w:gridCol w:w="2344"/>
        <w:gridCol w:w="2007"/>
      </w:tblGrid>
      <w:tr w:rsidR="00D97C53" w:rsidRPr="00413B87" w:rsidTr="00D333DA">
        <w:trPr>
          <w:trHeight w:hRule="exact" w:val="1054"/>
          <w:jc w:val="center"/>
        </w:trPr>
        <w:tc>
          <w:tcPr>
            <w:tcW w:w="2500"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t>Період (місяць)</w:t>
            </w:r>
          </w:p>
        </w:tc>
        <w:tc>
          <w:tcPr>
            <w:tcW w:w="1984"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t>Нарощена сума депозиту</w:t>
            </w:r>
          </w:p>
        </w:tc>
        <w:tc>
          <w:tcPr>
            <w:tcW w:w="2344"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t>Витрати за процентами</w:t>
            </w:r>
          </w:p>
        </w:tc>
        <w:tc>
          <w:tcPr>
            <w:tcW w:w="2007"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t>Усього</w:t>
            </w:r>
          </w:p>
        </w:tc>
      </w:tr>
      <w:tr w:rsidR="00D97C53" w:rsidRPr="00413B87" w:rsidTr="00D333DA">
        <w:trPr>
          <w:trHeight w:hRule="exact" w:val="300"/>
          <w:jc w:val="center"/>
        </w:trPr>
        <w:tc>
          <w:tcPr>
            <w:tcW w:w="2500"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rPr>
                <w:noProof/>
              </w:rPr>
              <w:t>1-й</w:t>
            </w:r>
          </w:p>
        </w:tc>
        <w:tc>
          <w:tcPr>
            <w:tcW w:w="1984"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t>17000</w:t>
            </w:r>
          </w:p>
        </w:tc>
        <w:tc>
          <w:tcPr>
            <w:tcW w:w="2344"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t>469.2</w:t>
            </w:r>
          </w:p>
        </w:tc>
        <w:tc>
          <w:tcPr>
            <w:tcW w:w="2007"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t>17469,2</w:t>
            </w:r>
          </w:p>
          <w:p w:rsidR="00D97C53" w:rsidRPr="00413B87" w:rsidRDefault="00D97C53" w:rsidP="00D333DA">
            <w:pPr>
              <w:pStyle w:val="11"/>
            </w:pPr>
            <w:r w:rsidRPr="00413B87">
              <w:t>17951</w:t>
            </w:r>
          </w:p>
        </w:tc>
      </w:tr>
      <w:tr w:rsidR="00D97C53" w:rsidRPr="00413B87" w:rsidTr="00D333DA">
        <w:trPr>
          <w:trHeight w:hRule="exact" w:val="300"/>
          <w:jc w:val="center"/>
        </w:trPr>
        <w:tc>
          <w:tcPr>
            <w:tcW w:w="2500"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rPr>
                <w:noProof/>
              </w:rPr>
              <w:t>2-й</w:t>
            </w:r>
          </w:p>
        </w:tc>
        <w:tc>
          <w:tcPr>
            <w:tcW w:w="1984"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t>17469.2</w:t>
            </w:r>
          </w:p>
        </w:tc>
        <w:tc>
          <w:tcPr>
            <w:tcW w:w="2344"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t>482.15</w:t>
            </w:r>
          </w:p>
        </w:tc>
        <w:tc>
          <w:tcPr>
            <w:tcW w:w="2007"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t>17951.35</w:t>
            </w:r>
          </w:p>
          <w:p w:rsidR="00D97C53" w:rsidRPr="00413B87" w:rsidRDefault="00D97C53" w:rsidP="00D333DA">
            <w:pPr>
              <w:pStyle w:val="11"/>
            </w:pPr>
          </w:p>
        </w:tc>
      </w:tr>
      <w:tr w:rsidR="00D97C53" w:rsidRPr="00413B87" w:rsidTr="00D333DA">
        <w:trPr>
          <w:trHeight w:hRule="exact" w:val="300"/>
          <w:jc w:val="center"/>
        </w:trPr>
        <w:tc>
          <w:tcPr>
            <w:tcW w:w="2500"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rPr>
                <w:noProof/>
              </w:rPr>
              <w:t>3-й</w:t>
            </w:r>
          </w:p>
        </w:tc>
        <w:tc>
          <w:tcPr>
            <w:tcW w:w="1984"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t>17951.35</w:t>
            </w:r>
          </w:p>
        </w:tc>
        <w:tc>
          <w:tcPr>
            <w:tcW w:w="2344"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t>495.46</w:t>
            </w:r>
          </w:p>
        </w:tc>
        <w:tc>
          <w:tcPr>
            <w:tcW w:w="2007"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t>18446.81</w:t>
            </w:r>
          </w:p>
        </w:tc>
      </w:tr>
      <w:tr w:rsidR="00D97C53" w:rsidRPr="00413B87" w:rsidTr="00D333DA">
        <w:trPr>
          <w:trHeight w:hRule="exact" w:val="300"/>
          <w:jc w:val="center"/>
        </w:trPr>
        <w:tc>
          <w:tcPr>
            <w:tcW w:w="2500"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rPr>
                <w:noProof/>
              </w:rPr>
              <w:t>4-й</w:t>
            </w:r>
          </w:p>
        </w:tc>
        <w:tc>
          <w:tcPr>
            <w:tcW w:w="1984"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t>18446.81</w:t>
            </w:r>
          </w:p>
        </w:tc>
        <w:tc>
          <w:tcPr>
            <w:tcW w:w="2344"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t>509.13</w:t>
            </w:r>
          </w:p>
        </w:tc>
        <w:tc>
          <w:tcPr>
            <w:tcW w:w="2007"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t>18955.94</w:t>
            </w:r>
          </w:p>
        </w:tc>
      </w:tr>
      <w:tr w:rsidR="00D97C53" w:rsidRPr="00413B87" w:rsidTr="00D333DA">
        <w:trPr>
          <w:trHeight w:hRule="exact" w:val="300"/>
          <w:jc w:val="center"/>
        </w:trPr>
        <w:tc>
          <w:tcPr>
            <w:tcW w:w="2500"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rPr>
                <w:noProof/>
              </w:rPr>
              <w:t>5-й</w:t>
            </w:r>
          </w:p>
        </w:tc>
        <w:tc>
          <w:tcPr>
            <w:tcW w:w="1984"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t>18955.94</w:t>
            </w:r>
          </w:p>
        </w:tc>
        <w:tc>
          <w:tcPr>
            <w:tcW w:w="2344"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t>523.18</w:t>
            </w:r>
          </w:p>
        </w:tc>
        <w:tc>
          <w:tcPr>
            <w:tcW w:w="2007"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t>19479.12</w:t>
            </w:r>
          </w:p>
        </w:tc>
      </w:tr>
      <w:tr w:rsidR="00D97C53" w:rsidRPr="00413B87" w:rsidTr="00D333DA">
        <w:trPr>
          <w:trHeight w:hRule="exact" w:val="300"/>
          <w:jc w:val="center"/>
        </w:trPr>
        <w:tc>
          <w:tcPr>
            <w:tcW w:w="2500"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rPr>
                <w:noProof/>
              </w:rPr>
              <w:t>6-й</w:t>
            </w:r>
          </w:p>
        </w:tc>
        <w:tc>
          <w:tcPr>
            <w:tcW w:w="1984"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t>19479.12</w:t>
            </w:r>
          </w:p>
        </w:tc>
        <w:tc>
          <w:tcPr>
            <w:tcW w:w="2344"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t>537.62</w:t>
            </w:r>
          </w:p>
        </w:tc>
        <w:tc>
          <w:tcPr>
            <w:tcW w:w="2007" w:type="dxa"/>
            <w:tcBorders>
              <w:top w:val="single" w:sz="6" w:space="0" w:color="auto"/>
              <w:left w:val="single" w:sz="6" w:space="0" w:color="auto"/>
              <w:bottom w:val="single" w:sz="6" w:space="0" w:color="auto"/>
              <w:right w:val="single" w:sz="6" w:space="0" w:color="auto"/>
            </w:tcBorders>
            <w:vAlign w:val="center"/>
          </w:tcPr>
          <w:p w:rsidR="00D97C53" w:rsidRPr="00413B87" w:rsidRDefault="00D97C53" w:rsidP="00D333DA">
            <w:pPr>
              <w:pStyle w:val="11"/>
            </w:pPr>
            <w:r w:rsidRPr="00413B87">
              <w:t>20012,9</w:t>
            </w:r>
          </w:p>
          <w:p w:rsidR="00D97C53" w:rsidRPr="00413B87" w:rsidRDefault="00D97C53" w:rsidP="00D333DA">
            <w:pPr>
              <w:pStyle w:val="11"/>
            </w:pPr>
          </w:p>
        </w:tc>
      </w:tr>
    </w:tbl>
    <w:p w:rsidR="00D97C53" w:rsidRPr="00413B87" w:rsidRDefault="00D97C53" w:rsidP="00006626">
      <w:pPr>
        <w:spacing w:after="0" w:line="360" w:lineRule="auto"/>
        <w:ind w:firstLine="709"/>
        <w:jc w:val="both"/>
        <w:rPr>
          <w:rFonts w:ascii="Times New Roman" w:hAnsi="Times New Roman"/>
          <w:sz w:val="28"/>
          <w:szCs w:val="28"/>
          <w:lang w:val="uk-UA" w:eastAsia="ru-RU"/>
        </w:rPr>
      </w:pPr>
    </w:p>
    <w:p w:rsidR="00D97C53" w:rsidRPr="00413B87" w:rsidRDefault="00D97C53" w:rsidP="00006626">
      <w:pPr>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У цьому разі виконуються такі бухгалтерські проводки:</w:t>
      </w:r>
    </w:p>
    <w:p w:rsidR="00D97C53" w:rsidRPr="00413B87" w:rsidRDefault="00D97C53" w:rsidP="00006626">
      <w:pPr>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 xml:space="preserve">- залучення депозиту: </w:t>
      </w:r>
    </w:p>
    <w:p w:rsidR="00D97C53" w:rsidRPr="00413B87" w:rsidRDefault="00D97C53" w:rsidP="00006626">
      <w:pPr>
        <w:spacing w:after="0" w:line="360" w:lineRule="auto"/>
        <w:ind w:firstLine="709"/>
        <w:jc w:val="both"/>
        <w:rPr>
          <w:rFonts w:ascii="Times New Roman" w:hAnsi="Times New Roman"/>
          <w:sz w:val="28"/>
          <w:szCs w:val="28"/>
          <w:lang w:val="uk-UA" w:eastAsia="ru-RU"/>
        </w:rPr>
      </w:pPr>
    </w:p>
    <w:p w:rsidR="00D97C53" w:rsidRPr="00413B87" w:rsidRDefault="00D97C53" w:rsidP="00006626">
      <w:pPr>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Дт 2600 Кт 2630 – 17000 грн.</w:t>
      </w:r>
    </w:p>
    <w:p w:rsidR="00D97C53" w:rsidRPr="00413B87" w:rsidRDefault="00D97C53" w:rsidP="00006626">
      <w:pPr>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 у разі застосування методу рівних частин наприкінці кожного місяця І кварталу банк проводить операцію з нарахування процентів за депозитом:</w:t>
      </w:r>
    </w:p>
    <w:p w:rsidR="00D97C53" w:rsidRPr="00413B87" w:rsidRDefault="00D97C53" w:rsidP="00006626">
      <w:pPr>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Дт 7041 Кт 2638 – 481.7 грн.</w:t>
      </w:r>
    </w:p>
    <w:p w:rsidR="00D97C53" w:rsidRPr="00413B87" w:rsidRDefault="00D97C53" w:rsidP="00006626">
      <w:pPr>
        <w:spacing w:after="0" w:line="360" w:lineRule="auto"/>
        <w:ind w:firstLine="709"/>
        <w:jc w:val="both"/>
        <w:rPr>
          <w:rFonts w:ascii="Times New Roman" w:hAnsi="Times New Roman"/>
          <w:sz w:val="28"/>
          <w:szCs w:val="28"/>
          <w:lang w:val="uk-UA" w:eastAsia="ru-RU"/>
        </w:rPr>
      </w:pPr>
    </w:p>
    <w:p w:rsidR="00D97C53" w:rsidRPr="00413B87" w:rsidRDefault="00D97C53" w:rsidP="00006626">
      <w:pPr>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 у разі застосування актуарного методу до витрат банку щомісяця відносять суми нарахованих процентів, зазначених в таблиці. Протягом 1-го, 2-го, 3-го місяців дії депозитної угоди бухгалтерським проведенням на витрати відносять відповідно 469.2, 482.15, 495.46:</w:t>
      </w:r>
    </w:p>
    <w:p w:rsidR="00D97C53" w:rsidRPr="00413B87" w:rsidRDefault="00D97C53" w:rsidP="00006626">
      <w:pPr>
        <w:spacing w:after="0" w:line="360" w:lineRule="auto"/>
        <w:ind w:firstLine="709"/>
        <w:jc w:val="both"/>
        <w:rPr>
          <w:rFonts w:ascii="Times New Roman" w:hAnsi="Times New Roman"/>
          <w:sz w:val="28"/>
          <w:szCs w:val="28"/>
          <w:lang w:val="uk-UA" w:eastAsia="ru-RU"/>
        </w:rPr>
      </w:pPr>
    </w:p>
    <w:p w:rsidR="00D97C53" w:rsidRPr="00413B87" w:rsidRDefault="00D97C53" w:rsidP="00006626">
      <w:pPr>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Дт 7041 Кт 2638</w:t>
      </w:r>
    </w:p>
    <w:p w:rsidR="00D97C53" w:rsidRPr="00413B87" w:rsidRDefault="00D97C53" w:rsidP="00006626">
      <w:pPr>
        <w:spacing w:after="0" w:line="360" w:lineRule="auto"/>
        <w:ind w:firstLine="709"/>
        <w:jc w:val="both"/>
        <w:rPr>
          <w:rFonts w:ascii="Times New Roman" w:hAnsi="Times New Roman"/>
          <w:sz w:val="28"/>
          <w:szCs w:val="28"/>
          <w:lang w:val="uk-UA" w:eastAsia="ru-RU"/>
        </w:rPr>
      </w:pPr>
    </w:p>
    <w:p w:rsidR="00D97C53" w:rsidRDefault="006F0F04" w:rsidP="00006626">
      <w:pPr>
        <w:pStyle w:val="1"/>
        <w:jc w:val="both"/>
        <w:rPr>
          <w:b w:val="0"/>
          <w:lang w:val="ru-RU"/>
        </w:rPr>
      </w:pPr>
      <w:r>
        <w:rPr>
          <w:b w:val="0"/>
        </w:rPr>
        <w:t>Завдання 2</w:t>
      </w:r>
    </w:p>
    <w:p w:rsidR="006F0F04" w:rsidRPr="006F0F04" w:rsidRDefault="006F0F04" w:rsidP="006F0F04">
      <w:pPr>
        <w:rPr>
          <w:lang w:eastAsia="ru-RU"/>
        </w:rPr>
      </w:pPr>
    </w:p>
    <w:p w:rsidR="00D97C53" w:rsidRPr="00413B87" w:rsidRDefault="00D97C53" w:rsidP="00006626">
      <w:pPr>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Скласти бухгалтерські записи за наведеними операціями банку з купівлі-продажу іноземної валюти за дорученням клієнтів, а саме:</w:t>
      </w:r>
    </w:p>
    <w:p w:rsidR="00D97C53" w:rsidRPr="00413B87" w:rsidRDefault="00D97C53" w:rsidP="00006626">
      <w:pPr>
        <w:numPr>
          <w:ilvl w:val="0"/>
          <w:numId w:val="5"/>
        </w:numPr>
        <w:tabs>
          <w:tab w:val="clear" w:pos="1200"/>
          <w:tab w:val="num" w:pos="0"/>
        </w:tabs>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дол. США</w:t>
      </w:r>
      <w:r w:rsidRPr="00413B87">
        <w:rPr>
          <w:rFonts w:ascii="Times New Roman" w:hAnsi="Times New Roman"/>
          <w:noProof/>
          <w:sz w:val="28"/>
          <w:szCs w:val="28"/>
          <w:lang w:val="uk-UA" w:eastAsia="ru-RU"/>
        </w:rPr>
        <w:t xml:space="preserve"> —</w:t>
      </w:r>
      <w:r w:rsidRPr="00413B87">
        <w:rPr>
          <w:rFonts w:ascii="Times New Roman" w:hAnsi="Times New Roman"/>
          <w:sz w:val="28"/>
          <w:szCs w:val="28"/>
          <w:lang w:val="uk-UA" w:eastAsia="ru-RU"/>
        </w:rPr>
        <w:t xml:space="preserve"> код валюти</w:t>
      </w:r>
      <w:r w:rsidRPr="00413B87">
        <w:rPr>
          <w:rFonts w:ascii="Times New Roman" w:hAnsi="Times New Roman"/>
          <w:noProof/>
          <w:sz w:val="28"/>
          <w:szCs w:val="28"/>
          <w:lang w:val="uk-UA" w:eastAsia="ru-RU"/>
        </w:rPr>
        <w:t xml:space="preserve"> 840;</w:t>
      </w:r>
    </w:p>
    <w:p w:rsidR="00D97C53" w:rsidRPr="00413B87" w:rsidRDefault="006F0F04" w:rsidP="00006626">
      <w:pPr>
        <w:numPr>
          <w:ilvl w:val="0"/>
          <w:numId w:val="5"/>
        </w:numPr>
        <w:tabs>
          <w:tab w:val="clear" w:pos="1200"/>
          <w:tab w:val="num" w:pos="0"/>
        </w:tabs>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євро код</w:t>
      </w:r>
      <w:r w:rsidR="00D97C53" w:rsidRPr="00413B87">
        <w:rPr>
          <w:rFonts w:ascii="Times New Roman" w:hAnsi="Times New Roman"/>
          <w:sz w:val="28"/>
          <w:szCs w:val="28"/>
          <w:lang w:val="uk-UA" w:eastAsia="ru-RU"/>
        </w:rPr>
        <w:t xml:space="preserve"> валюти</w:t>
      </w:r>
      <w:r w:rsidR="00D97C53" w:rsidRPr="00413B87">
        <w:rPr>
          <w:rFonts w:ascii="Times New Roman" w:hAnsi="Times New Roman"/>
          <w:noProof/>
          <w:sz w:val="28"/>
          <w:szCs w:val="28"/>
          <w:lang w:val="uk-UA" w:eastAsia="ru-RU"/>
        </w:rPr>
        <w:t xml:space="preserve"> 280;</w:t>
      </w:r>
    </w:p>
    <w:p w:rsidR="00D97C53" w:rsidRPr="00413B87" w:rsidRDefault="00D97C53" w:rsidP="00006626">
      <w:pPr>
        <w:numPr>
          <w:ilvl w:val="0"/>
          <w:numId w:val="5"/>
        </w:numPr>
        <w:tabs>
          <w:tab w:val="clear" w:pos="1200"/>
          <w:tab w:val="num" w:pos="0"/>
        </w:tabs>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російських рублів</w:t>
      </w:r>
      <w:r w:rsidRPr="00413B87">
        <w:rPr>
          <w:rFonts w:ascii="Times New Roman" w:hAnsi="Times New Roman"/>
          <w:noProof/>
          <w:sz w:val="28"/>
          <w:szCs w:val="28"/>
          <w:lang w:val="uk-UA" w:eastAsia="ru-RU"/>
        </w:rPr>
        <w:t xml:space="preserve"> —</w:t>
      </w:r>
      <w:r w:rsidRPr="00413B87">
        <w:rPr>
          <w:rFonts w:ascii="Times New Roman" w:hAnsi="Times New Roman"/>
          <w:sz w:val="28"/>
          <w:szCs w:val="28"/>
          <w:lang w:val="uk-UA" w:eastAsia="ru-RU"/>
        </w:rPr>
        <w:t xml:space="preserve"> код валюти</w:t>
      </w:r>
      <w:r w:rsidRPr="00413B87">
        <w:rPr>
          <w:rFonts w:ascii="Times New Roman" w:hAnsi="Times New Roman"/>
          <w:noProof/>
          <w:sz w:val="28"/>
          <w:szCs w:val="28"/>
          <w:lang w:val="uk-UA" w:eastAsia="ru-RU"/>
        </w:rPr>
        <w:t xml:space="preserve"> 810;</w:t>
      </w:r>
    </w:p>
    <w:p w:rsidR="00D97C53" w:rsidRPr="00413B87" w:rsidRDefault="00D97C53" w:rsidP="00006626">
      <w:pPr>
        <w:numPr>
          <w:ilvl w:val="0"/>
          <w:numId w:val="5"/>
        </w:numPr>
        <w:tabs>
          <w:tab w:val="clear" w:pos="1200"/>
          <w:tab w:val="num" w:pos="0"/>
        </w:tabs>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українська гривня має код валюти</w:t>
      </w:r>
      <w:r w:rsidRPr="00413B87">
        <w:rPr>
          <w:rFonts w:ascii="Times New Roman" w:hAnsi="Times New Roman"/>
          <w:noProof/>
          <w:sz w:val="28"/>
          <w:szCs w:val="28"/>
          <w:lang w:val="uk-UA" w:eastAsia="ru-RU"/>
        </w:rPr>
        <w:t xml:space="preserve"> 980.</w:t>
      </w:r>
    </w:p>
    <w:p w:rsidR="00D97C53" w:rsidRPr="00413B87" w:rsidRDefault="00D97C53" w:rsidP="00006626">
      <w:pPr>
        <w:spacing w:after="0" w:line="360" w:lineRule="auto"/>
        <w:ind w:firstLine="709"/>
        <w:jc w:val="both"/>
        <w:rPr>
          <w:rFonts w:ascii="Times New Roman" w:hAnsi="Times New Roman"/>
          <w:noProof/>
          <w:sz w:val="28"/>
          <w:szCs w:val="28"/>
          <w:lang w:val="uk-UA" w:eastAsia="ru-RU"/>
        </w:rPr>
      </w:pPr>
      <w:r w:rsidRPr="00413B87">
        <w:rPr>
          <w:rFonts w:ascii="Times New Roman" w:hAnsi="Times New Roman"/>
          <w:sz w:val="28"/>
          <w:szCs w:val="28"/>
          <w:lang w:val="uk-UA" w:eastAsia="ru-RU"/>
        </w:rPr>
        <w:t>На замовлення</w:t>
      </w:r>
      <w:r>
        <w:rPr>
          <w:rFonts w:ascii="Times New Roman" w:hAnsi="Times New Roman"/>
          <w:sz w:val="28"/>
          <w:szCs w:val="28"/>
          <w:lang w:val="uk-UA" w:eastAsia="ru-RU"/>
        </w:rPr>
        <w:t xml:space="preserve"> </w:t>
      </w:r>
      <w:r w:rsidRPr="00413B87">
        <w:rPr>
          <w:rFonts w:ascii="Times New Roman" w:hAnsi="Times New Roman"/>
          <w:sz w:val="28"/>
          <w:szCs w:val="28"/>
          <w:lang w:val="uk-UA" w:eastAsia="ru-RU"/>
        </w:rPr>
        <w:t>клієнта банк А</w:t>
      </w:r>
      <w:r>
        <w:rPr>
          <w:rFonts w:ascii="Times New Roman" w:hAnsi="Times New Roman"/>
          <w:sz w:val="28"/>
          <w:szCs w:val="28"/>
          <w:lang w:val="uk-UA" w:eastAsia="ru-RU"/>
        </w:rPr>
        <w:t xml:space="preserve"> </w:t>
      </w:r>
      <w:r w:rsidRPr="00413B87">
        <w:rPr>
          <w:rFonts w:ascii="Times New Roman" w:hAnsi="Times New Roman"/>
          <w:sz w:val="28"/>
          <w:szCs w:val="28"/>
          <w:lang w:val="uk-UA" w:eastAsia="ru-RU"/>
        </w:rPr>
        <w:t>купує 34000дол. США на УМВБ (курс долара до гривні</w:t>
      </w:r>
      <w:r w:rsidRPr="00413B87">
        <w:rPr>
          <w:rFonts w:ascii="Times New Roman" w:hAnsi="Times New Roman"/>
          <w:noProof/>
          <w:sz w:val="28"/>
          <w:szCs w:val="28"/>
          <w:lang w:val="uk-UA" w:eastAsia="ru-RU"/>
        </w:rPr>
        <w:t>1:3,54).</w:t>
      </w:r>
    </w:p>
    <w:p w:rsidR="00D97C53" w:rsidRDefault="00D97C53" w:rsidP="00006626">
      <w:pPr>
        <w:numPr>
          <w:ilvl w:val="0"/>
          <w:numId w:val="6"/>
        </w:numPr>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Задепонувати гривневу суму на рахунку кредиторської заборгованості</w:t>
      </w:r>
    </w:p>
    <w:p w:rsidR="00D97C53" w:rsidRDefault="00D97C53" w:rsidP="00932C1E">
      <w:pPr>
        <w:spacing w:after="0" w:line="360" w:lineRule="auto"/>
        <w:jc w:val="both"/>
        <w:rPr>
          <w:rFonts w:ascii="Times New Roman" w:hAnsi="Times New Roman"/>
          <w:sz w:val="28"/>
          <w:szCs w:val="28"/>
          <w:lang w:val="uk-UA" w:eastAsia="ru-RU"/>
        </w:rPr>
      </w:pPr>
    </w:p>
    <w:p w:rsidR="00D97C53" w:rsidRDefault="00D97C53" w:rsidP="00932C1E">
      <w:pPr>
        <w:spacing w:after="0" w:line="360" w:lineRule="auto"/>
        <w:ind w:left="709"/>
        <w:jc w:val="both"/>
        <w:rPr>
          <w:rFonts w:ascii="Times New Roman" w:hAnsi="Times New Roman"/>
          <w:sz w:val="28"/>
          <w:szCs w:val="28"/>
          <w:lang w:val="uk-UA" w:eastAsia="ru-RU"/>
        </w:rPr>
      </w:pPr>
      <w:r w:rsidRPr="00413B87">
        <w:rPr>
          <w:rFonts w:ascii="Times New Roman" w:hAnsi="Times New Roman"/>
          <w:sz w:val="28"/>
          <w:szCs w:val="28"/>
          <w:lang w:val="uk-UA" w:eastAsia="ru-RU"/>
        </w:rPr>
        <w:t>Дт 2600 Кт 2900 – 120360 грн.(34000*3,54)</w:t>
      </w:r>
    </w:p>
    <w:p w:rsidR="00D97C53" w:rsidRPr="00413B87" w:rsidRDefault="00D97C53" w:rsidP="00932C1E">
      <w:pPr>
        <w:spacing w:after="0" w:line="360" w:lineRule="auto"/>
        <w:ind w:left="709"/>
        <w:jc w:val="both"/>
        <w:rPr>
          <w:rFonts w:ascii="Times New Roman" w:hAnsi="Times New Roman"/>
          <w:sz w:val="28"/>
          <w:szCs w:val="28"/>
          <w:lang w:val="uk-UA" w:eastAsia="ru-RU"/>
        </w:rPr>
      </w:pPr>
    </w:p>
    <w:p w:rsidR="00D97C53" w:rsidRPr="00413B87" w:rsidRDefault="00D97C53" w:rsidP="00006626">
      <w:pPr>
        <w:numPr>
          <w:ilvl w:val="0"/>
          <w:numId w:val="6"/>
        </w:numPr>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Проплати за операцією з купівлі валюти банк проводитиме зі свого рахунку ностро, який відкрито в АБ «Кліринговий дім». У разі необхідності він забезпечує залишок за рахунком, що необхідний для розрахунку, тобто переказує кошти на поповнення рахунку.</w:t>
      </w:r>
    </w:p>
    <w:p w:rsidR="00D97C53" w:rsidRPr="00413B87" w:rsidRDefault="00D97C53" w:rsidP="00006626">
      <w:pPr>
        <w:pStyle w:val="a5"/>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Дт 1500 Кт 1200-120360грн.</w:t>
      </w:r>
    </w:p>
    <w:p w:rsidR="00D97C53" w:rsidRPr="00413B87" w:rsidRDefault="00D97C53" w:rsidP="00D333DA">
      <w:pPr>
        <w:spacing w:after="0" w:line="360" w:lineRule="auto"/>
        <w:jc w:val="both"/>
        <w:rPr>
          <w:rFonts w:ascii="Times New Roman" w:hAnsi="Times New Roman"/>
          <w:sz w:val="28"/>
          <w:szCs w:val="28"/>
          <w:lang w:val="uk-UA" w:eastAsia="ru-RU"/>
        </w:rPr>
      </w:pPr>
    </w:p>
    <w:p w:rsidR="00D97C53" w:rsidRPr="00413B87" w:rsidRDefault="00D97C53" w:rsidP="00006626">
      <w:pPr>
        <w:numPr>
          <w:ilvl w:val="0"/>
          <w:numId w:val="6"/>
        </w:numPr>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 xml:space="preserve">Після встановлення курсу торгів УМВБ (наприклад USD/UАН </w:t>
      </w:r>
      <w:r w:rsidRPr="00413B87">
        <w:rPr>
          <w:rFonts w:ascii="Times New Roman" w:hAnsi="Times New Roman"/>
          <w:noProof/>
          <w:sz w:val="28"/>
          <w:szCs w:val="28"/>
          <w:lang w:val="uk-UA" w:eastAsia="ru-RU"/>
        </w:rPr>
        <w:t>- 3,3592)</w:t>
      </w:r>
      <w:r w:rsidRPr="00413B87">
        <w:rPr>
          <w:rFonts w:ascii="Times New Roman" w:hAnsi="Times New Roman"/>
          <w:sz w:val="28"/>
          <w:szCs w:val="28"/>
          <w:lang w:val="uk-UA" w:eastAsia="ru-RU"/>
        </w:rPr>
        <w:t xml:space="preserve"> АБ «Кліринговий дім» дебетує кореспондентський рахунок банку А. Відобразити дану операцію за балансом банку А, котрий виконує замовлення клієнта.</w:t>
      </w:r>
    </w:p>
    <w:p w:rsidR="00D97C53" w:rsidRPr="00413B87" w:rsidRDefault="00D97C53" w:rsidP="00D333DA">
      <w:pPr>
        <w:spacing w:after="0" w:line="360" w:lineRule="auto"/>
        <w:ind w:left="709"/>
        <w:jc w:val="both"/>
        <w:rPr>
          <w:rFonts w:ascii="Times New Roman" w:hAnsi="Times New Roman"/>
          <w:sz w:val="28"/>
          <w:szCs w:val="28"/>
          <w:lang w:val="uk-UA" w:eastAsia="ru-RU"/>
        </w:rPr>
      </w:pPr>
    </w:p>
    <w:p w:rsidR="00D97C53" w:rsidRPr="00413B87" w:rsidRDefault="00D97C53" w:rsidP="00D333DA">
      <w:pPr>
        <w:spacing w:after="0" w:line="360" w:lineRule="auto"/>
        <w:ind w:left="709"/>
        <w:jc w:val="both"/>
        <w:rPr>
          <w:rFonts w:ascii="Times New Roman" w:hAnsi="Times New Roman"/>
          <w:sz w:val="28"/>
          <w:szCs w:val="28"/>
          <w:lang w:val="uk-UA" w:eastAsia="ru-RU"/>
        </w:rPr>
      </w:pPr>
      <w:r w:rsidRPr="00413B87">
        <w:rPr>
          <w:rFonts w:ascii="Times New Roman" w:hAnsi="Times New Roman"/>
          <w:sz w:val="28"/>
          <w:szCs w:val="28"/>
          <w:lang w:val="uk-UA" w:eastAsia="ru-RU"/>
        </w:rPr>
        <w:t>Дт 2900 Кт 1500 – 114212,8грн (34000*3,3592)</w:t>
      </w:r>
    </w:p>
    <w:p w:rsidR="00D97C53" w:rsidRPr="00413B87" w:rsidRDefault="00D97C53" w:rsidP="00D333DA">
      <w:pPr>
        <w:spacing w:after="0" w:line="360" w:lineRule="auto"/>
        <w:ind w:left="709"/>
        <w:jc w:val="both"/>
        <w:rPr>
          <w:rFonts w:ascii="Times New Roman" w:hAnsi="Times New Roman"/>
          <w:sz w:val="28"/>
          <w:szCs w:val="28"/>
          <w:lang w:val="uk-UA" w:eastAsia="ru-RU"/>
        </w:rPr>
      </w:pPr>
    </w:p>
    <w:p w:rsidR="00D97C53" w:rsidRPr="00413B87" w:rsidRDefault="00D97C53" w:rsidP="00006626">
      <w:pPr>
        <w:numPr>
          <w:ilvl w:val="0"/>
          <w:numId w:val="6"/>
        </w:numPr>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Крім цього, АБ «Кліринговий дім» стягує комісію в розмірі 0,</w:t>
      </w:r>
      <w:r w:rsidRPr="00413B87">
        <w:rPr>
          <w:rFonts w:ascii="Times New Roman" w:hAnsi="Times New Roman"/>
          <w:noProof/>
          <w:sz w:val="28"/>
          <w:szCs w:val="28"/>
          <w:lang w:val="uk-UA" w:eastAsia="ru-RU"/>
        </w:rPr>
        <w:t>15 %</w:t>
      </w:r>
      <w:r w:rsidRPr="00413B87">
        <w:rPr>
          <w:rFonts w:ascii="Times New Roman" w:hAnsi="Times New Roman"/>
          <w:sz w:val="28"/>
          <w:szCs w:val="28"/>
          <w:lang w:val="uk-UA" w:eastAsia="ru-RU"/>
        </w:rPr>
        <w:t xml:space="preserve"> від суми гривневого еквівалента. Записати зміст цієї операції за балансом банку А бухгалтерським проведенням.</w:t>
      </w:r>
    </w:p>
    <w:p w:rsidR="00D97C53" w:rsidRPr="00413B87" w:rsidRDefault="00D97C53" w:rsidP="00006626">
      <w:pPr>
        <w:spacing w:after="0" w:line="360" w:lineRule="auto"/>
        <w:ind w:firstLine="709"/>
        <w:jc w:val="both"/>
        <w:rPr>
          <w:rFonts w:ascii="Times New Roman" w:hAnsi="Times New Roman"/>
          <w:sz w:val="28"/>
          <w:szCs w:val="28"/>
          <w:lang w:val="uk-UA" w:eastAsia="ru-RU"/>
        </w:rPr>
      </w:pPr>
    </w:p>
    <w:p w:rsidR="00D97C53" w:rsidRPr="00413B87" w:rsidRDefault="00D97C53" w:rsidP="00006626">
      <w:pPr>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Дт 7104 Кт 1500 – 171,32грн (0,0015*114212,8)</w:t>
      </w:r>
    </w:p>
    <w:p w:rsidR="00D97C53" w:rsidRPr="00413B87" w:rsidRDefault="00D97C53" w:rsidP="00006626">
      <w:pPr>
        <w:spacing w:after="0" w:line="360" w:lineRule="auto"/>
        <w:ind w:firstLine="709"/>
        <w:jc w:val="both"/>
        <w:rPr>
          <w:rFonts w:ascii="Times New Roman" w:hAnsi="Times New Roman"/>
          <w:sz w:val="28"/>
          <w:szCs w:val="28"/>
          <w:lang w:val="uk-UA" w:eastAsia="ru-RU"/>
        </w:rPr>
      </w:pPr>
    </w:p>
    <w:p w:rsidR="00D97C53" w:rsidRPr="00413B87" w:rsidRDefault="00D97C53" w:rsidP="00006626">
      <w:pPr>
        <w:numPr>
          <w:ilvl w:val="0"/>
          <w:numId w:val="6"/>
        </w:numPr>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Банк</w:t>
      </w:r>
      <w:r w:rsidRPr="00413B87">
        <w:rPr>
          <w:rFonts w:ascii="Times New Roman" w:hAnsi="Times New Roman"/>
          <w:bCs/>
          <w:sz w:val="28"/>
          <w:szCs w:val="28"/>
          <w:lang w:val="uk-UA" w:eastAsia="ru-RU"/>
        </w:rPr>
        <w:t xml:space="preserve"> А,</w:t>
      </w:r>
      <w:r w:rsidRPr="00413B87">
        <w:rPr>
          <w:rFonts w:ascii="Times New Roman" w:hAnsi="Times New Roman"/>
          <w:sz w:val="28"/>
          <w:szCs w:val="28"/>
          <w:lang w:val="uk-UA" w:eastAsia="ru-RU"/>
        </w:rPr>
        <w:t xml:space="preserve"> у свою чергу, стягує з клієнта комісію за придбання валюти в розмірі</w:t>
      </w:r>
      <w:r w:rsidRPr="00413B87">
        <w:rPr>
          <w:rFonts w:ascii="Times New Roman" w:hAnsi="Times New Roman"/>
          <w:noProof/>
          <w:sz w:val="28"/>
          <w:szCs w:val="28"/>
          <w:lang w:val="uk-UA" w:eastAsia="ru-RU"/>
        </w:rPr>
        <w:t xml:space="preserve"> 0,3 %</w:t>
      </w:r>
    </w:p>
    <w:p w:rsidR="00D97C53" w:rsidRPr="00413B87" w:rsidRDefault="00D97C53" w:rsidP="00006626">
      <w:pPr>
        <w:pStyle w:val="a5"/>
        <w:spacing w:after="0" w:line="360" w:lineRule="auto"/>
        <w:ind w:left="0" w:firstLine="709"/>
        <w:jc w:val="both"/>
        <w:rPr>
          <w:rFonts w:ascii="Times New Roman" w:hAnsi="Times New Roman"/>
          <w:noProof/>
          <w:sz w:val="28"/>
          <w:szCs w:val="28"/>
          <w:lang w:val="uk-UA" w:eastAsia="ru-RU"/>
        </w:rPr>
      </w:pPr>
    </w:p>
    <w:p w:rsidR="00D97C53" w:rsidRPr="00413B87" w:rsidRDefault="00D97C53" w:rsidP="00006626">
      <w:pPr>
        <w:pStyle w:val="a5"/>
        <w:spacing w:after="0" w:line="360" w:lineRule="auto"/>
        <w:ind w:left="0" w:firstLine="709"/>
        <w:jc w:val="both"/>
        <w:rPr>
          <w:rFonts w:ascii="Times New Roman" w:hAnsi="Times New Roman"/>
          <w:noProof/>
          <w:sz w:val="28"/>
          <w:szCs w:val="28"/>
          <w:lang w:val="uk-UA" w:eastAsia="ru-RU"/>
        </w:rPr>
      </w:pPr>
      <w:r w:rsidRPr="00413B87">
        <w:rPr>
          <w:rFonts w:ascii="Times New Roman" w:hAnsi="Times New Roman"/>
          <w:noProof/>
          <w:sz w:val="28"/>
          <w:szCs w:val="28"/>
          <w:lang w:val="uk-UA" w:eastAsia="ru-RU"/>
        </w:rPr>
        <w:t>Дт 2900 Кт 6114 – 342,64 грн (0,003*</w:t>
      </w:r>
      <w:r w:rsidRPr="00413B87">
        <w:rPr>
          <w:rFonts w:ascii="Times New Roman" w:hAnsi="Times New Roman"/>
          <w:sz w:val="28"/>
          <w:szCs w:val="28"/>
          <w:lang w:val="uk-UA" w:eastAsia="ru-RU"/>
        </w:rPr>
        <w:t>114212,8</w:t>
      </w:r>
      <w:r w:rsidRPr="00413B87">
        <w:rPr>
          <w:rFonts w:ascii="Times New Roman" w:hAnsi="Times New Roman"/>
          <w:noProof/>
          <w:sz w:val="28"/>
          <w:szCs w:val="28"/>
          <w:lang w:val="uk-UA" w:eastAsia="ru-RU"/>
        </w:rPr>
        <w:t>)</w:t>
      </w:r>
    </w:p>
    <w:p w:rsidR="00D97C53" w:rsidRPr="00413B87" w:rsidRDefault="00D97C53" w:rsidP="00006626">
      <w:pPr>
        <w:pStyle w:val="a5"/>
        <w:spacing w:after="0" w:line="360" w:lineRule="auto"/>
        <w:ind w:left="0" w:firstLine="709"/>
        <w:jc w:val="both"/>
        <w:rPr>
          <w:rFonts w:ascii="Times New Roman" w:hAnsi="Times New Roman"/>
          <w:noProof/>
          <w:sz w:val="28"/>
          <w:szCs w:val="28"/>
          <w:lang w:val="uk-UA" w:eastAsia="ru-RU"/>
        </w:rPr>
      </w:pPr>
    </w:p>
    <w:p w:rsidR="00D97C53" w:rsidRPr="00413B87" w:rsidRDefault="00D97C53" w:rsidP="00006626">
      <w:pPr>
        <w:numPr>
          <w:ilvl w:val="0"/>
          <w:numId w:val="6"/>
        </w:numPr>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Залишок невикористаних коштів у національній валюті банк А зараховує на поточний рахунок клієнта: Дт 2900 Кт 2600 – 119846,04 (120360-171,32-342,64)</w:t>
      </w:r>
    </w:p>
    <w:p w:rsidR="00D97C53" w:rsidRPr="00413B87" w:rsidRDefault="00D97C53" w:rsidP="00006626">
      <w:pPr>
        <w:numPr>
          <w:ilvl w:val="0"/>
          <w:numId w:val="6"/>
        </w:numPr>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У день торгів (для доларів США) або наступного банківського дня (для інших валют) АБ «Кліринговий дім» перераховує банку А куплену валюту на його кореспондентський рахунок. Надходження валюти відобразити проведенням: Дт 1500 Кт 2600 – 34000 дол.</w:t>
      </w:r>
    </w:p>
    <w:p w:rsidR="00D97C53" w:rsidRPr="00413B87" w:rsidRDefault="00D97C53" w:rsidP="00006626">
      <w:pPr>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Продаж на УМВБ</w:t>
      </w:r>
      <w:r w:rsidRPr="00413B87">
        <w:rPr>
          <w:rFonts w:ascii="Times New Roman" w:hAnsi="Times New Roman"/>
          <w:noProof/>
          <w:sz w:val="28"/>
          <w:szCs w:val="28"/>
          <w:lang w:val="uk-UA" w:eastAsia="ru-RU"/>
        </w:rPr>
        <w:t>Х</w:t>
      </w:r>
      <w:r w:rsidRPr="00413B87">
        <w:rPr>
          <w:rFonts w:ascii="Times New Roman" w:hAnsi="Times New Roman"/>
          <w:sz w:val="28"/>
          <w:szCs w:val="28"/>
          <w:lang w:val="uk-UA" w:eastAsia="ru-RU"/>
        </w:rPr>
        <w:t xml:space="preserve"> дол. США за дорученням клієнта:</w:t>
      </w:r>
    </w:p>
    <w:p w:rsidR="00D97C53" w:rsidRPr="00413B87" w:rsidRDefault="00D97C53" w:rsidP="00006626">
      <w:pPr>
        <w:numPr>
          <w:ilvl w:val="0"/>
          <w:numId w:val="7"/>
        </w:numPr>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Згідно із заявою клієнта валюта, що призначена на продаж, списується з валютного</w:t>
      </w:r>
      <w:r>
        <w:rPr>
          <w:rFonts w:ascii="Times New Roman" w:hAnsi="Times New Roman"/>
          <w:sz w:val="28"/>
          <w:szCs w:val="28"/>
          <w:lang w:val="uk-UA" w:eastAsia="ru-RU"/>
        </w:rPr>
        <w:t xml:space="preserve"> </w:t>
      </w:r>
      <w:r w:rsidRPr="00413B87">
        <w:rPr>
          <w:rFonts w:ascii="Times New Roman" w:hAnsi="Times New Roman"/>
          <w:sz w:val="28"/>
          <w:szCs w:val="28"/>
          <w:lang w:val="uk-UA" w:eastAsia="ru-RU"/>
        </w:rPr>
        <w:t>рахунку</w:t>
      </w:r>
      <w:r>
        <w:rPr>
          <w:rFonts w:ascii="Times New Roman" w:hAnsi="Times New Roman"/>
          <w:sz w:val="28"/>
          <w:szCs w:val="28"/>
          <w:lang w:val="uk-UA" w:eastAsia="ru-RU"/>
        </w:rPr>
        <w:t xml:space="preserve"> </w:t>
      </w:r>
      <w:r w:rsidRPr="00413B87">
        <w:rPr>
          <w:rFonts w:ascii="Times New Roman" w:hAnsi="Times New Roman"/>
          <w:sz w:val="28"/>
          <w:szCs w:val="28"/>
          <w:lang w:val="uk-UA" w:eastAsia="ru-RU"/>
        </w:rPr>
        <w:t>клієнта: Дт 2600 Кт 2900 – 34000 дол.</w:t>
      </w:r>
    </w:p>
    <w:p w:rsidR="00D97C53" w:rsidRPr="00413B87" w:rsidRDefault="00D97C53" w:rsidP="00006626">
      <w:pPr>
        <w:numPr>
          <w:ilvl w:val="0"/>
          <w:numId w:val="7"/>
        </w:numPr>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У день торгів банк перераховує</w:t>
      </w:r>
      <w:r>
        <w:rPr>
          <w:rFonts w:ascii="Times New Roman" w:hAnsi="Times New Roman"/>
          <w:sz w:val="28"/>
          <w:szCs w:val="28"/>
          <w:lang w:val="uk-UA" w:eastAsia="ru-RU"/>
        </w:rPr>
        <w:t xml:space="preserve"> </w:t>
      </w:r>
      <w:r w:rsidRPr="00413B87">
        <w:rPr>
          <w:rFonts w:ascii="Times New Roman" w:hAnsi="Times New Roman"/>
          <w:sz w:val="28"/>
          <w:szCs w:val="28"/>
          <w:lang w:val="uk-UA" w:eastAsia="ru-RU"/>
        </w:rPr>
        <w:t>валютні</w:t>
      </w:r>
      <w:r>
        <w:rPr>
          <w:rFonts w:ascii="Times New Roman" w:hAnsi="Times New Roman"/>
          <w:sz w:val="28"/>
          <w:szCs w:val="28"/>
          <w:lang w:val="uk-UA" w:eastAsia="ru-RU"/>
        </w:rPr>
        <w:t xml:space="preserve"> </w:t>
      </w:r>
      <w:r w:rsidRPr="00413B87">
        <w:rPr>
          <w:rFonts w:ascii="Times New Roman" w:hAnsi="Times New Roman"/>
          <w:sz w:val="28"/>
          <w:szCs w:val="28"/>
          <w:lang w:val="uk-UA" w:eastAsia="ru-RU"/>
        </w:rPr>
        <w:t>кошти на кореспондентський рахунок АБ «Кліринговий дім» у зарубіжному банку-кореспонденті. Записи в бухгалтерському обліку виконуються за датою валютування:</w:t>
      </w:r>
    </w:p>
    <w:p w:rsidR="00D97C53" w:rsidRDefault="00D97C53" w:rsidP="001A0C26">
      <w:pPr>
        <w:spacing w:after="0" w:line="360" w:lineRule="auto"/>
        <w:ind w:left="709"/>
        <w:jc w:val="both"/>
        <w:rPr>
          <w:rFonts w:ascii="Times New Roman" w:hAnsi="Times New Roman"/>
          <w:sz w:val="28"/>
          <w:szCs w:val="28"/>
          <w:lang w:val="uk-UA" w:eastAsia="ru-RU"/>
        </w:rPr>
      </w:pPr>
    </w:p>
    <w:p w:rsidR="00D97C53" w:rsidRPr="00413B87" w:rsidRDefault="00D97C53" w:rsidP="001A0C26">
      <w:pPr>
        <w:spacing w:after="0" w:line="360" w:lineRule="auto"/>
        <w:ind w:left="709"/>
        <w:jc w:val="both"/>
        <w:rPr>
          <w:rFonts w:ascii="Times New Roman" w:hAnsi="Times New Roman"/>
          <w:sz w:val="28"/>
          <w:szCs w:val="28"/>
          <w:lang w:val="uk-UA" w:eastAsia="ru-RU"/>
        </w:rPr>
      </w:pPr>
      <w:r w:rsidRPr="00413B87">
        <w:rPr>
          <w:rFonts w:ascii="Times New Roman" w:hAnsi="Times New Roman"/>
          <w:sz w:val="28"/>
          <w:szCs w:val="28"/>
          <w:lang w:val="uk-UA" w:eastAsia="ru-RU"/>
        </w:rPr>
        <w:t>Дт 2900 Кт 1500 – 34000 дол.</w:t>
      </w:r>
    </w:p>
    <w:p w:rsidR="00D97C53" w:rsidRPr="00413B87" w:rsidRDefault="00D97C53" w:rsidP="001A0C26">
      <w:pPr>
        <w:spacing w:after="0" w:line="360" w:lineRule="auto"/>
        <w:ind w:left="709"/>
        <w:jc w:val="both"/>
        <w:rPr>
          <w:rFonts w:ascii="Times New Roman" w:hAnsi="Times New Roman"/>
          <w:sz w:val="28"/>
          <w:szCs w:val="28"/>
          <w:lang w:val="uk-UA" w:eastAsia="ru-RU"/>
        </w:rPr>
      </w:pPr>
    </w:p>
    <w:p w:rsidR="00D97C53" w:rsidRPr="00413B87" w:rsidRDefault="00D97C53" w:rsidP="00006626">
      <w:pPr>
        <w:numPr>
          <w:ilvl w:val="0"/>
          <w:numId w:val="7"/>
        </w:numPr>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У день торгів УМВБ стягує з учасників операції продажу валюти</w:t>
      </w:r>
      <w:r w:rsidRPr="00413B87">
        <w:rPr>
          <w:rFonts w:ascii="Times New Roman" w:hAnsi="Times New Roman"/>
          <w:noProof/>
          <w:sz w:val="28"/>
          <w:szCs w:val="28"/>
          <w:lang w:val="uk-UA" w:eastAsia="ru-RU"/>
        </w:rPr>
        <w:t xml:space="preserve"> 0,15 %</w:t>
      </w:r>
      <w:r w:rsidRPr="00413B87">
        <w:rPr>
          <w:rFonts w:ascii="Times New Roman" w:hAnsi="Times New Roman"/>
          <w:sz w:val="28"/>
          <w:szCs w:val="28"/>
          <w:lang w:val="uk-UA" w:eastAsia="ru-RU"/>
        </w:rPr>
        <w:t xml:space="preserve"> гривневого еквівалента проданої валюти (курс, установлений на торгах</w:t>
      </w:r>
      <w:r w:rsidRPr="00413B87">
        <w:rPr>
          <w:rFonts w:ascii="Times New Roman" w:hAnsi="Times New Roman"/>
          <w:noProof/>
          <w:sz w:val="28"/>
          <w:szCs w:val="28"/>
          <w:lang w:val="uk-UA" w:eastAsia="ru-RU"/>
        </w:rPr>
        <w:t>- 5,6598</w:t>
      </w:r>
      <w:r w:rsidRPr="00413B87">
        <w:rPr>
          <w:rFonts w:ascii="Times New Roman" w:hAnsi="Times New Roman"/>
          <w:sz w:val="28"/>
          <w:szCs w:val="28"/>
          <w:lang w:val="uk-UA" w:eastAsia="ru-RU"/>
        </w:rPr>
        <w:t>USD/UАН). АБ «Кліринговий дім» списує, у свою чергу, відповідну суму комісії з кореспондентського рахунку банку</w:t>
      </w:r>
    </w:p>
    <w:p w:rsidR="00D97C53" w:rsidRPr="00413B87" w:rsidRDefault="00D97C53" w:rsidP="00006626">
      <w:pPr>
        <w:tabs>
          <w:tab w:val="num" w:pos="0"/>
        </w:tabs>
        <w:spacing w:after="0" w:line="360" w:lineRule="auto"/>
        <w:ind w:firstLine="709"/>
        <w:jc w:val="both"/>
        <w:rPr>
          <w:rFonts w:ascii="Times New Roman" w:hAnsi="Times New Roman"/>
          <w:sz w:val="28"/>
          <w:szCs w:val="28"/>
          <w:lang w:val="uk-UA" w:eastAsia="ru-RU"/>
        </w:rPr>
      </w:pPr>
    </w:p>
    <w:p w:rsidR="00D97C53" w:rsidRPr="00413B87" w:rsidRDefault="00D97C53" w:rsidP="00006626">
      <w:pPr>
        <w:tabs>
          <w:tab w:val="num" w:pos="0"/>
        </w:tabs>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ДтКт – 288,65грн (34000*5,6598*0,0015)</w:t>
      </w:r>
    </w:p>
    <w:p w:rsidR="00D97C53" w:rsidRPr="00413B87" w:rsidRDefault="00D97C53" w:rsidP="00006626">
      <w:pPr>
        <w:tabs>
          <w:tab w:val="num" w:pos="0"/>
        </w:tabs>
        <w:spacing w:after="0" w:line="360" w:lineRule="auto"/>
        <w:ind w:firstLine="709"/>
        <w:jc w:val="both"/>
        <w:rPr>
          <w:rFonts w:ascii="Times New Roman" w:hAnsi="Times New Roman"/>
          <w:sz w:val="28"/>
          <w:szCs w:val="28"/>
          <w:lang w:val="uk-UA" w:eastAsia="ru-RU"/>
        </w:rPr>
      </w:pPr>
    </w:p>
    <w:p w:rsidR="00D97C53" w:rsidRPr="00413B87" w:rsidRDefault="00D97C53" w:rsidP="00006626">
      <w:pPr>
        <w:numPr>
          <w:ilvl w:val="0"/>
          <w:numId w:val="7"/>
        </w:numPr>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Наступного дня після зарахування проданої валюти на кореспондентський рахунок АБ «Кліринговий дім» за результатами торгів виконуються розрахунки в національній валюті</w:t>
      </w:r>
    </w:p>
    <w:p w:rsidR="00D97C53" w:rsidRPr="00413B87" w:rsidRDefault="00D97C53" w:rsidP="00006626">
      <w:pPr>
        <w:pStyle w:val="a5"/>
        <w:tabs>
          <w:tab w:val="num" w:pos="0"/>
        </w:tabs>
        <w:spacing w:after="0" w:line="360" w:lineRule="auto"/>
        <w:ind w:left="0" w:firstLine="709"/>
        <w:jc w:val="both"/>
        <w:rPr>
          <w:rFonts w:ascii="Times New Roman" w:hAnsi="Times New Roman"/>
          <w:sz w:val="28"/>
          <w:szCs w:val="28"/>
          <w:lang w:val="uk-UA" w:eastAsia="ru-RU"/>
        </w:rPr>
      </w:pPr>
    </w:p>
    <w:p w:rsidR="00D97C53" w:rsidRPr="00413B87" w:rsidRDefault="00D97C53" w:rsidP="00006626">
      <w:pPr>
        <w:pStyle w:val="a5"/>
        <w:tabs>
          <w:tab w:val="num" w:pos="0"/>
        </w:tabs>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Дт 1500 Кт 2900 – 6007,28 грн. (34000/5,6598)</w:t>
      </w:r>
    </w:p>
    <w:p w:rsidR="00D97C53" w:rsidRPr="00413B87" w:rsidRDefault="00D97C53" w:rsidP="00006626">
      <w:pPr>
        <w:pStyle w:val="a5"/>
        <w:tabs>
          <w:tab w:val="num" w:pos="0"/>
        </w:tabs>
        <w:spacing w:after="0" w:line="360" w:lineRule="auto"/>
        <w:ind w:left="0" w:firstLine="709"/>
        <w:jc w:val="both"/>
        <w:rPr>
          <w:rFonts w:ascii="Times New Roman" w:hAnsi="Times New Roman"/>
          <w:sz w:val="28"/>
          <w:szCs w:val="28"/>
          <w:lang w:val="uk-UA" w:eastAsia="ru-RU"/>
        </w:rPr>
      </w:pPr>
    </w:p>
    <w:p w:rsidR="00D97C53" w:rsidRPr="00413B87" w:rsidRDefault="00D97C53" w:rsidP="00006626">
      <w:pPr>
        <w:numPr>
          <w:ilvl w:val="0"/>
          <w:numId w:val="7"/>
        </w:numPr>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Банк стягує комісію в розмірі</w:t>
      </w:r>
      <w:r w:rsidRPr="00413B87">
        <w:rPr>
          <w:rFonts w:ascii="Times New Roman" w:hAnsi="Times New Roman"/>
          <w:noProof/>
          <w:sz w:val="28"/>
          <w:szCs w:val="28"/>
          <w:lang w:val="uk-UA" w:eastAsia="ru-RU"/>
        </w:rPr>
        <w:t xml:space="preserve"> 0,2 %</w:t>
      </w:r>
      <w:r w:rsidRPr="00413B87">
        <w:rPr>
          <w:rFonts w:ascii="Times New Roman" w:hAnsi="Times New Roman"/>
          <w:sz w:val="28"/>
          <w:szCs w:val="28"/>
          <w:lang w:val="uk-UA" w:eastAsia="ru-RU"/>
        </w:rPr>
        <w:t xml:space="preserve"> з продавців валюти</w:t>
      </w:r>
    </w:p>
    <w:p w:rsidR="00D97C53" w:rsidRPr="00413B87" w:rsidRDefault="00D97C53" w:rsidP="00006626">
      <w:pPr>
        <w:pStyle w:val="a5"/>
        <w:tabs>
          <w:tab w:val="num" w:pos="0"/>
        </w:tabs>
        <w:spacing w:after="0" w:line="360" w:lineRule="auto"/>
        <w:ind w:left="0" w:firstLine="709"/>
        <w:jc w:val="both"/>
        <w:rPr>
          <w:rFonts w:ascii="Times New Roman" w:hAnsi="Times New Roman"/>
          <w:sz w:val="28"/>
          <w:szCs w:val="28"/>
          <w:lang w:val="uk-UA" w:eastAsia="ru-RU"/>
        </w:rPr>
      </w:pPr>
    </w:p>
    <w:p w:rsidR="00D97C53" w:rsidRPr="00413B87" w:rsidRDefault="00D97C53" w:rsidP="00006626">
      <w:pPr>
        <w:pStyle w:val="a5"/>
        <w:tabs>
          <w:tab w:val="num" w:pos="0"/>
        </w:tabs>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Дт 2900 Кт 6114 – 12,01 грн. (0,002*6007,28)</w:t>
      </w:r>
    </w:p>
    <w:p w:rsidR="00D97C53" w:rsidRPr="00413B87" w:rsidRDefault="00D97C53" w:rsidP="00006626">
      <w:pPr>
        <w:pStyle w:val="a5"/>
        <w:tabs>
          <w:tab w:val="num" w:pos="0"/>
        </w:tabs>
        <w:spacing w:after="0" w:line="360" w:lineRule="auto"/>
        <w:ind w:left="0" w:firstLine="709"/>
        <w:jc w:val="both"/>
        <w:rPr>
          <w:rFonts w:ascii="Times New Roman" w:hAnsi="Times New Roman"/>
          <w:sz w:val="28"/>
          <w:szCs w:val="28"/>
          <w:lang w:val="uk-UA" w:eastAsia="ru-RU"/>
        </w:rPr>
      </w:pPr>
    </w:p>
    <w:p w:rsidR="00D97C53" w:rsidRPr="00413B87" w:rsidRDefault="00D97C53" w:rsidP="00006626">
      <w:pPr>
        <w:numPr>
          <w:ilvl w:val="0"/>
          <w:numId w:val="7"/>
        </w:numPr>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Банк перераховує гривневий еквівалент проданої валюти за вирахуванням комісії</w:t>
      </w:r>
      <w:r w:rsidRPr="00413B87">
        <w:rPr>
          <w:rFonts w:ascii="Times New Roman" w:hAnsi="Times New Roman"/>
          <w:noProof/>
          <w:sz w:val="28"/>
          <w:szCs w:val="28"/>
          <w:lang w:val="uk-UA" w:eastAsia="ru-RU"/>
        </w:rPr>
        <w:t xml:space="preserve"> (0,2 %)</w:t>
      </w:r>
      <w:r w:rsidRPr="00413B87">
        <w:rPr>
          <w:rFonts w:ascii="Times New Roman" w:hAnsi="Times New Roman"/>
          <w:sz w:val="28"/>
          <w:szCs w:val="28"/>
          <w:lang w:val="uk-UA" w:eastAsia="ru-RU"/>
        </w:rPr>
        <w:t xml:space="preserve"> на поточний рахунок клієнта-продавця валюти</w:t>
      </w:r>
    </w:p>
    <w:p w:rsidR="00D97C53" w:rsidRPr="00413B87" w:rsidRDefault="00D97C53" w:rsidP="00006626">
      <w:pPr>
        <w:pStyle w:val="a5"/>
        <w:tabs>
          <w:tab w:val="num" w:pos="0"/>
        </w:tabs>
        <w:spacing w:after="0" w:line="360" w:lineRule="auto"/>
        <w:ind w:left="0" w:firstLine="709"/>
        <w:jc w:val="both"/>
        <w:rPr>
          <w:rFonts w:ascii="Times New Roman" w:hAnsi="Times New Roman"/>
          <w:sz w:val="28"/>
          <w:szCs w:val="28"/>
          <w:lang w:val="uk-UA" w:eastAsia="ru-RU"/>
        </w:rPr>
      </w:pPr>
    </w:p>
    <w:p w:rsidR="00D97C53" w:rsidRPr="00413B87" w:rsidRDefault="00D97C53" w:rsidP="00006626">
      <w:pPr>
        <w:pStyle w:val="a5"/>
        <w:tabs>
          <w:tab w:val="num" w:pos="0"/>
        </w:tabs>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Дт 2900 Кт 2600 – 5995,27 грн (6007,28-12,01)</w:t>
      </w:r>
    </w:p>
    <w:p w:rsidR="00D97C53" w:rsidRDefault="00D97C53" w:rsidP="00006626">
      <w:pPr>
        <w:spacing w:after="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br w:type="page"/>
      </w:r>
      <w:r w:rsidR="006F0F04">
        <w:rPr>
          <w:rFonts w:ascii="Times New Roman" w:hAnsi="Times New Roman"/>
          <w:sz w:val="28"/>
          <w:szCs w:val="28"/>
          <w:lang w:val="uk-UA" w:eastAsia="ru-RU"/>
        </w:rPr>
        <w:t>Завдання 3</w:t>
      </w:r>
    </w:p>
    <w:p w:rsidR="006F0F04" w:rsidRDefault="006F0F04" w:rsidP="00006626">
      <w:pPr>
        <w:spacing w:after="0" w:line="360" w:lineRule="auto"/>
        <w:ind w:firstLine="709"/>
        <w:jc w:val="both"/>
        <w:rPr>
          <w:rFonts w:ascii="Times New Roman" w:hAnsi="Times New Roman"/>
          <w:sz w:val="28"/>
          <w:szCs w:val="28"/>
          <w:lang w:val="uk-UA" w:eastAsia="ru-RU"/>
        </w:rPr>
      </w:pPr>
    </w:p>
    <w:p w:rsidR="00D97C53" w:rsidRPr="00413B87" w:rsidRDefault="00D97C53" w:rsidP="00006626">
      <w:pPr>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Скласти бухгалтерські записи за наведеними операціями банку з купівлі акцій:</w:t>
      </w:r>
    </w:p>
    <w:p w:rsidR="00D97C53" w:rsidRPr="00413B87" w:rsidRDefault="00D97C53" w:rsidP="00006626">
      <w:pPr>
        <w:numPr>
          <w:ilvl w:val="0"/>
          <w:numId w:val="8"/>
        </w:numPr>
        <w:tabs>
          <w:tab w:val="num" w:pos="1080"/>
        </w:tabs>
        <w:spacing w:after="0" w:line="360" w:lineRule="auto"/>
        <w:ind w:left="0" w:firstLine="709"/>
        <w:jc w:val="both"/>
        <w:rPr>
          <w:rFonts w:ascii="Times New Roman" w:hAnsi="Times New Roman"/>
          <w:sz w:val="28"/>
          <w:szCs w:val="28"/>
          <w:lang w:val="uk-UA" w:eastAsia="ru-RU"/>
        </w:rPr>
      </w:pPr>
      <w:r w:rsidRPr="00413B87">
        <w:rPr>
          <w:rFonts w:ascii="Times New Roman" w:hAnsi="Times New Roman"/>
          <w:noProof/>
          <w:sz w:val="28"/>
          <w:szCs w:val="28"/>
          <w:lang w:val="uk-UA" w:eastAsia="ru-RU"/>
        </w:rPr>
        <w:t>1</w:t>
      </w:r>
      <w:r w:rsidRPr="00413B87">
        <w:rPr>
          <w:rFonts w:ascii="Times New Roman" w:hAnsi="Times New Roman"/>
          <w:sz w:val="28"/>
          <w:szCs w:val="28"/>
          <w:lang w:val="uk-UA" w:eastAsia="ru-RU"/>
        </w:rPr>
        <w:t>.12.</w:t>
      </w:r>
      <w:r w:rsidRPr="00413B87">
        <w:rPr>
          <w:rFonts w:ascii="Times New Roman" w:hAnsi="Times New Roman"/>
          <w:noProof/>
          <w:sz w:val="28"/>
          <w:szCs w:val="28"/>
          <w:lang w:val="uk-UA" w:eastAsia="ru-RU"/>
        </w:rPr>
        <w:t>1998</w:t>
      </w:r>
      <w:r w:rsidRPr="00413B87">
        <w:rPr>
          <w:rFonts w:ascii="Times New Roman" w:hAnsi="Times New Roman"/>
          <w:sz w:val="28"/>
          <w:szCs w:val="28"/>
          <w:lang w:val="uk-UA" w:eastAsia="ru-RU"/>
        </w:rPr>
        <w:t xml:space="preserve">р. банк «Новий» придбав </w:t>
      </w:r>
      <w:r w:rsidRPr="00413B87">
        <w:rPr>
          <w:rFonts w:ascii="Times New Roman" w:hAnsi="Times New Roman"/>
          <w:noProof/>
          <w:sz w:val="28"/>
          <w:szCs w:val="28"/>
          <w:lang w:val="uk-UA" w:eastAsia="ru-RU"/>
        </w:rPr>
        <w:t xml:space="preserve">5100 </w:t>
      </w:r>
      <w:r w:rsidRPr="00413B87">
        <w:rPr>
          <w:rFonts w:ascii="Times New Roman" w:hAnsi="Times New Roman"/>
          <w:sz w:val="28"/>
          <w:szCs w:val="28"/>
          <w:lang w:val="uk-UA" w:eastAsia="ru-RU"/>
        </w:rPr>
        <w:t>акцій ВАТ «Укррічфлот», сплативши за них12,09:</w:t>
      </w:r>
    </w:p>
    <w:p w:rsidR="00D97C53" w:rsidRDefault="00D97C53" w:rsidP="00006626">
      <w:pPr>
        <w:spacing w:after="0" w:line="360" w:lineRule="auto"/>
        <w:ind w:firstLine="709"/>
        <w:jc w:val="both"/>
        <w:rPr>
          <w:rFonts w:ascii="Times New Roman" w:hAnsi="Times New Roman"/>
          <w:sz w:val="28"/>
          <w:szCs w:val="28"/>
          <w:lang w:val="uk-UA" w:eastAsia="ru-RU"/>
        </w:rPr>
      </w:pPr>
    </w:p>
    <w:p w:rsidR="00D97C53" w:rsidRPr="00413B87" w:rsidRDefault="00D97C53" w:rsidP="00006626">
      <w:pPr>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Дт 3105 Кт 1200 – 61659 грн.</w:t>
      </w:r>
    </w:p>
    <w:p w:rsidR="00D97C53" w:rsidRPr="00413B87" w:rsidRDefault="00D97C53" w:rsidP="00006626">
      <w:pPr>
        <w:spacing w:after="0" w:line="360" w:lineRule="auto"/>
        <w:ind w:firstLine="709"/>
        <w:jc w:val="both"/>
        <w:rPr>
          <w:rFonts w:ascii="Times New Roman" w:hAnsi="Times New Roman"/>
          <w:sz w:val="28"/>
          <w:szCs w:val="28"/>
          <w:lang w:val="uk-UA" w:eastAsia="ru-RU"/>
        </w:rPr>
      </w:pPr>
    </w:p>
    <w:p w:rsidR="00D97C53" w:rsidRPr="00413B87" w:rsidRDefault="00D97C53" w:rsidP="00006626">
      <w:pPr>
        <w:numPr>
          <w:ilvl w:val="0"/>
          <w:numId w:val="8"/>
        </w:numPr>
        <w:tabs>
          <w:tab w:val="num" w:pos="1080"/>
        </w:tabs>
        <w:spacing w:after="0" w:line="360" w:lineRule="auto"/>
        <w:ind w:left="0" w:firstLine="709"/>
        <w:jc w:val="both"/>
        <w:rPr>
          <w:rFonts w:ascii="Times New Roman" w:hAnsi="Times New Roman"/>
          <w:sz w:val="28"/>
          <w:szCs w:val="28"/>
          <w:lang w:val="uk-UA" w:eastAsia="ru-RU"/>
        </w:rPr>
      </w:pPr>
      <w:r w:rsidRPr="00413B87">
        <w:rPr>
          <w:rFonts w:ascii="Times New Roman" w:hAnsi="Times New Roman"/>
          <w:noProof/>
          <w:sz w:val="28"/>
          <w:szCs w:val="28"/>
          <w:lang w:val="uk-UA" w:eastAsia="ru-RU"/>
        </w:rPr>
        <w:t xml:space="preserve">31 </w:t>
      </w:r>
      <w:r w:rsidRPr="00413B87">
        <w:rPr>
          <w:rFonts w:ascii="Times New Roman" w:hAnsi="Times New Roman"/>
          <w:sz w:val="28"/>
          <w:szCs w:val="28"/>
          <w:lang w:val="uk-UA" w:eastAsia="ru-RU"/>
        </w:rPr>
        <w:t>грудня цього самого року поточна ринкова вартість зросла до</w:t>
      </w:r>
      <w:r w:rsidRPr="00413B87">
        <w:rPr>
          <w:rFonts w:ascii="Times New Roman" w:hAnsi="Times New Roman"/>
          <w:noProof/>
          <w:sz w:val="28"/>
          <w:szCs w:val="28"/>
          <w:lang w:val="uk-UA" w:eastAsia="ru-RU"/>
        </w:rPr>
        <w:t xml:space="preserve"> 13</w:t>
      </w:r>
      <w:r w:rsidRPr="00413B87">
        <w:rPr>
          <w:rFonts w:ascii="Times New Roman" w:hAnsi="Times New Roman"/>
          <w:sz w:val="28"/>
          <w:szCs w:val="28"/>
          <w:lang w:val="uk-UA" w:eastAsia="ru-RU"/>
        </w:rPr>
        <w:t xml:space="preserve"> грн. за акцію. В обліку дана ситуація не відображається.</w:t>
      </w:r>
    </w:p>
    <w:p w:rsidR="00D97C53" w:rsidRPr="00413B87" w:rsidRDefault="00D97C53" w:rsidP="00006626">
      <w:pPr>
        <w:numPr>
          <w:ilvl w:val="0"/>
          <w:numId w:val="8"/>
        </w:numPr>
        <w:tabs>
          <w:tab w:val="num" w:pos="1080"/>
        </w:tabs>
        <w:spacing w:after="0" w:line="360" w:lineRule="auto"/>
        <w:ind w:left="0" w:firstLine="709"/>
        <w:jc w:val="both"/>
        <w:rPr>
          <w:rFonts w:ascii="Times New Roman" w:hAnsi="Times New Roman"/>
          <w:sz w:val="28"/>
          <w:szCs w:val="28"/>
          <w:lang w:val="uk-UA" w:eastAsia="ru-RU"/>
        </w:rPr>
      </w:pPr>
      <w:r w:rsidRPr="00413B87">
        <w:rPr>
          <w:rFonts w:ascii="Times New Roman" w:hAnsi="Times New Roman"/>
          <w:noProof/>
          <w:sz w:val="28"/>
          <w:szCs w:val="28"/>
          <w:lang w:val="uk-UA" w:eastAsia="ru-RU"/>
        </w:rPr>
        <w:t xml:space="preserve">20 </w:t>
      </w:r>
      <w:r w:rsidRPr="00413B87">
        <w:rPr>
          <w:rFonts w:ascii="Times New Roman" w:hAnsi="Times New Roman"/>
          <w:sz w:val="28"/>
          <w:szCs w:val="28"/>
          <w:lang w:val="uk-UA" w:eastAsia="ru-RU"/>
        </w:rPr>
        <w:t>січня</w:t>
      </w:r>
      <w:r w:rsidRPr="00413B87">
        <w:rPr>
          <w:rFonts w:ascii="Times New Roman" w:hAnsi="Times New Roman"/>
          <w:noProof/>
          <w:sz w:val="28"/>
          <w:szCs w:val="28"/>
          <w:lang w:val="uk-UA" w:eastAsia="ru-RU"/>
        </w:rPr>
        <w:t xml:space="preserve"> 1999</w:t>
      </w:r>
      <w:r w:rsidRPr="00413B87">
        <w:rPr>
          <w:rFonts w:ascii="Times New Roman" w:hAnsi="Times New Roman"/>
          <w:sz w:val="28"/>
          <w:szCs w:val="28"/>
          <w:lang w:val="uk-UA" w:eastAsia="ru-RU"/>
        </w:rPr>
        <w:t xml:space="preserve"> року ВАТ «Укррічфлот» оголосив дивіденди за </w:t>
      </w:r>
      <w:r w:rsidRPr="00413B87">
        <w:rPr>
          <w:rFonts w:ascii="Times New Roman" w:hAnsi="Times New Roman"/>
          <w:noProof/>
          <w:sz w:val="28"/>
          <w:szCs w:val="28"/>
          <w:lang w:val="uk-UA" w:eastAsia="ru-RU"/>
        </w:rPr>
        <w:t xml:space="preserve">1998 </w:t>
      </w:r>
      <w:r w:rsidRPr="00413B87">
        <w:rPr>
          <w:rFonts w:ascii="Times New Roman" w:hAnsi="Times New Roman"/>
          <w:sz w:val="28"/>
          <w:szCs w:val="28"/>
          <w:lang w:val="uk-UA" w:eastAsia="ru-RU"/>
        </w:rPr>
        <w:t>рік із розрахунку</w:t>
      </w:r>
      <w:r w:rsidRPr="00413B87">
        <w:rPr>
          <w:rFonts w:ascii="Times New Roman" w:hAnsi="Times New Roman"/>
          <w:noProof/>
          <w:sz w:val="28"/>
          <w:szCs w:val="28"/>
          <w:lang w:val="uk-UA" w:eastAsia="ru-RU"/>
        </w:rPr>
        <w:t xml:space="preserve"> 15 </w:t>
      </w:r>
      <w:r w:rsidRPr="00413B87">
        <w:rPr>
          <w:rFonts w:ascii="Times New Roman" w:hAnsi="Times New Roman"/>
          <w:sz w:val="28"/>
          <w:szCs w:val="28"/>
          <w:lang w:val="uk-UA" w:eastAsia="ru-RU"/>
        </w:rPr>
        <w:t>копійок на акцію:</w:t>
      </w:r>
    </w:p>
    <w:p w:rsidR="00D97C53" w:rsidRPr="00413B87" w:rsidRDefault="00D97C53" w:rsidP="001A0C26">
      <w:pPr>
        <w:spacing w:after="0" w:line="360" w:lineRule="auto"/>
        <w:jc w:val="both"/>
        <w:rPr>
          <w:rFonts w:ascii="Times New Roman" w:hAnsi="Times New Roman"/>
          <w:sz w:val="28"/>
          <w:szCs w:val="28"/>
          <w:lang w:val="uk-UA" w:eastAsia="ru-RU"/>
        </w:rPr>
      </w:pPr>
    </w:p>
    <w:p w:rsidR="00D97C53" w:rsidRPr="00413B87" w:rsidRDefault="00D97C53" w:rsidP="001A0C26">
      <w:pPr>
        <w:spacing w:after="0" w:line="360" w:lineRule="auto"/>
        <w:ind w:left="709"/>
        <w:jc w:val="both"/>
        <w:rPr>
          <w:rFonts w:ascii="Times New Roman" w:hAnsi="Times New Roman"/>
          <w:sz w:val="28"/>
          <w:szCs w:val="28"/>
          <w:lang w:val="uk-UA" w:eastAsia="ru-RU"/>
        </w:rPr>
      </w:pPr>
      <w:r w:rsidRPr="00413B87">
        <w:rPr>
          <w:rFonts w:ascii="Times New Roman" w:hAnsi="Times New Roman"/>
          <w:sz w:val="28"/>
          <w:szCs w:val="28"/>
          <w:lang w:val="uk-UA" w:eastAsia="ru-RU"/>
        </w:rPr>
        <w:t>Дт 3108 Кт 6300 – 765 (0,15*5100)</w:t>
      </w:r>
    </w:p>
    <w:p w:rsidR="00D97C53" w:rsidRPr="00413B87" w:rsidRDefault="00D97C53" w:rsidP="001A0C26">
      <w:pPr>
        <w:spacing w:after="0" w:line="360" w:lineRule="auto"/>
        <w:ind w:left="709"/>
        <w:jc w:val="both"/>
        <w:rPr>
          <w:rFonts w:ascii="Times New Roman" w:hAnsi="Times New Roman"/>
          <w:sz w:val="28"/>
          <w:szCs w:val="28"/>
          <w:lang w:val="uk-UA" w:eastAsia="ru-RU"/>
        </w:rPr>
      </w:pPr>
    </w:p>
    <w:p w:rsidR="00D97C53" w:rsidRPr="00413B87" w:rsidRDefault="00D97C53" w:rsidP="00006626">
      <w:pPr>
        <w:numPr>
          <w:ilvl w:val="0"/>
          <w:numId w:val="8"/>
        </w:numPr>
        <w:tabs>
          <w:tab w:val="num" w:pos="1080"/>
        </w:tabs>
        <w:spacing w:after="0" w:line="360" w:lineRule="auto"/>
        <w:ind w:left="0" w:firstLine="709"/>
        <w:jc w:val="both"/>
        <w:rPr>
          <w:rFonts w:ascii="Times New Roman" w:hAnsi="Times New Roman"/>
          <w:sz w:val="28"/>
          <w:szCs w:val="28"/>
          <w:lang w:val="uk-UA" w:eastAsia="ru-RU"/>
        </w:rPr>
      </w:pPr>
      <w:r w:rsidRPr="00413B87">
        <w:rPr>
          <w:rFonts w:ascii="Times New Roman" w:hAnsi="Times New Roman"/>
          <w:noProof/>
          <w:sz w:val="28"/>
          <w:szCs w:val="28"/>
          <w:lang w:val="uk-UA" w:eastAsia="ru-RU"/>
        </w:rPr>
        <w:t>2</w:t>
      </w:r>
      <w:r w:rsidRPr="00413B87">
        <w:rPr>
          <w:rFonts w:ascii="Times New Roman" w:hAnsi="Times New Roman"/>
          <w:sz w:val="28"/>
          <w:szCs w:val="28"/>
          <w:lang w:val="uk-UA" w:eastAsia="ru-RU"/>
        </w:rPr>
        <w:t xml:space="preserve"> лютого</w:t>
      </w:r>
      <w:r w:rsidRPr="00413B87">
        <w:rPr>
          <w:rFonts w:ascii="Times New Roman" w:hAnsi="Times New Roman"/>
          <w:noProof/>
          <w:sz w:val="28"/>
          <w:szCs w:val="28"/>
          <w:lang w:val="uk-UA" w:eastAsia="ru-RU"/>
        </w:rPr>
        <w:t xml:space="preserve"> 1999</w:t>
      </w:r>
      <w:r w:rsidRPr="00413B87">
        <w:rPr>
          <w:rFonts w:ascii="Times New Roman" w:hAnsi="Times New Roman"/>
          <w:sz w:val="28"/>
          <w:szCs w:val="28"/>
          <w:lang w:val="uk-UA" w:eastAsia="ru-RU"/>
        </w:rPr>
        <w:t xml:space="preserve"> року на кореспондентський</w:t>
      </w:r>
      <w:r>
        <w:rPr>
          <w:rFonts w:ascii="Times New Roman" w:hAnsi="Times New Roman"/>
          <w:sz w:val="28"/>
          <w:szCs w:val="28"/>
          <w:lang w:val="uk-UA" w:eastAsia="ru-RU"/>
        </w:rPr>
        <w:t xml:space="preserve"> </w:t>
      </w:r>
      <w:r w:rsidRPr="00413B87">
        <w:rPr>
          <w:rFonts w:ascii="Times New Roman" w:hAnsi="Times New Roman"/>
          <w:sz w:val="28"/>
          <w:szCs w:val="28"/>
          <w:lang w:val="uk-UA" w:eastAsia="ru-RU"/>
        </w:rPr>
        <w:t>рахунок КБ «Новий» зараховано суму дивідендів:</w:t>
      </w:r>
    </w:p>
    <w:p w:rsidR="00D97C53" w:rsidRPr="00413B87" w:rsidRDefault="00D97C53" w:rsidP="00A736AA">
      <w:pPr>
        <w:spacing w:after="0" w:line="360" w:lineRule="auto"/>
        <w:jc w:val="both"/>
        <w:rPr>
          <w:rFonts w:ascii="Times New Roman" w:hAnsi="Times New Roman"/>
          <w:sz w:val="28"/>
          <w:szCs w:val="28"/>
          <w:lang w:val="uk-UA" w:eastAsia="ru-RU"/>
        </w:rPr>
      </w:pPr>
    </w:p>
    <w:p w:rsidR="00D97C53" w:rsidRPr="00413B87" w:rsidRDefault="00D97C53" w:rsidP="00A736AA">
      <w:pPr>
        <w:spacing w:after="0" w:line="360" w:lineRule="auto"/>
        <w:ind w:left="709"/>
        <w:jc w:val="both"/>
        <w:rPr>
          <w:rFonts w:ascii="Times New Roman" w:hAnsi="Times New Roman"/>
          <w:sz w:val="28"/>
          <w:szCs w:val="28"/>
          <w:lang w:val="uk-UA" w:eastAsia="ru-RU"/>
        </w:rPr>
      </w:pPr>
      <w:r w:rsidRPr="00413B87">
        <w:rPr>
          <w:rFonts w:ascii="Times New Roman" w:hAnsi="Times New Roman"/>
          <w:sz w:val="28"/>
          <w:szCs w:val="28"/>
          <w:lang w:val="uk-UA" w:eastAsia="ru-RU"/>
        </w:rPr>
        <w:t>Дт 1200 Кт 3108 – 765 грн.</w:t>
      </w:r>
    </w:p>
    <w:p w:rsidR="00D97C53" w:rsidRPr="00413B87" w:rsidRDefault="00D97C53" w:rsidP="00A736AA">
      <w:pPr>
        <w:spacing w:after="0" w:line="360" w:lineRule="auto"/>
        <w:ind w:left="709"/>
        <w:jc w:val="both"/>
        <w:rPr>
          <w:rFonts w:ascii="Times New Roman" w:hAnsi="Times New Roman"/>
          <w:sz w:val="28"/>
          <w:szCs w:val="28"/>
          <w:lang w:val="uk-UA" w:eastAsia="ru-RU"/>
        </w:rPr>
      </w:pPr>
    </w:p>
    <w:p w:rsidR="00D97C53" w:rsidRPr="00413B87" w:rsidRDefault="00D97C53" w:rsidP="00006626">
      <w:pPr>
        <w:numPr>
          <w:ilvl w:val="0"/>
          <w:numId w:val="8"/>
        </w:numPr>
        <w:tabs>
          <w:tab w:val="num" w:pos="1080"/>
        </w:tabs>
        <w:spacing w:after="0" w:line="360" w:lineRule="auto"/>
        <w:ind w:left="0" w:firstLine="709"/>
        <w:jc w:val="both"/>
        <w:rPr>
          <w:rFonts w:ascii="Times New Roman" w:hAnsi="Times New Roman"/>
          <w:sz w:val="28"/>
          <w:szCs w:val="28"/>
          <w:lang w:val="uk-UA" w:eastAsia="ru-RU"/>
        </w:rPr>
      </w:pPr>
      <w:r w:rsidRPr="00413B87">
        <w:rPr>
          <w:rFonts w:ascii="Times New Roman" w:hAnsi="Times New Roman"/>
          <w:noProof/>
          <w:sz w:val="28"/>
          <w:szCs w:val="28"/>
          <w:lang w:val="uk-UA" w:eastAsia="ru-RU"/>
        </w:rPr>
        <w:t>5</w:t>
      </w:r>
      <w:r w:rsidRPr="00413B87">
        <w:rPr>
          <w:rFonts w:ascii="Times New Roman" w:hAnsi="Times New Roman"/>
          <w:sz w:val="28"/>
          <w:szCs w:val="28"/>
          <w:lang w:val="uk-UA" w:eastAsia="ru-RU"/>
        </w:rPr>
        <w:t>.02.</w:t>
      </w:r>
      <w:r w:rsidRPr="00413B87">
        <w:rPr>
          <w:rFonts w:ascii="Times New Roman" w:hAnsi="Times New Roman"/>
          <w:noProof/>
          <w:sz w:val="28"/>
          <w:szCs w:val="28"/>
          <w:lang w:val="uk-UA" w:eastAsia="ru-RU"/>
        </w:rPr>
        <w:t>1999</w:t>
      </w:r>
      <w:r w:rsidRPr="00413B87">
        <w:rPr>
          <w:rFonts w:ascii="Times New Roman" w:hAnsi="Times New Roman"/>
          <w:sz w:val="28"/>
          <w:szCs w:val="28"/>
          <w:lang w:val="uk-UA" w:eastAsia="ru-RU"/>
        </w:rPr>
        <w:t xml:space="preserve"> року банк «Новий» продав</w:t>
      </w:r>
      <w:r w:rsidRPr="00413B87">
        <w:rPr>
          <w:rFonts w:ascii="Times New Roman" w:hAnsi="Times New Roman"/>
          <w:noProof/>
          <w:sz w:val="28"/>
          <w:szCs w:val="28"/>
          <w:lang w:val="uk-UA" w:eastAsia="ru-RU"/>
        </w:rPr>
        <w:t xml:space="preserve"> 1250 </w:t>
      </w:r>
      <w:r w:rsidRPr="00413B87">
        <w:rPr>
          <w:rFonts w:ascii="Times New Roman" w:hAnsi="Times New Roman"/>
          <w:sz w:val="28"/>
          <w:szCs w:val="28"/>
          <w:lang w:val="uk-UA" w:eastAsia="ru-RU"/>
        </w:rPr>
        <w:t>акцій по</w:t>
      </w:r>
      <w:r w:rsidRPr="00413B87">
        <w:rPr>
          <w:rFonts w:ascii="Times New Roman" w:hAnsi="Times New Roman"/>
          <w:noProof/>
          <w:sz w:val="28"/>
          <w:szCs w:val="28"/>
          <w:lang w:val="uk-UA" w:eastAsia="ru-RU"/>
        </w:rPr>
        <w:t xml:space="preserve"> 14</w:t>
      </w:r>
      <w:r w:rsidRPr="00413B87">
        <w:rPr>
          <w:rFonts w:ascii="Times New Roman" w:hAnsi="Times New Roman"/>
          <w:sz w:val="28"/>
          <w:szCs w:val="28"/>
          <w:lang w:val="uk-UA" w:eastAsia="ru-RU"/>
        </w:rPr>
        <w:t xml:space="preserve"> грн. за акцію:</w:t>
      </w:r>
    </w:p>
    <w:p w:rsidR="00D97C53" w:rsidRPr="00413B87" w:rsidRDefault="00D97C53" w:rsidP="00006626">
      <w:pPr>
        <w:spacing w:after="0" w:line="360" w:lineRule="auto"/>
        <w:ind w:firstLine="709"/>
        <w:jc w:val="both"/>
        <w:rPr>
          <w:rFonts w:ascii="Times New Roman" w:hAnsi="Times New Roman"/>
          <w:sz w:val="28"/>
          <w:szCs w:val="28"/>
          <w:lang w:val="uk-UA" w:eastAsia="ru-RU"/>
        </w:rPr>
      </w:pPr>
    </w:p>
    <w:p w:rsidR="00D97C53" w:rsidRPr="00413B87" w:rsidRDefault="00D97C53" w:rsidP="00006626">
      <w:pPr>
        <w:spacing w:after="0" w:line="360" w:lineRule="auto"/>
        <w:ind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1250*14=17500 грн. виручка</w:t>
      </w:r>
    </w:p>
    <w:p w:rsidR="00D97C53" w:rsidRPr="00413B87" w:rsidRDefault="00D97C53" w:rsidP="00006626">
      <w:pPr>
        <w:pStyle w:val="a5"/>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Балансова вартість: 1250*12,09=15112,5 грн.</w:t>
      </w:r>
    </w:p>
    <w:p w:rsidR="00D97C53" w:rsidRPr="00413B87" w:rsidRDefault="00D97C53" w:rsidP="00006626">
      <w:pPr>
        <w:pStyle w:val="a5"/>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Перевищ. виручки над балансовою вартістю 17500-15112,5=1887,5 грн.</w:t>
      </w:r>
    </w:p>
    <w:p w:rsidR="00D97C53" w:rsidRPr="00413B87" w:rsidRDefault="00D97C53" w:rsidP="00006626">
      <w:pPr>
        <w:pStyle w:val="a5"/>
        <w:spacing w:after="0" w:line="360" w:lineRule="auto"/>
        <w:ind w:left="0" w:firstLine="709"/>
        <w:jc w:val="both"/>
        <w:rPr>
          <w:rFonts w:ascii="Times New Roman" w:hAnsi="Times New Roman"/>
          <w:sz w:val="28"/>
          <w:szCs w:val="28"/>
          <w:lang w:val="uk-UA" w:eastAsia="ru-RU"/>
        </w:rPr>
      </w:pPr>
    </w:p>
    <w:p w:rsidR="00D97C53" w:rsidRPr="00413B87" w:rsidRDefault="00D97C53" w:rsidP="00006626">
      <w:pPr>
        <w:pStyle w:val="a5"/>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Дт 1200 Кт 3105 – 15112,5 грн.</w:t>
      </w:r>
    </w:p>
    <w:p w:rsidR="00D97C53" w:rsidRPr="00413B87" w:rsidRDefault="00D97C53" w:rsidP="00006626">
      <w:pPr>
        <w:pStyle w:val="a5"/>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Дт 1200 Кт 6203 – 1887,5грн.</w:t>
      </w:r>
    </w:p>
    <w:p w:rsidR="00D97C53" w:rsidRPr="00413B87" w:rsidRDefault="00D97C53" w:rsidP="00006626">
      <w:pPr>
        <w:numPr>
          <w:ilvl w:val="0"/>
          <w:numId w:val="8"/>
        </w:numPr>
        <w:tabs>
          <w:tab w:val="num" w:pos="1080"/>
        </w:tabs>
        <w:spacing w:after="0" w:line="360" w:lineRule="auto"/>
        <w:ind w:left="0" w:firstLine="709"/>
        <w:jc w:val="both"/>
        <w:rPr>
          <w:rFonts w:ascii="Times New Roman" w:hAnsi="Times New Roman"/>
          <w:sz w:val="28"/>
          <w:szCs w:val="28"/>
          <w:lang w:val="uk-UA" w:eastAsia="ru-RU"/>
        </w:rPr>
      </w:pPr>
      <w:r>
        <w:rPr>
          <w:rFonts w:ascii="Times New Roman" w:hAnsi="Times New Roman"/>
          <w:noProof/>
          <w:sz w:val="28"/>
          <w:szCs w:val="28"/>
          <w:lang w:val="uk-UA" w:eastAsia="ru-RU"/>
        </w:rPr>
        <w:br w:type="page"/>
      </w:r>
      <w:r w:rsidRPr="00413B87">
        <w:rPr>
          <w:rFonts w:ascii="Times New Roman" w:hAnsi="Times New Roman"/>
          <w:noProof/>
          <w:sz w:val="28"/>
          <w:szCs w:val="28"/>
          <w:lang w:val="uk-UA" w:eastAsia="ru-RU"/>
        </w:rPr>
        <w:t>28</w:t>
      </w:r>
      <w:r w:rsidRPr="00413B87">
        <w:rPr>
          <w:rFonts w:ascii="Times New Roman" w:hAnsi="Times New Roman"/>
          <w:sz w:val="28"/>
          <w:szCs w:val="28"/>
          <w:lang w:val="uk-UA" w:eastAsia="ru-RU"/>
        </w:rPr>
        <w:t>лютого</w:t>
      </w:r>
      <w:r w:rsidRPr="00413B87">
        <w:rPr>
          <w:rFonts w:ascii="Times New Roman" w:hAnsi="Times New Roman"/>
          <w:noProof/>
          <w:sz w:val="28"/>
          <w:szCs w:val="28"/>
          <w:lang w:val="uk-UA" w:eastAsia="ru-RU"/>
        </w:rPr>
        <w:t xml:space="preserve"> 1999</w:t>
      </w:r>
      <w:r w:rsidRPr="00413B87">
        <w:rPr>
          <w:rFonts w:ascii="Times New Roman" w:hAnsi="Times New Roman"/>
          <w:sz w:val="28"/>
          <w:szCs w:val="28"/>
          <w:lang w:val="uk-UA" w:eastAsia="ru-RU"/>
        </w:rPr>
        <w:t xml:space="preserve"> року поточна ринкова вартість акцій 13,03 знизилась до</w:t>
      </w:r>
      <w:r w:rsidRPr="00413B87">
        <w:rPr>
          <w:rFonts w:ascii="Times New Roman" w:hAnsi="Times New Roman"/>
          <w:noProof/>
          <w:sz w:val="28"/>
          <w:szCs w:val="28"/>
          <w:lang w:val="uk-UA" w:eastAsia="ru-RU"/>
        </w:rPr>
        <w:t xml:space="preserve"> 11 </w:t>
      </w:r>
      <w:r w:rsidRPr="00413B87">
        <w:rPr>
          <w:rFonts w:ascii="Times New Roman" w:hAnsi="Times New Roman"/>
          <w:sz w:val="28"/>
          <w:szCs w:val="28"/>
          <w:lang w:val="uk-UA" w:eastAsia="ru-RU"/>
        </w:rPr>
        <w:t>грн.</w:t>
      </w:r>
    </w:p>
    <w:p w:rsidR="00D97C53" w:rsidRPr="00413B87" w:rsidRDefault="00D97C53" w:rsidP="00006626">
      <w:pPr>
        <w:pStyle w:val="a5"/>
        <w:spacing w:after="0" w:line="360" w:lineRule="auto"/>
        <w:ind w:left="0" w:firstLine="709"/>
        <w:jc w:val="both"/>
        <w:rPr>
          <w:rFonts w:ascii="Times New Roman" w:hAnsi="Times New Roman"/>
          <w:sz w:val="28"/>
          <w:szCs w:val="28"/>
          <w:lang w:val="uk-UA" w:eastAsia="ru-RU"/>
        </w:rPr>
      </w:pPr>
    </w:p>
    <w:p w:rsidR="00D97C53" w:rsidRPr="00413B87" w:rsidRDefault="00D97C53" w:rsidP="00006626">
      <w:pPr>
        <w:pStyle w:val="a5"/>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(5100-1250)*12,09=46546,5 грн.;</w:t>
      </w:r>
    </w:p>
    <w:p w:rsidR="00D97C53" w:rsidRPr="00413B87" w:rsidRDefault="00D97C53" w:rsidP="00006626">
      <w:pPr>
        <w:pStyle w:val="a5"/>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(5100-1250)*11=42350 грн.;</w:t>
      </w:r>
    </w:p>
    <w:p w:rsidR="00D97C53" w:rsidRDefault="00D97C53" w:rsidP="00006626">
      <w:pPr>
        <w:pStyle w:val="a5"/>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Дт 7703 Кт 3190 – 4196,5 грн. (46546,5-42350)</w:t>
      </w:r>
    </w:p>
    <w:p w:rsidR="00D97C53" w:rsidRPr="00413B87" w:rsidRDefault="00D97C53" w:rsidP="00006626">
      <w:pPr>
        <w:pStyle w:val="a5"/>
        <w:spacing w:after="0" w:line="360" w:lineRule="auto"/>
        <w:ind w:left="0" w:firstLine="709"/>
        <w:jc w:val="both"/>
        <w:rPr>
          <w:rFonts w:ascii="Times New Roman" w:hAnsi="Times New Roman"/>
          <w:sz w:val="28"/>
          <w:szCs w:val="28"/>
          <w:lang w:val="uk-UA" w:eastAsia="ru-RU"/>
        </w:rPr>
      </w:pPr>
    </w:p>
    <w:p w:rsidR="00D97C53" w:rsidRPr="00413B87" w:rsidRDefault="00D97C53" w:rsidP="00006626">
      <w:pPr>
        <w:numPr>
          <w:ilvl w:val="0"/>
          <w:numId w:val="8"/>
        </w:numPr>
        <w:tabs>
          <w:tab w:val="num" w:pos="1080"/>
        </w:tabs>
        <w:spacing w:after="0" w:line="360" w:lineRule="auto"/>
        <w:ind w:left="0" w:firstLine="709"/>
        <w:jc w:val="both"/>
        <w:rPr>
          <w:rFonts w:ascii="Times New Roman" w:hAnsi="Times New Roman"/>
          <w:sz w:val="28"/>
          <w:szCs w:val="28"/>
          <w:lang w:val="uk-UA" w:eastAsia="ru-RU"/>
        </w:rPr>
      </w:pPr>
      <w:r w:rsidRPr="00413B87">
        <w:rPr>
          <w:rFonts w:ascii="Times New Roman" w:hAnsi="Times New Roman"/>
          <w:noProof/>
          <w:sz w:val="28"/>
          <w:szCs w:val="28"/>
          <w:lang w:val="uk-UA" w:eastAsia="ru-RU"/>
        </w:rPr>
        <w:t xml:space="preserve">15 </w:t>
      </w:r>
      <w:r w:rsidRPr="00413B87">
        <w:rPr>
          <w:rFonts w:ascii="Times New Roman" w:hAnsi="Times New Roman"/>
          <w:sz w:val="28"/>
          <w:szCs w:val="28"/>
          <w:lang w:val="uk-UA" w:eastAsia="ru-RU"/>
        </w:rPr>
        <w:t>березня</w:t>
      </w:r>
      <w:r w:rsidRPr="00413B87">
        <w:rPr>
          <w:rFonts w:ascii="Times New Roman" w:hAnsi="Times New Roman"/>
          <w:noProof/>
          <w:sz w:val="28"/>
          <w:szCs w:val="28"/>
          <w:lang w:val="uk-UA" w:eastAsia="ru-RU"/>
        </w:rPr>
        <w:t xml:space="preserve"> 1999</w:t>
      </w:r>
      <w:r w:rsidRPr="00413B87">
        <w:rPr>
          <w:rFonts w:ascii="Times New Roman" w:hAnsi="Times New Roman"/>
          <w:sz w:val="28"/>
          <w:szCs w:val="28"/>
          <w:lang w:val="uk-UA" w:eastAsia="ru-RU"/>
        </w:rPr>
        <w:t xml:space="preserve"> року банк реалізував решту акцій за ціною</w:t>
      </w:r>
      <w:r w:rsidRPr="00413B87">
        <w:rPr>
          <w:rFonts w:ascii="Times New Roman" w:hAnsi="Times New Roman"/>
          <w:noProof/>
          <w:sz w:val="28"/>
          <w:szCs w:val="28"/>
          <w:lang w:val="uk-UA" w:eastAsia="ru-RU"/>
        </w:rPr>
        <w:t>10</w:t>
      </w:r>
      <w:r w:rsidRPr="00413B87">
        <w:rPr>
          <w:rFonts w:ascii="Times New Roman" w:hAnsi="Times New Roman"/>
          <w:sz w:val="28"/>
          <w:szCs w:val="28"/>
          <w:lang w:val="uk-UA" w:eastAsia="ru-RU"/>
        </w:rPr>
        <w:t xml:space="preserve"> грн. за акцію:</w:t>
      </w:r>
    </w:p>
    <w:p w:rsidR="00D97C53" w:rsidRPr="00413B87" w:rsidRDefault="00D97C53" w:rsidP="00006626">
      <w:pPr>
        <w:pStyle w:val="a5"/>
        <w:spacing w:after="0" w:line="360" w:lineRule="auto"/>
        <w:ind w:left="0" w:firstLine="709"/>
        <w:jc w:val="both"/>
        <w:rPr>
          <w:rFonts w:ascii="Times New Roman" w:hAnsi="Times New Roman"/>
          <w:sz w:val="28"/>
          <w:szCs w:val="28"/>
          <w:lang w:val="uk-UA" w:eastAsia="ru-RU"/>
        </w:rPr>
      </w:pPr>
    </w:p>
    <w:p w:rsidR="00D97C53" w:rsidRPr="00413B87" w:rsidRDefault="00D97C53" w:rsidP="00006626">
      <w:pPr>
        <w:pStyle w:val="a5"/>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Балансова вартість: 3850*12,09=46546,5</w:t>
      </w:r>
    </w:p>
    <w:p w:rsidR="00D97C53" w:rsidRPr="00413B87" w:rsidRDefault="00D97C53" w:rsidP="00006626">
      <w:pPr>
        <w:pStyle w:val="a5"/>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Виручка від реалізації: 4196,5</w:t>
      </w:r>
    </w:p>
    <w:p w:rsidR="00D97C53" w:rsidRPr="00413B87" w:rsidRDefault="00D97C53" w:rsidP="00006626">
      <w:pPr>
        <w:pStyle w:val="a5"/>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Сума створеного спеціального резерву під та знецінення: 3850</w:t>
      </w:r>
    </w:p>
    <w:p w:rsidR="00D97C53" w:rsidRPr="00413B87" w:rsidRDefault="00D97C53" w:rsidP="00006626">
      <w:pPr>
        <w:pStyle w:val="a5"/>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Збиток від продажу: 46546,5-4196,5-38500=3850</w:t>
      </w:r>
    </w:p>
    <w:p w:rsidR="00D97C53" w:rsidRPr="00413B87" w:rsidRDefault="00D97C53" w:rsidP="00006626">
      <w:pPr>
        <w:pStyle w:val="a5"/>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Дт 1200,3190,6203 Кт 3105 – 38500; 4196,5; 3850.</w:t>
      </w:r>
    </w:p>
    <w:p w:rsidR="00D97C53" w:rsidRPr="00413B87" w:rsidRDefault="00D97C53" w:rsidP="00006626">
      <w:pPr>
        <w:pStyle w:val="a5"/>
        <w:spacing w:after="0" w:line="360" w:lineRule="auto"/>
        <w:ind w:left="0" w:firstLine="709"/>
        <w:jc w:val="both"/>
        <w:rPr>
          <w:rFonts w:ascii="Times New Roman" w:hAnsi="Times New Roman"/>
          <w:sz w:val="28"/>
          <w:szCs w:val="28"/>
          <w:lang w:val="uk-UA" w:eastAsia="ru-RU"/>
        </w:rPr>
      </w:pPr>
    </w:p>
    <w:p w:rsidR="00D97C53" w:rsidRPr="00413B87" w:rsidRDefault="00D97C53" w:rsidP="00006626">
      <w:pPr>
        <w:pStyle w:val="a5"/>
        <w:spacing w:after="0" w:line="360" w:lineRule="auto"/>
        <w:ind w:left="0" w:firstLine="709"/>
        <w:jc w:val="both"/>
        <w:rPr>
          <w:rFonts w:ascii="Times New Roman" w:hAnsi="Times New Roman"/>
          <w:sz w:val="28"/>
          <w:szCs w:val="28"/>
          <w:lang w:val="uk-UA" w:eastAsia="ru-RU"/>
        </w:rPr>
      </w:pPr>
      <w:r w:rsidRPr="00413B87">
        <w:rPr>
          <w:rFonts w:ascii="Times New Roman" w:hAnsi="Times New Roman"/>
          <w:sz w:val="28"/>
          <w:szCs w:val="28"/>
          <w:lang w:val="uk-UA" w:eastAsia="ru-RU"/>
        </w:rPr>
        <w:t>Завдання 4.</w:t>
      </w:r>
    </w:p>
    <w:p w:rsidR="00B33A1B" w:rsidRDefault="00B33A1B" w:rsidP="00006626">
      <w:pPr>
        <w:spacing w:after="0" w:line="360" w:lineRule="auto"/>
        <w:ind w:firstLine="709"/>
        <w:jc w:val="both"/>
        <w:rPr>
          <w:rFonts w:ascii="Times New Roman" w:hAnsi="Times New Roman"/>
          <w:sz w:val="28"/>
          <w:szCs w:val="28"/>
          <w:lang w:val="uk-UA"/>
        </w:rPr>
      </w:pPr>
    </w:p>
    <w:p w:rsidR="00D97C53" w:rsidRPr="00413B87" w:rsidRDefault="00D97C53" w:rsidP="00006626">
      <w:pPr>
        <w:spacing w:after="0" w:line="360" w:lineRule="auto"/>
        <w:ind w:firstLine="709"/>
        <w:jc w:val="both"/>
        <w:rPr>
          <w:rFonts w:ascii="Times New Roman" w:hAnsi="Times New Roman"/>
          <w:sz w:val="28"/>
          <w:szCs w:val="28"/>
          <w:lang w:val="uk-UA"/>
        </w:rPr>
      </w:pPr>
      <w:r w:rsidRPr="00413B87">
        <w:rPr>
          <w:rFonts w:ascii="Times New Roman" w:hAnsi="Times New Roman"/>
          <w:sz w:val="28"/>
          <w:szCs w:val="28"/>
          <w:lang w:val="uk-UA"/>
        </w:rPr>
        <w:t>«</w:t>
      </w:r>
      <w:r w:rsidRPr="00413B87">
        <w:rPr>
          <w:rFonts w:ascii="Times New Roman" w:hAnsi="Times New Roman"/>
          <w:caps/>
          <w:sz w:val="28"/>
          <w:szCs w:val="28"/>
          <w:lang w:val="uk-UA"/>
        </w:rPr>
        <w:t>о</w:t>
      </w:r>
      <w:r w:rsidRPr="00413B87">
        <w:rPr>
          <w:rFonts w:ascii="Times New Roman" w:hAnsi="Times New Roman"/>
          <w:sz w:val="28"/>
          <w:szCs w:val="28"/>
          <w:lang w:val="uk-UA"/>
        </w:rPr>
        <w:t>сновні напрямки удосконалення банківського кредитування у сучасних умовах»</w:t>
      </w:r>
    </w:p>
    <w:p w:rsidR="00B33A1B" w:rsidRDefault="00B33A1B" w:rsidP="00006626">
      <w:pPr>
        <w:spacing w:after="0" w:line="360" w:lineRule="auto"/>
        <w:ind w:firstLine="709"/>
        <w:jc w:val="both"/>
        <w:rPr>
          <w:rFonts w:ascii="Times New Roman" w:hAnsi="Times New Roman"/>
          <w:sz w:val="28"/>
          <w:szCs w:val="28"/>
          <w:lang w:val="uk-UA"/>
        </w:rPr>
      </w:pPr>
    </w:p>
    <w:p w:rsidR="00D97C53" w:rsidRPr="00413B87" w:rsidRDefault="00D97C53" w:rsidP="00006626">
      <w:pPr>
        <w:spacing w:after="0" w:line="360" w:lineRule="auto"/>
        <w:ind w:firstLine="709"/>
        <w:jc w:val="both"/>
        <w:rPr>
          <w:rFonts w:ascii="Times New Roman" w:hAnsi="Times New Roman"/>
          <w:sz w:val="28"/>
          <w:szCs w:val="28"/>
          <w:lang w:val="uk-UA"/>
        </w:rPr>
      </w:pPr>
      <w:r w:rsidRPr="00413B87">
        <w:rPr>
          <w:rFonts w:ascii="Times New Roman" w:hAnsi="Times New Roman"/>
          <w:sz w:val="28"/>
          <w:szCs w:val="28"/>
          <w:lang w:val="uk-UA"/>
        </w:rPr>
        <w:t>Однією з найгостріших проблем функціонування банківської системи України в посткризовий період є оптимальне управління проблемними активами. Через недосконале управління ризиками в деяких банках суттєво погіршилася якість кредитних портфелів, що уповільнює, або навіть повністю гальмує зростання галузі загалом, а в багатьох випадках, унеможливлює подальшу кредитну діяльність банків. Для подолання наслідків кризових явищ на фінансовому ринку України вкрай необхідне поліпшення систем корпоративного ризик-менеджменту банків з урахуванням уроків кризи та запозичення кращого зарубіжного досвіду в сфері управління проблемними активами з метою відновлення ефективного кредитування реального сектору економіки країни [1,2].</w:t>
      </w:r>
    </w:p>
    <w:p w:rsidR="00D97C53" w:rsidRPr="00413B87" w:rsidRDefault="00D97C53" w:rsidP="00006626">
      <w:pPr>
        <w:spacing w:after="0" w:line="360" w:lineRule="auto"/>
        <w:ind w:firstLine="709"/>
        <w:jc w:val="both"/>
        <w:rPr>
          <w:rFonts w:ascii="Times New Roman" w:hAnsi="Times New Roman"/>
          <w:sz w:val="28"/>
          <w:szCs w:val="28"/>
          <w:lang w:val="uk-UA"/>
        </w:rPr>
      </w:pPr>
      <w:r w:rsidRPr="00413B87">
        <w:rPr>
          <w:rFonts w:ascii="Times New Roman" w:hAnsi="Times New Roman"/>
          <w:sz w:val="28"/>
          <w:szCs w:val="28"/>
          <w:lang w:val="uk-UA"/>
        </w:rPr>
        <w:t>Актуальність проблеми управління проблемними активами банків знайшла відображення в низці публікацій вітчизняних та іноземних науковців і практиків. Зокрема, значний внесок у розкриття цієї теми зробили В. Герасименко та Р. Герасименко, О. Дзюблюк, Г. Карчева, В. Крилова, Л. Примостка, В. Міщснко, І. Нідзельська, Х. Мінскі, Б. Моісеєв, О. Лаврушин та інші вчені. Проте дослідження наукових джерел та аналіз сучасної практики ризик-менеджменту показує, що питання управління проблемними активами вітчизняних банків ще не вирішені повною мірою. У наукових працях фрагментарно досліджуються методи управління проблемними активами. У зв'язку з цим виникає необхідність подальшого вдосконалення роботи банків з проблемними активами та поліпшення систем кредитного ризик-менеджменту загалом. Адже якість активів відображає якість банківської діяльності загалом та її цільові орієнтації на перспективу</w:t>
      </w:r>
    </w:p>
    <w:p w:rsidR="00D97C53" w:rsidRPr="00413B87" w:rsidRDefault="00D97C53" w:rsidP="00006626">
      <w:pPr>
        <w:spacing w:after="0" w:line="360" w:lineRule="auto"/>
        <w:ind w:firstLine="709"/>
        <w:jc w:val="both"/>
        <w:rPr>
          <w:rFonts w:ascii="Times New Roman" w:hAnsi="Times New Roman"/>
          <w:sz w:val="28"/>
          <w:szCs w:val="28"/>
          <w:lang w:val="uk-UA"/>
        </w:rPr>
      </w:pPr>
      <w:r w:rsidRPr="00413B87">
        <w:rPr>
          <w:rFonts w:ascii="Times New Roman" w:hAnsi="Times New Roman"/>
          <w:sz w:val="28"/>
          <w:szCs w:val="28"/>
          <w:lang w:val="uk-UA"/>
        </w:rPr>
        <w:t>Активізація банківського кредитування у 2006-2007 роках спричинили негативні зміни в структурі кредитно-інвестиційних портфелів банків у 2008-2009 роках та високі кредитні ризики впродовж 2010 року. Якщо у 2008 році частка проблемних кредитів у структурі кредитного портфеля вітчизняних банків становила 1,3%, то у 2010 році цей показник зріс майже у 10 разів і сягнув рівня 10,7%, що в абсолютному вимірі становить 77,3 млрд. грн.[3].</w:t>
      </w:r>
    </w:p>
    <w:p w:rsidR="00D97C53" w:rsidRPr="00413B87" w:rsidRDefault="00D97C53" w:rsidP="00006626">
      <w:pPr>
        <w:spacing w:after="0" w:line="360" w:lineRule="auto"/>
        <w:ind w:firstLine="709"/>
        <w:jc w:val="both"/>
        <w:rPr>
          <w:rFonts w:ascii="Times New Roman" w:hAnsi="Times New Roman"/>
          <w:sz w:val="28"/>
          <w:szCs w:val="28"/>
          <w:lang w:val="uk-UA"/>
        </w:rPr>
      </w:pPr>
      <w:r w:rsidRPr="00413B87">
        <w:rPr>
          <w:rFonts w:ascii="Times New Roman" w:hAnsi="Times New Roman"/>
          <w:sz w:val="28"/>
          <w:szCs w:val="28"/>
          <w:lang w:val="uk-UA"/>
        </w:rPr>
        <w:t>Високі кредитні ризики зумовлюють значні відрахування у резерви на покриття втрат за кредитними операціями та свідчать про низький рівень рентабельності активів і капіталу банків. Так, показник відношення обсягу резервів під активні операції банків до обсягу наданих кредитів у 2009-2010 роках зріс із 6,1 до 18,2%, а рентабельність капіталу різко знизилася з 8,5 до (-) 14,6%, відповідно, наслідком чого стали великі фінансові втрати банків [4]. Формування значного обсягу резервів під можливі втрати за кредитними операціями банків має убезпечити їх від суттєвої втрати капіталу та банкрутства. Натомість зменшення витрат на резервування свідчило б про поліпшення якості кредитних портфелів банків, чого в сучасних умовах не спостерігається.</w:t>
      </w:r>
    </w:p>
    <w:p w:rsidR="00D97C53" w:rsidRPr="00413B87" w:rsidRDefault="00D97C53" w:rsidP="00006626">
      <w:pPr>
        <w:spacing w:after="0" w:line="360" w:lineRule="auto"/>
        <w:ind w:firstLine="709"/>
        <w:jc w:val="both"/>
        <w:rPr>
          <w:rFonts w:ascii="Times New Roman" w:hAnsi="Times New Roman"/>
          <w:sz w:val="28"/>
          <w:szCs w:val="28"/>
          <w:lang w:val="uk-UA"/>
        </w:rPr>
      </w:pPr>
      <w:r w:rsidRPr="00413B87">
        <w:rPr>
          <w:rFonts w:ascii="Times New Roman" w:hAnsi="Times New Roman"/>
          <w:sz w:val="28"/>
          <w:szCs w:val="28"/>
          <w:lang w:val="uk-UA"/>
        </w:rPr>
        <w:t>Проблемні активи негативно впливають на якість кредитних портфелів, суттєво понижують ефективність банківської діяльності, ускладнюють процес управління фінансовими потоками тощо. Перспективи щодо розвитку зазначених тенденцій є невтішними. Так, проблемні активи у структурі кредитного портфеля банків України у вересні 2010 року реально становили 34% від його вартості. За</w:t>
      </w:r>
      <w:r w:rsidR="00F97CDC">
        <w:rPr>
          <w:rFonts w:ascii="Times New Roman" w:hAnsi="Times New Roman"/>
          <w:sz w:val="28"/>
          <w:szCs w:val="28"/>
          <w:lang w:val="uk-UA"/>
        </w:rPr>
        <w:t xml:space="preserve"> прогнозом експертів компанії D</w:t>
      </w:r>
      <w:r w:rsidRPr="00413B87">
        <w:rPr>
          <w:rFonts w:ascii="Times New Roman" w:hAnsi="Times New Roman"/>
          <w:sz w:val="28"/>
          <w:szCs w:val="28"/>
          <w:lang w:val="uk-UA"/>
        </w:rPr>
        <w:t>B Reseach вже на початок 2011 року реальний показник проблемних активів банків мав зрости до 45% вартості кредитного портфеля [5].</w:t>
      </w:r>
    </w:p>
    <w:p w:rsidR="00D97C53" w:rsidRPr="00413B87" w:rsidRDefault="00D97C53" w:rsidP="00006626">
      <w:pPr>
        <w:spacing w:after="0" w:line="360" w:lineRule="auto"/>
        <w:ind w:firstLine="709"/>
        <w:jc w:val="both"/>
        <w:rPr>
          <w:rFonts w:ascii="Times New Roman" w:hAnsi="Times New Roman"/>
          <w:sz w:val="28"/>
          <w:szCs w:val="28"/>
          <w:lang w:val="uk-UA"/>
        </w:rPr>
      </w:pPr>
      <w:r w:rsidRPr="00413B87">
        <w:rPr>
          <w:rFonts w:ascii="Times New Roman" w:hAnsi="Times New Roman"/>
          <w:sz w:val="28"/>
          <w:szCs w:val="28"/>
          <w:lang w:val="uk-UA"/>
        </w:rPr>
        <w:t>У таких умовах стабілізація фінансового ринку значною мірою залежить від ефективності управління проблемними активами банків. Для вирішення такого завдання необхідно проаналізувати основні чинники управління проблемними активами банків. Внутрішньобанківські методи управління проблемними активами передбачають раннє реагування ризик-менеджерів на погіршення обслуговування позичальниками кредитів і включають в себе реабілітацію кредитної заборгованості та відновлення можливості позичальниками генерувати грошовий потік для обслуговування кредитів. Одним із найефективніших внутрішньобанківських методів роботи з проблемними активами є реструктуризація кредитної заборгованості [6].</w:t>
      </w:r>
    </w:p>
    <w:p w:rsidR="00D97C53" w:rsidRPr="00413B87" w:rsidRDefault="00D97C53" w:rsidP="00006626">
      <w:pPr>
        <w:spacing w:after="0" w:line="360" w:lineRule="auto"/>
        <w:ind w:firstLine="709"/>
        <w:jc w:val="both"/>
        <w:rPr>
          <w:rFonts w:ascii="Times New Roman" w:hAnsi="Times New Roman"/>
          <w:sz w:val="28"/>
          <w:szCs w:val="28"/>
          <w:lang w:val="uk-UA"/>
        </w:rPr>
      </w:pPr>
      <w:r w:rsidRPr="00413B87">
        <w:rPr>
          <w:rFonts w:ascii="Times New Roman" w:hAnsi="Times New Roman"/>
          <w:sz w:val="28"/>
          <w:szCs w:val="28"/>
          <w:lang w:val="uk-UA"/>
        </w:rPr>
        <w:t>Вітчизняна практика реструктуризації кредитної заборгованості упродовж 2008-2010 років дає підстави говорити про її обмежені можливості. Недоліками внутрішньобанківських методів управління проблемними активами є втрата ліквідності, відволікання істотних фінансових ресурсів від основної діяльності, утримання на балансі банку прогнозованих фінансових втрат за ризиками, обмежена гнучкість застосування. Практика засвідчує важливість об'єктивної економічної оцінки ефективності внутрішньобанківського регулювання кредитних ризиків з метою попередження виникнення високої частки проблемних активів у структурі кредитного портфеля.</w:t>
      </w:r>
    </w:p>
    <w:p w:rsidR="00D97C53" w:rsidRPr="00413B87" w:rsidRDefault="00D97C53" w:rsidP="00006626">
      <w:pPr>
        <w:spacing w:after="0" w:line="360" w:lineRule="auto"/>
        <w:ind w:firstLine="709"/>
        <w:jc w:val="both"/>
        <w:rPr>
          <w:rFonts w:ascii="Times New Roman" w:hAnsi="Times New Roman"/>
          <w:sz w:val="28"/>
          <w:szCs w:val="28"/>
          <w:lang w:val="uk-UA"/>
        </w:rPr>
      </w:pPr>
      <w:r w:rsidRPr="00413B87">
        <w:rPr>
          <w:rFonts w:ascii="Times New Roman" w:hAnsi="Times New Roman"/>
          <w:sz w:val="28"/>
          <w:szCs w:val="28"/>
          <w:lang w:val="uk-UA"/>
        </w:rPr>
        <w:t>У разі неефективності застосування внутрішньобанківських методів управління проблемними активами менеджмент банку може прийняти рішення про доцільність зовнішніх щодо банку дій для поліпшення структури його балансу та відновлення ліквідності. Це актуалізує практику застосування зовнішніх методів управління проблемними активами, серед яких:</w:t>
      </w:r>
    </w:p>
    <w:p w:rsidR="00D97C53" w:rsidRPr="00413B87" w:rsidRDefault="00D97C53" w:rsidP="00006626">
      <w:pPr>
        <w:numPr>
          <w:ilvl w:val="0"/>
          <w:numId w:val="9"/>
        </w:numPr>
        <w:spacing w:after="0" w:line="360" w:lineRule="auto"/>
        <w:ind w:left="0" w:firstLine="709"/>
        <w:contextualSpacing/>
        <w:jc w:val="both"/>
        <w:rPr>
          <w:rFonts w:ascii="Times New Roman" w:hAnsi="Times New Roman"/>
          <w:sz w:val="28"/>
          <w:szCs w:val="28"/>
          <w:lang w:val="uk-UA"/>
        </w:rPr>
      </w:pPr>
      <w:r w:rsidRPr="00413B87">
        <w:rPr>
          <w:rFonts w:ascii="Times New Roman" w:hAnsi="Times New Roman"/>
          <w:sz w:val="28"/>
          <w:szCs w:val="28"/>
          <w:lang w:val="uk-UA"/>
        </w:rPr>
        <w:t>передача проблемних активів в управління третій особі (колектору);</w:t>
      </w:r>
    </w:p>
    <w:p w:rsidR="00D97C53" w:rsidRPr="00413B87" w:rsidRDefault="00D97C53" w:rsidP="00006626">
      <w:pPr>
        <w:numPr>
          <w:ilvl w:val="0"/>
          <w:numId w:val="9"/>
        </w:numPr>
        <w:spacing w:after="0" w:line="360" w:lineRule="auto"/>
        <w:ind w:left="0" w:firstLine="709"/>
        <w:contextualSpacing/>
        <w:jc w:val="both"/>
        <w:rPr>
          <w:rFonts w:ascii="Times New Roman" w:hAnsi="Times New Roman"/>
          <w:sz w:val="28"/>
          <w:szCs w:val="28"/>
          <w:lang w:val="uk-UA"/>
        </w:rPr>
      </w:pPr>
      <w:r w:rsidRPr="00413B87">
        <w:rPr>
          <w:rFonts w:ascii="Times New Roman" w:hAnsi="Times New Roman"/>
          <w:sz w:val="28"/>
          <w:szCs w:val="28"/>
          <w:lang w:val="uk-UA"/>
        </w:rPr>
        <w:t>передача/продаж проблемних активів пов'язаній фінансовій компанії;</w:t>
      </w:r>
    </w:p>
    <w:p w:rsidR="00D97C53" w:rsidRPr="00413B87" w:rsidRDefault="00D97C53" w:rsidP="00006626">
      <w:pPr>
        <w:numPr>
          <w:ilvl w:val="0"/>
          <w:numId w:val="9"/>
        </w:numPr>
        <w:spacing w:after="0" w:line="360" w:lineRule="auto"/>
        <w:ind w:left="0" w:firstLine="709"/>
        <w:contextualSpacing/>
        <w:jc w:val="both"/>
        <w:rPr>
          <w:rFonts w:ascii="Times New Roman" w:hAnsi="Times New Roman"/>
          <w:sz w:val="28"/>
          <w:szCs w:val="28"/>
          <w:lang w:val="uk-UA"/>
        </w:rPr>
      </w:pPr>
      <w:r w:rsidRPr="00413B87">
        <w:rPr>
          <w:rFonts w:ascii="Times New Roman" w:hAnsi="Times New Roman"/>
          <w:sz w:val="28"/>
          <w:szCs w:val="28"/>
          <w:lang w:val="uk-UA"/>
        </w:rPr>
        <w:t>продаж проблемних активів на умовах факторингу;</w:t>
      </w:r>
    </w:p>
    <w:p w:rsidR="00D97C53" w:rsidRPr="00413B87" w:rsidRDefault="00D97C53" w:rsidP="00006626">
      <w:pPr>
        <w:numPr>
          <w:ilvl w:val="0"/>
          <w:numId w:val="9"/>
        </w:numPr>
        <w:spacing w:after="0" w:line="360" w:lineRule="auto"/>
        <w:ind w:left="0" w:firstLine="709"/>
        <w:contextualSpacing/>
        <w:jc w:val="both"/>
        <w:rPr>
          <w:rFonts w:ascii="Times New Roman" w:hAnsi="Times New Roman"/>
          <w:sz w:val="28"/>
          <w:szCs w:val="28"/>
          <w:lang w:val="uk-UA"/>
        </w:rPr>
      </w:pPr>
      <w:r w:rsidRPr="00413B87">
        <w:rPr>
          <w:rFonts w:ascii="Times New Roman" w:hAnsi="Times New Roman"/>
          <w:sz w:val="28"/>
          <w:szCs w:val="28"/>
          <w:lang w:val="uk-UA"/>
        </w:rPr>
        <w:t xml:space="preserve">здійснення </w:t>
      </w:r>
      <w:r w:rsidR="002811FB">
        <w:rPr>
          <w:rFonts w:ascii="Times New Roman" w:hAnsi="Times New Roman"/>
          <w:sz w:val="28"/>
          <w:szCs w:val="28"/>
          <w:lang w:val="uk-UA"/>
        </w:rPr>
        <w:t>секью</w:t>
      </w:r>
      <w:r w:rsidRPr="00932C1E">
        <w:rPr>
          <w:rFonts w:ascii="Times New Roman" w:hAnsi="Times New Roman"/>
          <w:sz w:val="28"/>
          <w:szCs w:val="28"/>
          <w:lang w:val="uk-UA"/>
        </w:rPr>
        <w:t>р</w:t>
      </w:r>
      <w:r w:rsidR="002811FB">
        <w:rPr>
          <w:rFonts w:ascii="Times New Roman" w:hAnsi="Times New Roman"/>
          <w:sz w:val="28"/>
          <w:szCs w:val="28"/>
          <w:lang w:val="uk-UA"/>
        </w:rPr>
        <w:t>и</w:t>
      </w:r>
      <w:r w:rsidRPr="00932C1E">
        <w:rPr>
          <w:rFonts w:ascii="Times New Roman" w:hAnsi="Times New Roman"/>
          <w:sz w:val="28"/>
          <w:szCs w:val="28"/>
          <w:lang w:val="uk-UA"/>
        </w:rPr>
        <w:t>зації</w:t>
      </w:r>
      <w:r w:rsidRPr="00413B87">
        <w:rPr>
          <w:rFonts w:ascii="Times New Roman" w:hAnsi="Times New Roman"/>
          <w:sz w:val="28"/>
          <w:szCs w:val="28"/>
          <w:lang w:val="uk-UA"/>
        </w:rPr>
        <w:t xml:space="preserve"> активів;</w:t>
      </w:r>
    </w:p>
    <w:p w:rsidR="00D97C53" w:rsidRPr="00413B87" w:rsidRDefault="00D97C53" w:rsidP="00006626">
      <w:pPr>
        <w:numPr>
          <w:ilvl w:val="0"/>
          <w:numId w:val="9"/>
        </w:numPr>
        <w:spacing w:after="0" w:line="360" w:lineRule="auto"/>
        <w:ind w:left="0" w:firstLine="709"/>
        <w:contextualSpacing/>
        <w:jc w:val="both"/>
        <w:rPr>
          <w:rFonts w:ascii="Times New Roman" w:hAnsi="Times New Roman"/>
          <w:sz w:val="28"/>
          <w:szCs w:val="28"/>
          <w:lang w:val="uk-UA"/>
        </w:rPr>
      </w:pPr>
      <w:r w:rsidRPr="00413B87">
        <w:rPr>
          <w:rFonts w:ascii="Times New Roman" w:hAnsi="Times New Roman"/>
          <w:sz w:val="28"/>
          <w:szCs w:val="28"/>
          <w:lang w:val="uk-UA"/>
        </w:rPr>
        <w:t>інші методи.</w:t>
      </w:r>
    </w:p>
    <w:p w:rsidR="00D97C53" w:rsidRPr="00413B87" w:rsidRDefault="00D97C53" w:rsidP="00006626">
      <w:pPr>
        <w:spacing w:after="0" w:line="360" w:lineRule="auto"/>
        <w:ind w:firstLine="709"/>
        <w:jc w:val="both"/>
        <w:rPr>
          <w:rFonts w:ascii="Times New Roman" w:hAnsi="Times New Roman"/>
          <w:sz w:val="28"/>
          <w:szCs w:val="28"/>
          <w:lang w:val="uk-UA"/>
        </w:rPr>
      </w:pPr>
      <w:r w:rsidRPr="00413B87">
        <w:rPr>
          <w:rFonts w:ascii="Times New Roman" w:hAnsi="Times New Roman"/>
          <w:sz w:val="28"/>
          <w:szCs w:val="28"/>
          <w:lang w:val="uk-UA"/>
        </w:rPr>
        <w:t>Порівняльна характеристика зовнішніх методів управління проблемними активами банків дає змогу зробити висновок щодо ефективності їх вибору та застосування у кожному конкретному випадку банківської діяльності з урахуванням умов фактичного структурування портфеля проблемних активів [8].</w:t>
      </w:r>
    </w:p>
    <w:p w:rsidR="00D97C53" w:rsidRPr="00413B87" w:rsidRDefault="00D97C53" w:rsidP="00006626">
      <w:pPr>
        <w:spacing w:after="0" w:line="360" w:lineRule="auto"/>
        <w:ind w:firstLine="709"/>
        <w:jc w:val="both"/>
        <w:rPr>
          <w:rFonts w:ascii="Times New Roman" w:hAnsi="Times New Roman"/>
          <w:sz w:val="28"/>
          <w:szCs w:val="28"/>
          <w:lang w:val="uk-UA"/>
        </w:rPr>
      </w:pPr>
      <w:r w:rsidRPr="00413B87">
        <w:rPr>
          <w:rFonts w:ascii="Times New Roman" w:hAnsi="Times New Roman"/>
          <w:sz w:val="28"/>
          <w:szCs w:val="28"/>
          <w:lang w:val="uk-UA"/>
        </w:rPr>
        <w:t>Банківський досвід застосування методів продажу проблемних активів в Україні свідчить про активний розвиток упродовж 2009 - 2010 років таких форм, як передача проблемних активів в управління третій особі (колектору) та продаж проблемних активів непов'язаній фінансовій компанії на умовах факторингу. Так, за даними колекторської компанії Кредіт Коллекшен Груп (Сгеdit Соllесtіоn Group - CCG), у 2009 ропі банківський сектор України передав в обслуговування колекторам проблемних активів обсягом понад 2 млрд. гривень за середньою ринковою ціною - не більше 10% від суми заборгованості за тілом кредиту (9). Найактивнішими учасниками ринку продажу проблемних активів у 2009-2010 роках були Правекс-банк, ІНГ-Банк Україна. Кредит-Європа-банк, Індекс-банк, СЕБ-банк. ОТП-банк, БТА-банк, Кредобанк, банк «Ренесанс-капітал», Унікредит-банк та Платинум-баик. При цьому продаж проблемних кредитів юридичних осіб, залежно від ефективності їх структуризації, здійснювався з дисконтом 40-60%, а споживчих кредитів - 90-95%. Найчастіше купували проблемні активи компанії ССС, «Укрфінанс», еКол, КредЕкс (еСаll, СгеdЕх) і «Укрборг», які й нині є найактивнішими учасниками банківських тендерів. Експерти прогнозують, що українські банки готові продати компаніям із управління проблемними активами 45-50% проблемних кредитів, а висока конкуренція серед покупців спричиняє зростання цін на проблемні активи [9].</w:t>
      </w:r>
    </w:p>
    <w:p w:rsidR="00D97C53" w:rsidRPr="00413B87" w:rsidRDefault="00D97C53" w:rsidP="00006626">
      <w:pPr>
        <w:spacing w:after="0" w:line="360" w:lineRule="auto"/>
        <w:ind w:firstLine="709"/>
        <w:jc w:val="both"/>
        <w:rPr>
          <w:rFonts w:ascii="Times New Roman" w:hAnsi="Times New Roman"/>
          <w:sz w:val="28"/>
          <w:szCs w:val="28"/>
          <w:lang w:val="uk-UA"/>
        </w:rPr>
      </w:pPr>
      <w:r w:rsidRPr="00413B87">
        <w:rPr>
          <w:rFonts w:ascii="Times New Roman" w:hAnsi="Times New Roman"/>
          <w:sz w:val="28"/>
          <w:szCs w:val="28"/>
          <w:lang w:val="uk-UA"/>
        </w:rPr>
        <w:t>Фінансові переваги здійснення таких операцій є очевидними. Адже фінансові установи включають у витрати суму списань, при продажу кредитів з дисконтом без сплати податку на прибуток, спрямовують в активні операції кошти резервів, зменшують обсяги витрат тощо.</w:t>
      </w:r>
    </w:p>
    <w:p w:rsidR="00D97C53" w:rsidRPr="00413B87" w:rsidRDefault="00D97C53" w:rsidP="00006626">
      <w:pPr>
        <w:spacing w:after="0" w:line="360" w:lineRule="auto"/>
        <w:ind w:firstLine="709"/>
        <w:jc w:val="both"/>
        <w:rPr>
          <w:rFonts w:ascii="Times New Roman" w:hAnsi="Times New Roman"/>
          <w:sz w:val="28"/>
          <w:szCs w:val="28"/>
          <w:lang w:val="uk-UA"/>
        </w:rPr>
      </w:pPr>
      <w:r w:rsidRPr="00413B87">
        <w:rPr>
          <w:rFonts w:ascii="Times New Roman" w:hAnsi="Times New Roman"/>
          <w:sz w:val="28"/>
          <w:szCs w:val="28"/>
          <w:lang w:val="uk-UA"/>
        </w:rPr>
        <w:t>Сьогодні дедалі більше загострюються питання зменшення реальної вартості проблемних активів, юридичних аспектів реалізації заставного майна, розробки механізму державних аукціонів щодо викупу майна, яке перебуває у заставі, співпраці банків з колекторськими агентствами та компаніями з управління проблемними кредитами. Незалежно від моделі продажу проблемних активів, які можуть бути обрані менеджментом банків, залишаються актуальними гострі питання, які потребують нагального вирішення, зокрема - створення й реалізації механізму фінансування викупу проблемних активів шляхом поєднання інтересів усіх зацікавлених сторін та розроблення відповідного нормативно-правового забезпечення здійснення таких операцій.</w:t>
      </w:r>
    </w:p>
    <w:p w:rsidR="00D97C53" w:rsidRPr="00413B87" w:rsidRDefault="00D97C53" w:rsidP="0000662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t>Список використаних джерел</w:t>
      </w:r>
    </w:p>
    <w:p w:rsidR="002F70CF" w:rsidRPr="002F70CF" w:rsidRDefault="002F70CF" w:rsidP="002F70CF">
      <w:pPr>
        <w:tabs>
          <w:tab w:val="left" w:pos="440"/>
        </w:tabs>
        <w:spacing w:after="0" w:line="360" w:lineRule="auto"/>
        <w:contextualSpacing/>
        <w:jc w:val="both"/>
        <w:rPr>
          <w:rFonts w:ascii="Times New Roman" w:hAnsi="Times New Roman"/>
          <w:color w:val="FFFFFF"/>
          <w:sz w:val="28"/>
          <w:szCs w:val="28"/>
          <w:lang w:val="uk-UA"/>
        </w:rPr>
      </w:pPr>
      <w:r w:rsidRPr="002F70CF">
        <w:rPr>
          <w:rFonts w:ascii="Times New Roman" w:hAnsi="Times New Roman"/>
          <w:color w:val="FFFFFF"/>
          <w:sz w:val="28"/>
          <w:szCs w:val="28"/>
          <w:lang w:val="uk-UA"/>
        </w:rPr>
        <w:t>банківське кредитування депозит</w:t>
      </w:r>
    </w:p>
    <w:p w:rsidR="00D97C53" w:rsidRPr="00413B87" w:rsidRDefault="00D97C53" w:rsidP="00F55F5A">
      <w:pPr>
        <w:numPr>
          <w:ilvl w:val="0"/>
          <w:numId w:val="10"/>
        </w:numPr>
        <w:tabs>
          <w:tab w:val="left" w:pos="440"/>
        </w:tabs>
        <w:spacing w:after="0" w:line="360" w:lineRule="auto"/>
        <w:ind w:left="0" w:firstLine="0"/>
        <w:contextualSpacing/>
        <w:jc w:val="both"/>
        <w:rPr>
          <w:rFonts w:ascii="Times New Roman" w:hAnsi="Times New Roman"/>
          <w:sz w:val="28"/>
          <w:szCs w:val="28"/>
          <w:lang w:val="uk-UA"/>
        </w:rPr>
      </w:pPr>
      <w:r w:rsidRPr="00413B87">
        <w:rPr>
          <w:rFonts w:ascii="Times New Roman" w:hAnsi="Times New Roman"/>
          <w:sz w:val="28"/>
          <w:szCs w:val="28"/>
          <w:lang w:val="uk-UA"/>
        </w:rPr>
        <w:t>Герасименко В. Причини виникнення та форми прояву фінансової кризи в банківській системі України / В.</w:t>
      </w:r>
      <w:r>
        <w:rPr>
          <w:rFonts w:ascii="Times New Roman" w:hAnsi="Times New Roman"/>
          <w:sz w:val="28"/>
          <w:szCs w:val="28"/>
          <w:lang w:val="uk-UA"/>
        </w:rPr>
        <w:t xml:space="preserve"> </w:t>
      </w:r>
      <w:r w:rsidRPr="00413B87">
        <w:rPr>
          <w:rFonts w:ascii="Times New Roman" w:hAnsi="Times New Roman"/>
          <w:sz w:val="28"/>
          <w:szCs w:val="28"/>
          <w:lang w:val="uk-UA"/>
        </w:rPr>
        <w:t>Герасименко, Р. Герасименко // Вісник Національного банку України. - 2010. - № 7. - С. 12-19.</w:t>
      </w:r>
    </w:p>
    <w:p w:rsidR="00D97C53" w:rsidRPr="00413B87" w:rsidRDefault="00D97C53" w:rsidP="00F55F5A">
      <w:pPr>
        <w:numPr>
          <w:ilvl w:val="0"/>
          <w:numId w:val="10"/>
        </w:numPr>
        <w:tabs>
          <w:tab w:val="left" w:pos="440"/>
        </w:tabs>
        <w:spacing w:after="0" w:line="360" w:lineRule="auto"/>
        <w:ind w:left="0" w:firstLine="0"/>
        <w:contextualSpacing/>
        <w:jc w:val="both"/>
        <w:rPr>
          <w:rFonts w:ascii="Times New Roman" w:hAnsi="Times New Roman"/>
          <w:sz w:val="28"/>
          <w:szCs w:val="28"/>
          <w:lang w:val="uk-UA"/>
        </w:rPr>
      </w:pPr>
      <w:r w:rsidRPr="00413B87">
        <w:rPr>
          <w:rFonts w:ascii="Times New Roman" w:hAnsi="Times New Roman"/>
          <w:sz w:val="28"/>
          <w:szCs w:val="28"/>
          <w:lang w:val="uk-UA"/>
        </w:rPr>
        <w:t>Дзюблюк О. Грошово-кредитна політика в період кризових явищ на світових фінансових ринках / О. Дзюблюк // Вісник Національного банку України. - 2009. -№Х- С. 20-30.</w:t>
      </w:r>
    </w:p>
    <w:p w:rsidR="00D97C53" w:rsidRPr="00413B87" w:rsidRDefault="00D97C53" w:rsidP="00F55F5A">
      <w:pPr>
        <w:numPr>
          <w:ilvl w:val="0"/>
          <w:numId w:val="10"/>
        </w:numPr>
        <w:tabs>
          <w:tab w:val="left" w:pos="440"/>
        </w:tabs>
        <w:spacing w:after="0" w:line="360" w:lineRule="auto"/>
        <w:ind w:left="0" w:firstLine="0"/>
        <w:contextualSpacing/>
        <w:jc w:val="both"/>
        <w:rPr>
          <w:rFonts w:ascii="Times New Roman" w:hAnsi="Times New Roman"/>
          <w:sz w:val="28"/>
          <w:szCs w:val="28"/>
          <w:lang w:val="uk-UA"/>
        </w:rPr>
      </w:pPr>
      <w:r w:rsidRPr="00413B87">
        <w:rPr>
          <w:rFonts w:ascii="Times New Roman" w:hAnsi="Times New Roman"/>
          <w:sz w:val="28"/>
          <w:szCs w:val="28"/>
          <w:lang w:val="uk-UA"/>
        </w:rPr>
        <w:t>Карчева Г. Основні проблеми розвитку банківської системи України в посткризовий період та шяхи їх вирішення / Г. Карчева // Вісник Національного банку України. - 2010. - № 8. - С. 26-32.</w:t>
      </w:r>
    </w:p>
    <w:p w:rsidR="00D97C53" w:rsidRPr="00413B87" w:rsidRDefault="00D97C53" w:rsidP="00F55F5A">
      <w:pPr>
        <w:numPr>
          <w:ilvl w:val="0"/>
          <w:numId w:val="10"/>
        </w:numPr>
        <w:tabs>
          <w:tab w:val="left" w:pos="440"/>
        </w:tabs>
        <w:spacing w:after="0" w:line="360" w:lineRule="auto"/>
        <w:ind w:left="0" w:firstLine="0"/>
        <w:contextualSpacing/>
        <w:jc w:val="both"/>
        <w:rPr>
          <w:rFonts w:ascii="Times New Roman" w:hAnsi="Times New Roman"/>
          <w:sz w:val="28"/>
          <w:szCs w:val="28"/>
          <w:lang w:val="uk-UA"/>
        </w:rPr>
      </w:pPr>
      <w:r w:rsidRPr="00413B87">
        <w:rPr>
          <w:rFonts w:ascii="Times New Roman" w:hAnsi="Times New Roman"/>
          <w:sz w:val="28"/>
          <w:szCs w:val="28"/>
          <w:lang w:val="uk-UA"/>
        </w:rPr>
        <w:t>Управління банківськими ризиками: [Текст]: навч. посіб. / Л.О.</w:t>
      </w:r>
      <w:r>
        <w:rPr>
          <w:rFonts w:ascii="Times New Roman" w:hAnsi="Times New Roman"/>
          <w:sz w:val="28"/>
          <w:szCs w:val="28"/>
          <w:lang w:val="uk-UA"/>
        </w:rPr>
        <w:t xml:space="preserve"> Примостка, П.М. Чуб, Г.</w:t>
      </w:r>
      <w:r w:rsidRPr="00413B87">
        <w:rPr>
          <w:rFonts w:ascii="Times New Roman" w:hAnsi="Times New Roman"/>
          <w:sz w:val="28"/>
          <w:szCs w:val="28"/>
          <w:lang w:val="uk-UA"/>
        </w:rPr>
        <w:t>Т. Карчева та інші; за заг. ред. д-ра екон. наук, проф. Примост-ки Л.О. - Київ: КНЕУ, 2007. - 600с.</w:t>
      </w:r>
    </w:p>
    <w:p w:rsidR="00D97C53" w:rsidRPr="00413B87" w:rsidRDefault="00D97C53" w:rsidP="00F55F5A">
      <w:pPr>
        <w:numPr>
          <w:ilvl w:val="0"/>
          <w:numId w:val="10"/>
        </w:numPr>
        <w:tabs>
          <w:tab w:val="left" w:pos="440"/>
        </w:tabs>
        <w:spacing w:after="0" w:line="360" w:lineRule="auto"/>
        <w:ind w:left="0" w:firstLine="0"/>
        <w:contextualSpacing/>
        <w:jc w:val="both"/>
        <w:rPr>
          <w:rFonts w:ascii="Times New Roman" w:hAnsi="Times New Roman"/>
          <w:sz w:val="28"/>
          <w:szCs w:val="28"/>
          <w:lang w:val="uk-UA"/>
        </w:rPr>
      </w:pPr>
      <w:r w:rsidRPr="00413B87">
        <w:rPr>
          <w:rFonts w:ascii="Times New Roman" w:hAnsi="Times New Roman"/>
          <w:sz w:val="28"/>
          <w:szCs w:val="28"/>
          <w:lang w:val="uk-UA"/>
        </w:rPr>
        <w:t>Мітенко В. Удосконалення управлі</w:t>
      </w:r>
      <w:r>
        <w:rPr>
          <w:rFonts w:ascii="Times New Roman" w:hAnsi="Times New Roman"/>
          <w:sz w:val="28"/>
          <w:szCs w:val="28"/>
          <w:lang w:val="uk-UA"/>
        </w:rPr>
        <w:t>ння проблемними активами банків</w:t>
      </w:r>
      <w:r w:rsidRPr="00413B87">
        <w:rPr>
          <w:rFonts w:ascii="Times New Roman" w:hAnsi="Times New Roman"/>
          <w:sz w:val="28"/>
          <w:szCs w:val="28"/>
          <w:lang w:val="uk-UA"/>
        </w:rPr>
        <w:t>/ Мітенко В. // [Електронний ресурс]: Режим доступу: httр://librari.іf.иа/аrticles/ aryikle-37/</w:t>
      </w:r>
    </w:p>
    <w:p w:rsidR="00D97C53" w:rsidRPr="00413B87" w:rsidRDefault="00D97C53" w:rsidP="00F55F5A">
      <w:pPr>
        <w:numPr>
          <w:ilvl w:val="0"/>
          <w:numId w:val="10"/>
        </w:numPr>
        <w:tabs>
          <w:tab w:val="left" w:pos="440"/>
        </w:tabs>
        <w:spacing w:after="0" w:line="36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Нідзельська І.</w:t>
      </w:r>
      <w:r w:rsidRPr="00413B87">
        <w:rPr>
          <w:rFonts w:ascii="Times New Roman" w:hAnsi="Times New Roman"/>
          <w:sz w:val="28"/>
          <w:szCs w:val="28"/>
          <w:lang w:val="uk-UA"/>
        </w:rPr>
        <w:t>А. Кредитні ризики та їх наслідки для банківської системи України в умовах по</w:t>
      </w:r>
      <w:r>
        <w:rPr>
          <w:rFonts w:ascii="Times New Roman" w:hAnsi="Times New Roman"/>
          <w:sz w:val="28"/>
          <w:szCs w:val="28"/>
          <w:lang w:val="uk-UA"/>
        </w:rPr>
        <w:t>глиблення фінансової кризи / І.</w:t>
      </w:r>
      <w:r w:rsidRPr="00413B87">
        <w:rPr>
          <w:rFonts w:ascii="Times New Roman" w:hAnsi="Times New Roman"/>
          <w:sz w:val="28"/>
          <w:szCs w:val="28"/>
          <w:lang w:val="uk-UA"/>
        </w:rPr>
        <w:t>А. Нідзельська // Фінанси України. - 2009. - №8. -С. 102-108.</w:t>
      </w:r>
    </w:p>
    <w:p w:rsidR="00D97C53" w:rsidRPr="00413B87" w:rsidRDefault="00D97C53" w:rsidP="00F55F5A">
      <w:pPr>
        <w:numPr>
          <w:ilvl w:val="0"/>
          <w:numId w:val="10"/>
        </w:numPr>
        <w:tabs>
          <w:tab w:val="left" w:pos="440"/>
        </w:tabs>
        <w:spacing w:after="0" w:line="360" w:lineRule="auto"/>
        <w:ind w:left="0" w:firstLine="0"/>
        <w:contextualSpacing/>
        <w:jc w:val="both"/>
        <w:rPr>
          <w:rFonts w:ascii="Times New Roman" w:hAnsi="Times New Roman"/>
          <w:sz w:val="28"/>
          <w:szCs w:val="28"/>
          <w:lang w:val="uk-UA"/>
        </w:rPr>
      </w:pPr>
      <w:r w:rsidRPr="00413B87">
        <w:rPr>
          <w:rFonts w:ascii="Times New Roman" w:hAnsi="Times New Roman"/>
          <w:sz w:val="28"/>
          <w:szCs w:val="28"/>
          <w:lang w:val="uk-UA"/>
        </w:rPr>
        <w:t>Лаврушин О.И. Кредит и економический рост / О.И. Лаврушин // Банковское дело. - № 1. - 2010. - С. 24-27.</w:t>
      </w:r>
    </w:p>
    <w:p w:rsidR="00D97C53" w:rsidRPr="00413B87" w:rsidRDefault="00D97C53" w:rsidP="00F55F5A">
      <w:pPr>
        <w:numPr>
          <w:ilvl w:val="0"/>
          <w:numId w:val="10"/>
        </w:numPr>
        <w:tabs>
          <w:tab w:val="left" w:pos="440"/>
        </w:tabs>
        <w:spacing w:after="0" w:line="360" w:lineRule="auto"/>
        <w:ind w:left="0" w:firstLine="0"/>
        <w:contextualSpacing/>
        <w:jc w:val="both"/>
        <w:rPr>
          <w:rFonts w:ascii="Times New Roman" w:hAnsi="Times New Roman"/>
          <w:sz w:val="28"/>
          <w:szCs w:val="28"/>
          <w:lang w:val="uk-UA"/>
        </w:rPr>
      </w:pPr>
      <w:r w:rsidRPr="00413B87">
        <w:rPr>
          <w:rFonts w:ascii="Times New Roman" w:hAnsi="Times New Roman"/>
          <w:sz w:val="28"/>
          <w:szCs w:val="28"/>
          <w:lang w:val="uk-UA"/>
        </w:rPr>
        <w:t>Руденко В. Довгі борги / В.Руденко // Контракти. - 2009. - № 10. - С. 18-21.</w:t>
      </w:r>
    </w:p>
    <w:p w:rsidR="00D97C53" w:rsidRPr="00413B87" w:rsidRDefault="00D97C53" w:rsidP="00F55F5A">
      <w:pPr>
        <w:numPr>
          <w:ilvl w:val="0"/>
          <w:numId w:val="10"/>
        </w:numPr>
        <w:tabs>
          <w:tab w:val="left" w:pos="440"/>
        </w:tabs>
        <w:spacing w:after="0" w:line="360" w:lineRule="auto"/>
        <w:ind w:left="0" w:firstLine="0"/>
        <w:contextualSpacing/>
        <w:jc w:val="both"/>
        <w:rPr>
          <w:rFonts w:ascii="Times New Roman" w:hAnsi="Times New Roman"/>
          <w:sz w:val="28"/>
          <w:szCs w:val="28"/>
          <w:lang w:val="uk-UA"/>
        </w:rPr>
      </w:pPr>
      <w:r w:rsidRPr="00413B87">
        <w:rPr>
          <w:rFonts w:ascii="Times New Roman" w:hAnsi="Times New Roman"/>
          <w:sz w:val="28"/>
          <w:szCs w:val="28"/>
          <w:lang w:val="uk-UA"/>
        </w:rPr>
        <w:t>Банки таємно продають проблемні борги? // [Електронний ресурс]: Режим доступу: lications/2010/02/26/228183/.</w:t>
      </w:r>
    </w:p>
    <w:p w:rsidR="00D97C53" w:rsidRPr="00B908A1" w:rsidRDefault="00D97C53" w:rsidP="00B908A1">
      <w:pPr>
        <w:shd w:val="clear" w:color="auto" w:fill="FFFFFF"/>
        <w:autoSpaceDE w:val="0"/>
        <w:autoSpaceDN w:val="0"/>
        <w:adjustRightInd w:val="0"/>
        <w:spacing w:before="160" w:line="360" w:lineRule="auto"/>
        <w:ind w:firstLine="709"/>
        <w:jc w:val="center"/>
        <w:rPr>
          <w:rFonts w:ascii="Times New Roman" w:hAnsi="Times New Roman"/>
          <w:color w:val="FFFFFF"/>
          <w:sz w:val="28"/>
          <w:szCs w:val="28"/>
        </w:rPr>
      </w:pPr>
    </w:p>
    <w:p w:rsidR="00D97C53" w:rsidRPr="00413B87" w:rsidRDefault="00D97C53" w:rsidP="00006626">
      <w:pPr>
        <w:pStyle w:val="a5"/>
        <w:spacing w:after="0" w:line="360" w:lineRule="auto"/>
        <w:ind w:left="0" w:firstLine="709"/>
        <w:jc w:val="both"/>
        <w:rPr>
          <w:rFonts w:ascii="Times New Roman" w:hAnsi="Times New Roman"/>
          <w:sz w:val="28"/>
          <w:szCs w:val="28"/>
          <w:lang w:val="uk-UA" w:eastAsia="ru-RU"/>
        </w:rPr>
      </w:pPr>
      <w:bookmarkStart w:id="0" w:name="_GoBack"/>
      <w:bookmarkEnd w:id="0"/>
    </w:p>
    <w:sectPr w:rsidR="00D97C53" w:rsidRPr="00413B87" w:rsidSect="00006626">
      <w:headerReference w:type="default" r:id="rId24"/>
      <w:headerReference w:type="first" r:id="rId25"/>
      <w:type w:val="nextColumn"/>
      <w:pgSz w:w="11906" w:h="16838"/>
      <w:pgMar w:top="1134" w:right="850" w:bottom="1134" w:left="1701"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0D3" w:rsidRDefault="004A10D3">
      <w:r>
        <w:separator/>
      </w:r>
    </w:p>
  </w:endnote>
  <w:endnote w:type="continuationSeparator" w:id="0">
    <w:p w:rsidR="004A10D3" w:rsidRDefault="004A1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0D3" w:rsidRDefault="004A10D3">
      <w:r>
        <w:separator/>
      </w:r>
    </w:p>
  </w:footnote>
  <w:footnote w:type="continuationSeparator" w:id="0">
    <w:p w:rsidR="004A10D3" w:rsidRDefault="004A10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C53" w:rsidRPr="00952A20" w:rsidRDefault="00D97C53" w:rsidP="00952A20">
    <w:pPr>
      <w:pStyle w:val="a6"/>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C53" w:rsidRPr="00952A20" w:rsidRDefault="00D97C53" w:rsidP="00952A20">
    <w:pPr>
      <w:pStyle w:val="a6"/>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C43F0"/>
    <w:multiLevelType w:val="multilevel"/>
    <w:tmpl w:val="B5204278"/>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0C4F69D4"/>
    <w:multiLevelType w:val="multilevel"/>
    <w:tmpl w:val="D7D6CD60"/>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2">
    <w:nsid w:val="118E1A4E"/>
    <w:multiLevelType w:val="multilevel"/>
    <w:tmpl w:val="B5204278"/>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nsid w:val="18A106B5"/>
    <w:multiLevelType w:val="hybridMultilevel"/>
    <w:tmpl w:val="D7D6CD6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22EC78BB"/>
    <w:multiLevelType w:val="hybridMultilevel"/>
    <w:tmpl w:val="E33ADA9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35F2FBD"/>
    <w:multiLevelType w:val="hybridMultilevel"/>
    <w:tmpl w:val="4E8E0398"/>
    <w:lvl w:ilvl="0" w:tplc="0419000D">
      <w:start w:val="1"/>
      <w:numFmt w:val="bullet"/>
      <w:lvlText w:val=""/>
      <w:lvlJc w:val="left"/>
      <w:pPr>
        <w:tabs>
          <w:tab w:val="num" w:pos="1200"/>
        </w:tabs>
        <w:ind w:left="1200" w:hanging="360"/>
      </w:pPr>
      <w:rPr>
        <w:rFonts w:ascii="Wingdings" w:hAnsi="Wingdings"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6">
    <w:nsid w:val="271460B7"/>
    <w:multiLevelType w:val="multilevel"/>
    <w:tmpl w:val="E33ADA9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nsid w:val="275D469D"/>
    <w:multiLevelType w:val="hybridMultilevel"/>
    <w:tmpl w:val="6150D9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34A30F8C"/>
    <w:multiLevelType w:val="hybridMultilevel"/>
    <w:tmpl w:val="2B5CAFA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36871F1F"/>
    <w:multiLevelType w:val="multilevel"/>
    <w:tmpl w:val="E33ADA9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nsid w:val="3A0A6424"/>
    <w:multiLevelType w:val="hybridMultilevel"/>
    <w:tmpl w:val="0BF4E58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29C2313"/>
    <w:multiLevelType w:val="hybridMultilevel"/>
    <w:tmpl w:val="B5204278"/>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04531FE"/>
    <w:multiLevelType w:val="hybridMultilevel"/>
    <w:tmpl w:val="2EA4C63A"/>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13">
    <w:nsid w:val="586F6D54"/>
    <w:multiLevelType w:val="hybridMultilevel"/>
    <w:tmpl w:val="08ECB38A"/>
    <w:lvl w:ilvl="0" w:tplc="7E46E94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DAA6443"/>
    <w:multiLevelType w:val="hybridMultilevel"/>
    <w:tmpl w:val="6BDC47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7"/>
  </w:num>
  <w:num w:numId="3">
    <w:abstractNumId w:val="14"/>
  </w:num>
  <w:num w:numId="4">
    <w:abstractNumId w:val="12"/>
  </w:num>
  <w:num w:numId="5">
    <w:abstractNumId w:val="5"/>
  </w:num>
  <w:num w:numId="6">
    <w:abstractNumId w:val="4"/>
  </w:num>
  <w:num w:numId="7">
    <w:abstractNumId w:val="3"/>
  </w:num>
  <w:num w:numId="8">
    <w:abstractNumId w:val="11"/>
  </w:num>
  <w:num w:numId="9">
    <w:abstractNumId w:val="13"/>
  </w:num>
  <w:num w:numId="10">
    <w:abstractNumId w:val="10"/>
  </w:num>
  <w:num w:numId="11">
    <w:abstractNumId w:val="6"/>
  </w:num>
  <w:num w:numId="12">
    <w:abstractNumId w:val="1"/>
  </w:num>
  <w:num w:numId="13">
    <w:abstractNumId w:val="2"/>
  </w:num>
  <w:num w:numId="14">
    <w:abstractNumId w:val="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67B6"/>
    <w:rsid w:val="0000086D"/>
    <w:rsid w:val="00004865"/>
    <w:rsid w:val="00006626"/>
    <w:rsid w:val="000219DC"/>
    <w:rsid w:val="00024EAB"/>
    <w:rsid w:val="00085F4F"/>
    <w:rsid w:val="000D50E7"/>
    <w:rsid w:val="000E0BF2"/>
    <w:rsid w:val="001340C5"/>
    <w:rsid w:val="00154BEB"/>
    <w:rsid w:val="0015609F"/>
    <w:rsid w:val="001746FC"/>
    <w:rsid w:val="0017538A"/>
    <w:rsid w:val="00186387"/>
    <w:rsid w:val="00186809"/>
    <w:rsid w:val="00187570"/>
    <w:rsid w:val="001A0C26"/>
    <w:rsid w:val="001A17EC"/>
    <w:rsid w:val="001A1B53"/>
    <w:rsid w:val="001A2A2B"/>
    <w:rsid w:val="001A2B8B"/>
    <w:rsid w:val="001B18B9"/>
    <w:rsid w:val="001F0595"/>
    <w:rsid w:val="00240525"/>
    <w:rsid w:val="00255E18"/>
    <w:rsid w:val="00267E11"/>
    <w:rsid w:val="00267E33"/>
    <w:rsid w:val="002811FB"/>
    <w:rsid w:val="002A1C44"/>
    <w:rsid w:val="002B0D88"/>
    <w:rsid w:val="002B6719"/>
    <w:rsid w:val="002E31C4"/>
    <w:rsid w:val="002E7ABC"/>
    <w:rsid w:val="002F70CF"/>
    <w:rsid w:val="00300D4E"/>
    <w:rsid w:val="003428CA"/>
    <w:rsid w:val="00352F6A"/>
    <w:rsid w:val="003601CF"/>
    <w:rsid w:val="00372189"/>
    <w:rsid w:val="003C6CA3"/>
    <w:rsid w:val="003D4702"/>
    <w:rsid w:val="00413B87"/>
    <w:rsid w:val="0044703D"/>
    <w:rsid w:val="004523BF"/>
    <w:rsid w:val="00456EBA"/>
    <w:rsid w:val="00466E2C"/>
    <w:rsid w:val="00470609"/>
    <w:rsid w:val="00477A8B"/>
    <w:rsid w:val="00477DE4"/>
    <w:rsid w:val="0049073B"/>
    <w:rsid w:val="004A10D3"/>
    <w:rsid w:val="004C76DE"/>
    <w:rsid w:val="004E3DD9"/>
    <w:rsid w:val="004E66FF"/>
    <w:rsid w:val="00502DDF"/>
    <w:rsid w:val="00510292"/>
    <w:rsid w:val="00513C14"/>
    <w:rsid w:val="00527B00"/>
    <w:rsid w:val="005404F9"/>
    <w:rsid w:val="0054649D"/>
    <w:rsid w:val="005841F7"/>
    <w:rsid w:val="00595240"/>
    <w:rsid w:val="005A4C2F"/>
    <w:rsid w:val="005C07B9"/>
    <w:rsid w:val="005E70A4"/>
    <w:rsid w:val="00611893"/>
    <w:rsid w:val="00613C76"/>
    <w:rsid w:val="006247F4"/>
    <w:rsid w:val="00651C35"/>
    <w:rsid w:val="0065724B"/>
    <w:rsid w:val="00657C82"/>
    <w:rsid w:val="006726AD"/>
    <w:rsid w:val="006A28F7"/>
    <w:rsid w:val="006F0F04"/>
    <w:rsid w:val="007045AF"/>
    <w:rsid w:val="0075396C"/>
    <w:rsid w:val="00762660"/>
    <w:rsid w:val="007667B6"/>
    <w:rsid w:val="00780124"/>
    <w:rsid w:val="007B4167"/>
    <w:rsid w:val="007E142A"/>
    <w:rsid w:val="007F26DD"/>
    <w:rsid w:val="00810949"/>
    <w:rsid w:val="00824D80"/>
    <w:rsid w:val="008327F0"/>
    <w:rsid w:val="00833951"/>
    <w:rsid w:val="00847FEE"/>
    <w:rsid w:val="008702DB"/>
    <w:rsid w:val="00881DD3"/>
    <w:rsid w:val="008A4CDF"/>
    <w:rsid w:val="008F1995"/>
    <w:rsid w:val="00903CEE"/>
    <w:rsid w:val="00905521"/>
    <w:rsid w:val="00905885"/>
    <w:rsid w:val="0091141B"/>
    <w:rsid w:val="00932C1E"/>
    <w:rsid w:val="00940511"/>
    <w:rsid w:val="009477EE"/>
    <w:rsid w:val="00952A20"/>
    <w:rsid w:val="00956770"/>
    <w:rsid w:val="0095771D"/>
    <w:rsid w:val="00990ADA"/>
    <w:rsid w:val="009A5FF6"/>
    <w:rsid w:val="009F78D3"/>
    <w:rsid w:val="00A736AA"/>
    <w:rsid w:val="00AA09DB"/>
    <w:rsid w:val="00AC5606"/>
    <w:rsid w:val="00AC6DDD"/>
    <w:rsid w:val="00AD6450"/>
    <w:rsid w:val="00AE3C5A"/>
    <w:rsid w:val="00B02A5B"/>
    <w:rsid w:val="00B14F56"/>
    <w:rsid w:val="00B24D29"/>
    <w:rsid w:val="00B33A1B"/>
    <w:rsid w:val="00B40F04"/>
    <w:rsid w:val="00B63FFA"/>
    <w:rsid w:val="00B75CB0"/>
    <w:rsid w:val="00B77470"/>
    <w:rsid w:val="00B908A1"/>
    <w:rsid w:val="00BA24C6"/>
    <w:rsid w:val="00BC20DF"/>
    <w:rsid w:val="00BD0A72"/>
    <w:rsid w:val="00BF5F5A"/>
    <w:rsid w:val="00C2285E"/>
    <w:rsid w:val="00C53A69"/>
    <w:rsid w:val="00C7240E"/>
    <w:rsid w:val="00C72B7A"/>
    <w:rsid w:val="00C75CF7"/>
    <w:rsid w:val="00C76D42"/>
    <w:rsid w:val="00C76F8A"/>
    <w:rsid w:val="00C83B61"/>
    <w:rsid w:val="00C901D7"/>
    <w:rsid w:val="00C91629"/>
    <w:rsid w:val="00CA1E02"/>
    <w:rsid w:val="00CA706C"/>
    <w:rsid w:val="00CE4007"/>
    <w:rsid w:val="00CE5523"/>
    <w:rsid w:val="00CF4C4D"/>
    <w:rsid w:val="00D008D3"/>
    <w:rsid w:val="00D04524"/>
    <w:rsid w:val="00D1773B"/>
    <w:rsid w:val="00D25324"/>
    <w:rsid w:val="00D27BAE"/>
    <w:rsid w:val="00D333DA"/>
    <w:rsid w:val="00D97C53"/>
    <w:rsid w:val="00DA53E9"/>
    <w:rsid w:val="00DB4FE7"/>
    <w:rsid w:val="00DB77DB"/>
    <w:rsid w:val="00DC285E"/>
    <w:rsid w:val="00DC3601"/>
    <w:rsid w:val="00DD2D87"/>
    <w:rsid w:val="00DD7402"/>
    <w:rsid w:val="00DF012D"/>
    <w:rsid w:val="00E068BA"/>
    <w:rsid w:val="00E36EAE"/>
    <w:rsid w:val="00E51F20"/>
    <w:rsid w:val="00E536BF"/>
    <w:rsid w:val="00E544B9"/>
    <w:rsid w:val="00E54537"/>
    <w:rsid w:val="00E54D28"/>
    <w:rsid w:val="00E73377"/>
    <w:rsid w:val="00E74806"/>
    <w:rsid w:val="00E8049B"/>
    <w:rsid w:val="00EB74EC"/>
    <w:rsid w:val="00ED64F7"/>
    <w:rsid w:val="00EF49BC"/>
    <w:rsid w:val="00F21FA4"/>
    <w:rsid w:val="00F52387"/>
    <w:rsid w:val="00F55F5A"/>
    <w:rsid w:val="00F60755"/>
    <w:rsid w:val="00F73DFF"/>
    <w:rsid w:val="00F83732"/>
    <w:rsid w:val="00F97CDC"/>
    <w:rsid w:val="00FA5A51"/>
    <w:rsid w:val="00FB2108"/>
    <w:rsid w:val="00FC5867"/>
    <w:rsid w:val="00FD07A5"/>
    <w:rsid w:val="00FE384E"/>
    <w:rsid w:val="00FE7977"/>
    <w:rsid w:val="00FF42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1780EB31-0772-4D6F-858B-8E6FD9C60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1F7"/>
    <w:pPr>
      <w:spacing w:after="200" w:line="276" w:lineRule="auto"/>
    </w:pPr>
    <w:rPr>
      <w:sz w:val="22"/>
      <w:szCs w:val="22"/>
      <w:lang w:eastAsia="en-US"/>
    </w:rPr>
  </w:style>
  <w:style w:type="paragraph" w:styleId="1">
    <w:name w:val="heading 1"/>
    <w:basedOn w:val="a"/>
    <w:next w:val="a"/>
    <w:link w:val="10"/>
    <w:uiPriority w:val="99"/>
    <w:qFormat/>
    <w:rsid w:val="00D04524"/>
    <w:pPr>
      <w:keepNext/>
      <w:spacing w:after="0" w:line="360" w:lineRule="auto"/>
      <w:ind w:firstLine="709"/>
      <w:jc w:val="center"/>
      <w:outlineLvl w:val="0"/>
    </w:pPr>
    <w:rPr>
      <w:rFonts w:ascii="Times New Roman" w:eastAsia="Times New Roman" w:hAnsi="Times New Roman"/>
      <w:b/>
      <w:sz w:val="28"/>
      <w:szCs w:val="28"/>
      <w:lang w:val="uk-UA" w:eastAsia="ru-RU"/>
    </w:rPr>
  </w:style>
  <w:style w:type="paragraph" w:styleId="2">
    <w:name w:val="heading 2"/>
    <w:basedOn w:val="a"/>
    <w:next w:val="a"/>
    <w:link w:val="20"/>
    <w:uiPriority w:val="99"/>
    <w:qFormat/>
    <w:rsid w:val="00FF42E2"/>
    <w:pPr>
      <w:keepNext/>
      <w:spacing w:after="0" w:line="360" w:lineRule="auto"/>
      <w:ind w:firstLine="709"/>
      <w:jc w:val="center"/>
      <w:outlineLvl w:val="1"/>
    </w:pPr>
    <w:rPr>
      <w:rFonts w:ascii="Times New Roman" w:eastAsia="Times New Roman" w:hAnsi="Times New Roman"/>
      <w:b/>
      <w:i/>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FF42E2"/>
    <w:rPr>
      <w:rFonts w:ascii="Times New Roman" w:hAnsi="Times New Roman" w:cs="Times New Roman"/>
      <w:b/>
      <w:i/>
      <w:sz w:val="28"/>
      <w:szCs w:val="28"/>
      <w:lang w:val="uk-UA" w:eastAsia="ru-RU"/>
    </w:rPr>
  </w:style>
  <w:style w:type="paragraph" w:styleId="a3">
    <w:name w:val="Body Text"/>
    <w:basedOn w:val="a"/>
    <w:link w:val="a4"/>
    <w:uiPriority w:val="99"/>
    <w:rsid w:val="00CE4007"/>
    <w:pPr>
      <w:widowControl w:val="0"/>
      <w:autoSpaceDE w:val="0"/>
      <w:autoSpaceDN w:val="0"/>
      <w:adjustRightInd w:val="0"/>
      <w:spacing w:after="0" w:line="360" w:lineRule="auto"/>
      <w:jc w:val="center"/>
    </w:pPr>
    <w:rPr>
      <w:rFonts w:ascii="Times New Roman" w:eastAsia="Times New Roman" w:hAnsi="Times New Roman"/>
      <w:bCs/>
      <w:sz w:val="28"/>
      <w:szCs w:val="28"/>
      <w:lang w:val="uk-UA" w:eastAsia="uk-UA"/>
    </w:rPr>
  </w:style>
  <w:style w:type="character" w:customStyle="1" w:styleId="10">
    <w:name w:val="Заголовок 1 Знак"/>
    <w:link w:val="1"/>
    <w:uiPriority w:val="99"/>
    <w:locked/>
    <w:rsid w:val="00D04524"/>
    <w:rPr>
      <w:rFonts w:ascii="Times New Roman" w:hAnsi="Times New Roman" w:cs="Times New Roman"/>
      <w:b/>
      <w:sz w:val="28"/>
      <w:szCs w:val="28"/>
      <w:lang w:val="uk-UA" w:eastAsia="ru-RU"/>
    </w:rPr>
  </w:style>
  <w:style w:type="paragraph" w:styleId="a5">
    <w:name w:val="List Paragraph"/>
    <w:basedOn w:val="a"/>
    <w:uiPriority w:val="99"/>
    <w:qFormat/>
    <w:rsid w:val="00D04524"/>
    <w:pPr>
      <w:ind w:left="720"/>
      <w:contextualSpacing/>
    </w:pPr>
  </w:style>
  <w:style w:type="character" w:customStyle="1" w:styleId="a4">
    <w:name w:val="Основной текст Знак"/>
    <w:link w:val="a3"/>
    <w:uiPriority w:val="99"/>
    <w:locked/>
    <w:rsid w:val="00CE4007"/>
    <w:rPr>
      <w:rFonts w:ascii="Times New Roman" w:hAnsi="Times New Roman" w:cs="Times New Roman"/>
      <w:bCs/>
      <w:sz w:val="28"/>
      <w:szCs w:val="28"/>
      <w:lang w:val="uk-UA" w:eastAsia="uk-UA"/>
    </w:rPr>
  </w:style>
  <w:style w:type="paragraph" w:customStyle="1" w:styleId="11">
    <w:name w:val="Стиль1"/>
    <w:basedOn w:val="a"/>
    <w:uiPriority w:val="99"/>
    <w:rsid w:val="00833951"/>
    <w:pPr>
      <w:spacing w:after="0" w:line="360" w:lineRule="auto"/>
      <w:jc w:val="both"/>
    </w:pPr>
    <w:rPr>
      <w:rFonts w:ascii="Times New Roman" w:hAnsi="Times New Roman"/>
      <w:sz w:val="20"/>
      <w:szCs w:val="20"/>
      <w:lang w:val="uk-UA" w:eastAsia="ru-RU"/>
    </w:rPr>
  </w:style>
  <w:style w:type="paragraph" w:styleId="a6">
    <w:name w:val="header"/>
    <w:basedOn w:val="a"/>
    <w:link w:val="a7"/>
    <w:uiPriority w:val="99"/>
    <w:rsid w:val="00952A20"/>
    <w:pPr>
      <w:tabs>
        <w:tab w:val="center" w:pos="4677"/>
        <w:tab w:val="right" w:pos="9355"/>
      </w:tabs>
    </w:pPr>
  </w:style>
  <w:style w:type="paragraph" w:styleId="a8">
    <w:name w:val="footer"/>
    <w:basedOn w:val="a"/>
    <w:link w:val="a9"/>
    <w:uiPriority w:val="99"/>
    <w:rsid w:val="00952A20"/>
    <w:pPr>
      <w:tabs>
        <w:tab w:val="center" w:pos="4677"/>
        <w:tab w:val="right" w:pos="9355"/>
      </w:tabs>
    </w:pPr>
  </w:style>
  <w:style w:type="character" w:customStyle="1" w:styleId="a7">
    <w:name w:val="Верхний колонтитул Знак"/>
    <w:link w:val="a6"/>
    <w:uiPriority w:val="99"/>
    <w:semiHidden/>
    <w:locked/>
    <w:rsid w:val="00952A20"/>
    <w:rPr>
      <w:rFonts w:ascii="Calibri" w:hAnsi="Calibri" w:cs="Times New Roman"/>
      <w:sz w:val="22"/>
      <w:szCs w:val="22"/>
      <w:lang w:val="ru-RU" w:eastAsia="en-US" w:bidi="ar-SA"/>
    </w:rPr>
  </w:style>
  <w:style w:type="character" w:styleId="aa">
    <w:name w:val="Hyperlink"/>
    <w:uiPriority w:val="99"/>
    <w:rsid w:val="00952A20"/>
    <w:rPr>
      <w:rFonts w:cs="Times New Roman"/>
      <w:color w:val="0000FF"/>
      <w:u w:val="single"/>
    </w:rPr>
  </w:style>
  <w:style w:type="character" w:customStyle="1" w:styleId="a9">
    <w:name w:val="Нижний колонтитул Знак"/>
    <w:link w:val="a8"/>
    <w:uiPriority w:val="99"/>
    <w:semiHidden/>
    <w:locked/>
    <w:rPr>
      <w:rFonts w:cs="Times New Roman"/>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oleObject" Target="embeddings/oleObject8.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oleObject" Target="embeddings/oleObject9.bin"/><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8.w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2599</Words>
  <Characters>14818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Microsoft</Company>
  <LinksUpToDate>false</LinksUpToDate>
  <CharactersWithSpaces>17383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Admin</dc:creator>
  <cp:keywords/>
  <dc:description/>
  <cp:lastModifiedBy>admin</cp:lastModifiedBy>
  <cp:revision>2</cp:revision>
  <dcterms:created xsi:type="dcterms:W3CDTF">2014-03-28T10:34:00Z</dcterms:created>
  <dcterms:modified xsi:type="dcterms:W3CDTF">2014-03-28T10:34:00Z</dcterms:modified>
</cp:coreProperties>
</file>