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B97" w:rsidRDefault="007B37E3">
      <w:pPr>
        <w:pStyle w:val="a3"/>
        <w:ind w:left="2552"/>
        <w:rPr>
          <w:sz w:val="24"/>
          <w:szCs w:val="24"/>
        </w:rPr>
      </w:pPr>
      <w:r>
        <w:rPr>
          <w:sz w:val="24"/>
          <w:szCs w:val="24"/>
        </w:rPr>
        <w:t>ОРЕНБУРГСКИЙ ГОСУДАРСТВЕННЫЙ АГРАРНЫЙ УНИВЕРСИТЕТ</w:t>
      </w:r>
    </w:p>
    <w:p w:rsidR="00621B97" w:rsidRDefault="007B37E3">
      <w:pPr>
        <w:pStyle w:val="a3"/>
        <w:ind w:left="2552"/>
        <w:rPr>
          <w:sz w:val="24"/>
          <w:szCs w:val="24"/>
        </w:rPr>
      </w:pPr>
      <w:r>
        <w:rPr>
          <w:sz w:val="24"/>
          <w:szCs w:val="24"/>
        </w:rPr>
        <w:t>Юридический факультет</w:t>
      </w:r>
    </w:p>
    <w:p w:rsidR="00621B97" w:rsidRDefault="007B37E3">
      <w:pPr>
        <w:pStyle w:val="a3"/>
        <w:ind w:left="2552"/>
        <w:rPr>
          <w:sz w:val="24"/>
          <w:szCs w:val="24"/>
        </w:rPr>
      </w:pPr>
      <w:r>
        <w:rPr>
          <w:sz w:val="24"/>
          <w:szCs w:val="24"/>
        </w:rPr>
        <w:t>Студентка 1-го курса 14 группы</w:t>
      </w:r>
    </w:p>
    <w:p w:rsidR="00621B97" w:rsidRDefault="007B37E3">
      <w:pPr>
        <w:pStyle w:val="a3"/>
        <w:ind w:left="2552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Кузнецова Олеся Сергеевна</w:t>
      </w:r>
    </w:p>
    <w:p w:rsidR="00621B97" w:rsidRDefault="00621B97">
      <w:pPr>
        <w:pStyle w:val="a3"/>
        <w:rPr>
          <w:sz w:val="24"/>
          <w:szCs w:val="24"/>
        </w:rPr>
      </w:pPr>
    </w:p>
    <w:p w:rsidR="00621B97" w:rsidRDefault="00621B97">
      <w:pPr>
        <w:pStyle w:val="a3"/>
        <w:rPr>
          <w:sz w:val="24"/>
          <w:szCs w:val="24"/>
        </w:rPr>
      </w:pPr>
    </w:p>
    <w:p w:rsidR="00621B97" w:rsidRDefault="00621B97">
      <w:pPr>
        <w:pStyle w:val="a3"/>
        <w:rPr>
          <w:sz w:val="24"/>
          <w:szCs w:val="24"/>
        </w:rPr>
      </w:pPr>
    </w:p>
    <w:p w:rsidR="00621B97" w:rsidRDefault="00621B97">
      <w:pPr>
        <w:pStyle w:val="a3"/>
        <w:rPr>
          <w:sz w:val="36"/>
          <w:szCs w:val="36"/>
        </w:rPr>
      </w:pPr>
    </w:p>
    <w:p w:rsidR="00621B97" w:rsidRDefault="007B37E3">
      <w:pPr>
        <w:pStyle w:val="a3"/>
        <w:rPr>
          <w:outline/>
          <w:shadow/>
          <w:color w:val="FF0000"/>
          <w:sz w:val="36"/>
          <w:szCs w:val="36"/>
        </w:rPr>
      </w:pPr>
      <w:r>
        <w:rPr>
          <w:outline/>
          <w:shadow/>
          <w:color w:val="FF0000"/>
          <w:sz w:val="36"/>
          <w:szCs w:val="36"/>
        </w:rPr>
        <w:t>Р  Е  Ф  Е  Р  А  Т</w:t>
      </w:r>
    </w:p>
    <w:p w:rsidR="00621B97" w:rsidRDefault="007B37E3">
      <w:pPr>
        <w:pStyle w:val="a3"/>
        <w:rPr>
          <w:sz w:val="36"/>
          <w:szCs w:val="36"/>
        </w:rPr>
      </w:pPr>
      <w:r>
        <w:rPr>
          <w:sz w:val="36"/>
          <w:szCs w:val="36"/>
        </w:rPr>
        <w:t>по Истории государства и права России</w:t>
      </w:r>
    </w:p>
    <w:p w:rsidR="00621B97" w:rsidRDefault="007B37E3">
      <w:pPr>
        <w:pStyle w:val="a3"/>
        <w:ind w:firstLine="851"/>
        <w:rPr>
          <w:sz w:val="36"/>
          <w:szCs w:val="36"/>
        </w:rPr>
      </w:pPr>
      <w:r>
        <w:rPr>
          <w:sz w:val="36"/>
          <w:szCs w:val="36"/>
        </w:rPr>
        <w:t>ТЕМА: Псковская и Новгородская боярские республики</w:t>
      </w:r>
    </w:p>
    <w:p w:rsidR="00621B97" w:rsidRDefault="00621B97">
      <w:pPr>
        <w:pStyle w:val="a3"/>
        <w:rPr>
          <w:sz w:val="24"/>
          <w:szCs w:val="24"/>
        </w:rPr>
      </w:pPr>
    </w:p>
    <w:p w:rsidR="00621B97" w:rsidRDefault="00621B97">
      <w:pPr>
        <w:pStyle w:val="a3"/>
        <w:rPr>
          <w:sz w:val="24"/>
          <w:szCs w:val="24"/>
        </w:rPr>
      </w:pPr>
    </w:p>
    <w:p w:rsidR="00621B97" w:rsidRDefault="00621B97">
      <w:pPr>
        <w:pStyle w:val="a3"/>
        <w:rPr>
          <w:sz w:val="24"/>
          <w:szCs w:val="24"/>
        </w:rPr>
      </w:pPr>
    </w:p>
    <w:p w:rsidR="00621B97" w:rsidRDefault="00621B97">
      <w:pPr>
        <w:pStyle w:val="a3"/>
        <w:rPr>
          <w:sz w:val="24"/>
          <w:szCs w:val="24"/>
        </w:rPr>
      </w:pPr>
    </w:p>
    <w:p w:rsidR="00621B97" w:rsidRDefault="00621B97">
      <w:pPr>
        <w:pStyle w:val="a3"/>
        <w:rPr>
          <w:sz w:val="24"/>
          <w:szCs w:val="24"/>
        </w:rPr>
      </w:pPr>
    </w:p>
    <w:p w:rsidR="00621B97" w:rsidRDefault="00621B97">
      <w:pPr>
        <w:pStyle w:val="a3"/>
        <w:rPr>
          <w:sz w:val="24"/>
          <w:szCs w:val="24"/>
        </w:rPr>
      </w:pPr>
    </w:p>
    <w:p w:rsidR="00621B97" w:rsidRDefault="00621B97">
      <w:pPr>
        <w:pStyle w:val="a3"/>
        <w:rPr>
          <w:sz w:val="24"/>
          <w:szCs w:val="24"/>
        </w:rPr>
      </w:pPr>
    </w:p>
    <w:p w:rsidR="00621B97" w:rsidRDefault="00621B97">
      <w:pPr>
        <w:pStyle w:val="a3"/>
        <w:rPr>
          <w:sz w:val="24"/>
          <w:szCs w:val="24"/>
        </w:rPr>
      </w:pPr>
    </w:p>
    <w:p w:rsidR="00621B97" w:rsidRDefault="007B37E3">
      <w:pPr>
        <w:pStyle w:val="a3"/>
        <w:rPr>
          <w:sz w:val="24"/>
          <w:szCs w:val="24"/>
        </w:rPr>
      </w:pPr>
      <w:r>
        <w:rPr>
          <w:sz w:val="24"/>
          <w:szCs w:val="24"/>
        </w:rPr>
        <w:t>г.Оренбург</w:t>
      </w:r>
    </w:p>
    <w:p w:rsidR="00621B97" w:rsidRDefault="007B37E3">
      <w:pPr>
        <w:pStyle w:val="a3"/>
        <w:rPr>
          <w:sz w:val="24"/>
          <w:szCs w:val="24"/>
        </w:rPr>
      </w:pPr>
      <w:r>
        <w:rPr>
          <w:sz w:val="24"/>
          <w:szCs w:val="24"/>
        </w:rPr>
        <w:t>1998 г.</w:t>
      </w:r>
    </w:p>
    <w:p w:rsidR="00621B97" w:rsidRDefault="007B37E3">
      <w:pPr>
        <w:pStyle w:val="1"/>
        <w:rPr>
          <w:sz w:val="24"/>
          <w:szCs w:val="24"/>
        </w:rPr>
      </w:pPr>
      <w:r>
        <w:rPr>
          <w:sz w:val="24"/>
          <w:szCs w:val="24"/>
        </w:rPr>
        <w:t>ПСКОВСКАЯ И НОВГОРОДСКАЯ БОЯРСКИЕ РЕСПУБЛИКИ</w:t>
      </w:r>
    </w:p>
    <w:p w:rsidR="00621B97" w:rsidRDefault="00621B97">
      <w:pPr>
        <w:rPr>
          <w:sz w:val="24"/>
          <w:szCs w:val="24"/>
        </w:rPr>
      </w:pPr>
    </w:p>
    <w:p w:rsidR="00621B97" w:rsidRDefault="00621B97">
      <w:pPr>
        <w:rPr>
          <w:sz w:val="24"/>
          <w:szCs w:val="24"/>
        </w:rPr>
      </w:pPr>
    </w:p>
    <w:p w:rsidR="00621B97" w:rsidRDefault="007B37E3">
      <w:pPr>
        <w:pStyle w:val="1"/>
        <w:rPr>
          <w:sz w:val="24"/>
          <w:szCs w:val="24"/>
        </w:rPr>
      </w:pPr>
      <w:r>
        <w:rPr>
          <w:sz w:val="24"/>
          <w:szCs w:val="24"/>
        </w:rPr>
        <w:t>ПРИМЕРНЫЙ ПЛАН</w:t>
      </w:r>
    </w:p>
    <w:p w:rsidR="00621B97" w:rsidRDefault="00621B97">
      <w:pPr>
        <w:jc w:val="both"/>
        <w:rPr>
          <w:sz w:val="24"/>
          <w:szCs w:val="24"/>
        </w:rPr>
      </w:pPr>
    </w:p>
    <w:p w:rsidR="00621B97" w:rsidRDefault="007B37E3">
      <w:pPr>
        <w:numPr>
          <w:ilvl w:val="0"/>
          <w:numId w:val="6"/>
        </w:numPr>
        <w:tabs>
          <w:tab w:val="clear" w:pos="360"/>
          <w:tab w:val="num" w:pos="786"/>
        </w:tabs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Новгород Великий</w:t>
      </w:r>
    </w:p>
    <w:p w:rsidR="00621B97" w:rsidRDefault="007B37E3">
      <w:pPr>
        <w:numPr>
          <w:ilvl w:val="0"/>
          <w:numId w:val="6"/>
        </w:numPr>
        <w:tabs>
          <w:tab w:val="clear" w:pos="360"/>
          <w:tab w:val="num" w:pos="786"/>
        </w:tabs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Господство боярства</w:t>
      </w:r>
    </w:p>
    <w:p w:rsidR="00621B97" w:rsidRDefault="007B37E3">
      <w:pPr>
        <w:numPr>
          <w:ilvl w:val="0"/>
          <w:numId w:val="6"/>
        </w:numPr>
        <w:tabs>
          <w:tab w:val="clear" w:pos="360"/>
          <w:tab w:val="num" w:pos="786"/>
        </w:tabs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Новгородско псковское государственное устройство.</w:t>
      </w:r>
    </w:p>
    <w:p w:rsidR="00621B97" w:rsidRDefault="007B37E3">
      <w:pPr>
        <w:numPr>
          <w:ilvl w:val="0"/>
          <w:numId w:val="6"/>
        </w:numPr>
        <w:tabs>
          <w:tab w:val="clear" w:pos="360"/>
          <w:tab w:val="num" w:pos="786"/>
        </w:tabs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Новгородская и псковская судные грамоты.</w:t>
      </w:r>
    </w:p>
    <w:p w:rsidR="00621B97" w:rsidRDefault="007B37E3">
      <w:pPr>
        <w:numPr>
          <w:ilvl w:val="0"/>
          <w:numId w:val="6"/>
        </w:numPr>
        <w:tabs>
          <w:tab w:val="clear" w:pos="360"/>
          <w:tab w:val="num" w:pos="786"/>
        </w:tabs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Заключение</w:t>
      </w: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621B97">
      <w:pPr>
        <w:jc w:val="center"/>
        <w:rPr>
          <w:sz w:val="24"/>
          <w:szCs w:val="24"/>
        </w:rPr>
      </w:pP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Эти государственные образования сложились на Северо-западе Руси. Для Псковской и Новгородской боярских республик характерны некоторые особенности общественного строя и феодальных отношений: значительный социальный и феодальный вес новгородского (псковского) боярства, имеющего давние традиции, и его активное участие в торговой и промысловой деятельности.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Основным экономическим фактором была не земля, а капитал. Это обусловило особую социальную структуру общества и необычную для средневековой Руси форму государственного правления. Новгородское (псковское) боярство организовывало торгово-промышленные предприятия, торговлю с западными соседями (Ганзейского торгового союза) и с русскими княжествами.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 аналогии с некоторыми регионами средневековой Западной Европы (Генуя, Венеция) в Новгороде и Пскове сложился своеобразный республиканский (феодальный) строй.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Развитие ремёсел и торговли, более интенсивное, чем в древнерусских землях, что объяснялось выходом к морям, потребовало создания более демократического государственного строя, основой которого стал довольно широкий средний класс Новгородского и Псковского общества: житьи люди занимались торговлей и ростовщичеством, своеземцы (своего рода хуторяне или фермеры) сдавали в аренду или обрабатывали землю. Купечество объединялось в несколько сотен (общин) и торговало с русскими княжествами и с «заграницей» («гостями»).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Городское население делилось на патрициат («старейших») и «чёрных людей». Новгородское (Псковское) крестьянство состояло, как и в других русских землях, из смердов – общинников, половников – зависимых крестьян, работающих «из полу» за часть продукта на господской земле, закладников («заложившихся»), поступивших в кабалу и холопов.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Государственное управление Новгородом и Псковом осуществлялось через систему вечевых органов: в столице существовало общегородское вече, отдельные части города (стороны, концы, улицы) созывали свои вечевые собрания. Формально, вече было высшим органом власти (каждое на своём уровне).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Вече решало важнейшие вопросы экономической, политической, военной, судебной и административной сфер. Вече избирало князя. В вечевых собраниях участвовали все свободные люди города. К собраниям подготавливалась повестка дня, кандидатуры избираемых на вече должностных лиц. Решения на собраниях должны были приниматься единогласно. Имелись канцелярия и архив вечевого собрания, делопроизводство осуществлялось вечевыми дьяками.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Организационным и подготовительным органом (подготовка законопроектов, вечевым решением, контролирующая деятельность, созыв вече) является боярский совет («Оспода»), включавших наиболее влиятельных лиц – представителей городской администрации, знатных бояр, и работавший под председательством архиепископа.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Высшими должностными лицами «Господина Великого Новгорода» были посадник, тысяцкий, архиепископ, князь.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Посадник избирался вечем на один – два года и руководил деятельностью всех должностных лиц. Вместе с князем ведал вопросами управления и суда, командовал войском, руководил вечевым собранием и боярским советом, представительствовал во внешних отношениях.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Тысяцкий занимался вопросами торговли и торгового суда, возглавлял народное ополчение.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Основной ролью архиепископа была духовное главенство в церковной иерархии, также он был хранителем государственной казны, контролёром торговых мер и весов.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Князь приглашался гражданами на княжение, выполнял функции главнокомандующего и организатора защиты города. Военную и судебную деятельность разделял с посадником. По договорам с городом (известно около восьмидесяти договоров </w:t>
      </w:r>
      <w:r>
        <w:rPr>
          <w:rFonts w:ascii="Times New Roman" w:hAnsi="Times New Roman" w:cs="Times New Roman"/>
          <w:sz w:val="24"/>
          <w:szCs w:val="24"/>
          <w:lang w:val="en-US"/>
        </w:rPr>
        <w:t>XIII-XV</w:t>
      </w:r>
      <w:r>
        <w:rPr>
          <w:rFonts w:ascii="Times New Roman" w:hAnsi="Times New Roman" w:cs="Times New Roman"/>
          <w:sz w:val="24"/>
          <w:szCs w:val="24"/>
        </w:rPr>
        <w:t xml:space="preserve"> веков) князю запрещалось приобретать землю в Новгороде, раздавать землю новгородских волостей своим приближённым. Также по договору ему запрещалось управлять Новгородскими волостями, вершить суд за пределами города, издавать законы, объявлять войну и заключать мир.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Также запрещалось заключать договоры с иноземцами без посредничества новгородцев, судить холопов, принимать закладников из купцов и смердов, охотиться и рыбачить за пределами отведённых ему угодий. В случае нарушения договоров князь мог быть изгнан.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Территория Новгородской земли делилась на волости и пятины, управление которых строилось на началах местной автономии. Каждая пятина была приписана к одному из пяти концов Новгорода. Центром самоуправления пятины был пригород. Когда-то таким пригородом был Псков, в ходе упорной борьбы выросший в самостоятельном политическом центре, вокруг которого сложилось Псковское государство. Политическая и государственная организация Пскова повторяли Новгород: вечевая система, выборный князь, но вместо тысяцкого – два степенных посадника.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Пскове существовало шесть концов, двенадцать пригородов. Административное деление производилось на округа (губы), волости, сёла.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 xml:space="preserve"> века в Новгороде, как и в других городах Руси, устанавливается постоянное место проведения вечевых собраний, пребывания посадника и тысяцкого. В </w:t>
      </w:r>
      <w:r>
        <w:rPr>
          <w:rFonts w:ascii="Times New Roman" w:hAnsi="Times New Roman" w:cs="Times New Roman"/>
          <w:sz w:val="24"/>
          <w:szCs w:val="24"/>
          <w:lang w:val="en-US"/>
        </w:rPr>
        <w:t>XIII</w:t>
      </w:r>
      <w:r>
        <w:rPr>
          <w:rFonts w:ascii="Times New Roman" w:hAnsi="Times New Roman" w:cs="Times New Roman"/>
          <w:sz w:val="24"/>
          <w:szCs w:val="24"/>
        </w:rPr>
        <w:t xml:space="preserve"> веке на территории Новгородской земли существовало семнадцать монастырей, и проходила активная церковная колонизация.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конце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 xml:space="preserve"> века Новгородом был подписан международный договор с немцами, который стал одним из источников будущей кодификации (Новгородской и Псковской судных грамот).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Источниками права в этом регионе были Русская Правда, вечевое законодательство, договоры города с князьями, судебная практика, иностранное законодательство. В результате кодификации в 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 xml:space="preserve"> веке в Новгороде и Пскове появились новгородские и псковские судные грамоты.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 Новгородской судной грамоты сохранился фрагмент, дающий представление о судоустройстве и судопроизводстве. Судебными правами обладали все органы власти и управления: вече, посадник, тысяцкий, князь, боярский совет, архиепископ, сотский, староста. Судебными полномочиями наделялись купеческие и цеховые корпорации (братчины). Судебными чинами были дьяки, приставы, «позовники», писцы, межники, подверники и другие.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Псковская Судная Грамота 1467 года состояла из 120 статей. По сравнению с Русской Правдой в ней более обстоятельно регламентируются гражданско-правовые отношения и институты, обязательственное и судебное право, рассматриваются некоторые виды политических и государственных преступлений.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Вещное право предусматривало деление вещей на недвижимые («отчина») и движимые («живот»), различала наследственное («вотчина») и условное («кормля») землевладение. Были определены способы возникновения права собственности:</w:t>
      </w:r>
    </w:p>
    <w:p w:rsidR="00621B97" w:rsidRDefault="007B37E3">
      <w:pPr>
        <w:pStyle w:val="21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истечение срока давности владения;</w:t>
      </w:r>
    </w:p>
    <w:p w:rsidR="00621B97" w:rsidRDefault="007B37E3">
      <w:pPr>
        <w:pStyle w:val="21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переход по договору;</w:t>
      </w:r>
    </w:p>
    <w:p w:rsidR="00621B97" w:rsidRDefault="007B37E3">
      <w:pPr>
        <w:pStyle w:val="21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наследству;</w:t>
      </w:r>
    </w:p>
    <w:p w:rsidR="00621B97" w:rsidRDefault="007B37E3">
      <w:pPr>
        <w:pStyle w:val="21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пожалование.</w:t>
      </w:r>
    </w:p>
    <w:p w:rsidR="00621B97" w:rsidRDefault="007B37E3">
      <w:pPr>
        <w:pStyle w:val="21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Обязательственное право регламентирует договоры:</w:t>
      </w:r>
    </w:p>
    <w:p w:rsidR="00621B97" w:rsidRDefault="007B37E3">
      <w:pPr>
        <w:pStyle w:val="21"/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купли-продажи;</w:t>
      </w:r>
    </w:p>
    <w:p w:rsidR="00621B97" w:rsidRDefault="007B37E3">
      <w:pPr>
        <w:pStyle w:val="21"/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дарения;</w:t>
      </w:r>
    </w:p>
    <w:p w:rsidR="00621B97" w:rsidRDefault="007B37E3">
      <w:pPr>
        <w:pStyle w:val="21"/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залога;</w:t>
      </w:r>
    </w:p>
    <w:p w:rsidR="00621B97" w:rsidRDefault="007B37E3">
      <w:pPr>
        <w:pStyle w:val="21"/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займа;</w:t>
      </w:r>
    </w:p>
    <w:p w:rsidR="00621B97" w:rsidRDefault="007B37E3">
      <w:pPr>
        <w:pStyle w:val="21"/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мены;</w:t>
      </w:r>
    </w:p>
    <w:p w:rsidR="00621B97" w:rsidRDefault="007B37E3">
      <w:pPr>
        <w:pStyle w:val="21"/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поклажи;</w:t>
      </w:r>
    </w:p>
    <w:p w:rsidR="00621B97" w:rsidRDefault="007B37E3">
      <w:pPr>
        <w:pStyle w:val="21"/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найма помещений;</w:t>
      </w:r>
    </w:p>
    <w:p w:rsidR="00621B97" w:rsidRDefault="007B37E3">
      <w:pPr>
        <w:pStyle w:val="21"/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личного найма.</w:t>
      </w:r>
    </w:p>
    <w:p w:rsidR="00621B97" w:rsidRDefault="007B37E3">
      <w:pPr>
        <w:pStyle w:val="21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договора могла быть устной и письменной. Оформление его осуществлялось в присутствии священника или свидетелей. При заключении некоторых договоров требовался заклад (при ссудах и займах на сумму свыше одного рубля), поручительство («порука», если сумма менее одного рубля) или обязательное письменное оформление («запись»).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Псковская Судная Грамота знает два вида наследования – по закону («отморщина») и по завещанию («приказное»). Завещание нуждалось в государственном утверждении. Прямо перечислялись только наследники по закону (восходящие, нисходящие, боковые, супруг).</w:t>
      </w:r>
    </w:p>
    <w:p w:rsidR="00621B97" w:rsidRDefault="007B37E3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Под преступлением, Псковска Судная Грамота впервые в русском праве, понимает причинение ущерба не только частным лицам, но и государству. Закон знает следующие виды преступлений:</w:t>
      </w:r>
    </w:p>
    <w:p w:rsidR="00621B97" w:rsidRDefault="007B37E3">
      <w:pPr>
        <w:pStyle w:val="21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государства (измена или «перевет»);</w:t>
      </w:r>
    </w:p>
    <w:p w:rsidR="00621B97" w:rsidRDefault="007B37E3">
      <w:pPr>
        <w:pStyle w:val="21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судебных органов (взятка или «посул» судье, насильственное вторжение в судебное помещение, насилие в отношении судебных чинов);</w:t>
      </w:r>
    </w:p>
    <w:p w:rsidR="00621B97" w:rsidRDefault="007B37E3">
      <w:pPr>
        <w:pStyle w:val="21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имущественные (простая татьба, квалифицированная или неоднократная татьба, кража церковного имущества, поджог, конокрадство, грабёж – насильственный и открытый захват имущества, разбой – вооружённое нападение с целью грабежа);</w:t>
      </w:r>
    </w:p>
    <w:p w:rsidR="00621B97" w:rsidRDefault="007B37E3">
      <w:pPr>
        <w:pStyle w:val="21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личности (убийство или головщина, нанесение побоев, оскорбление действием).</w:t>
      </w:r>
    </w:p>
    <w:p w:rsidR="00621B97" w:rsidRDefault="007B37E3">
      <w:pPr>
        <w:pStyle w:val="21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Судебное право, регламентируемое в Псковской Судной Грамоте более обстоятельно, чем в Русской Правде. Процесс носил состязательный характер, роль суда усилилась: вызов в суд по повестке («позовнице») и через судебных исполнителей («позовника»). Сохранились упомянутые в Русской Правде судебные доказательства и появились новые: судебный поединок («поле») и письменные доказательства разделяющиеся на «доски» (частные расписки) и «записи» (официально заверенные документы). Возникает институт судебного представительства в судебном поединке («пособничество»), котором могли пользоваться только женщины, подростки, монархи и старые люди. Разрешённые судом дела пересмотру не подлежали.</w:t>
      </w:r>
    </w:p>
    <w:p w:rsidR="00621B97" w:rsidRDefault="00621B97">
      <w:pPr>
        <w:pStyle w:val="21"/>
        <w:ind w:firstLine="720"/>
        <w:rPr>
          <w:rFonts w:ascii="Times New Roman" w:hAnsi="Times New Roman" w:cs="Times New Roman"/>
          <w:sz w:val="24"/>
          <w:szCs w:val="24"/>
        </w:rPr>
      </w:pPr>
    </w:p>
    <w:p w:rsidR="00621B97" w:rsidRDefault="00621B97">
      <w:pPr>
        <w:pStyle w:val="21"/>
        <w:ind w:firstLine="720"/>
        <w:rPr>
          <w:rFonts w:ascii="Times New Roman" w:hAnsi="Times New Roman" w:cs="Times New Roman"/>
          <w:sz w:val="24"/>
          <w:szCs w:val="24"/>
        </w:rPr>
      </w:pPr>
    </w:p>
    <w:p w:rsidR="00621B97" w:rsidRDefault="00621B97">
      <w:pPr>
        <w:pStyle w:val="21"/>
        <w:ind w:firstLine="720"/>
        <w:rPr>
          <w:rFonts w:ascii="Times New Roman" w:hAnsi="Times New Roman" w:cs="Times New Roman"/>
          <w:sz w:val="24"/>
          <w:szCs w:val="24"/>
        </w:rPr>
      </w:pPr>
    </w:p>
    <w:p w:rsidR="00621B97" w:rsidRDefault="00621B97">
      <w:pPr>
        <w:pStyle w:val="21"/>
        <w:ind w:firstLine="720"/>
        <w:rPr>
          <w:rFonts w:ascii="Times New Roman" w:hAnsi="Times New Roman" w:cs="Times New Roman"/>
          <w:sz w:val="24"/>
          <w:szCs w:val="24"/>
        </w:rPr>
      </w:pPr>
    </w:p>
    <w:p w:rsidR="00621B97" w:rsidRDefault="00621B97">
      <w:pPr>
        <w:pStyle w:val="21"/>
        <w:ind w:firstLine="720"/>
        <w:rPr>
          <w:rFonts w:ascii="Times New Roman" w:hAnsi="Times New Roman" w:cs="Times New Roman"/>
          <w:sz w:val="24"/>
          <w:szCs w:val="24"/>
        </w:rPr>
      </w:pPr>
    </w:p>
    <w:p w:rsidR="00621B97" w:rsidRDefault="007B37E3">
      <w:pPr>
        <w:pStyle w:val="21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экономический подъём второй по значению земли Древнерусского государства в </w:t>
      </w:r>
      <w:r>
        <w:rPr>
          <w:rFonts w:ascii="Times New Roman" w:hAnsi="Times New Roman" w:cs="Times New Roman"/>
          <w:sz w:val="24"/>
          <w:szCs w:val="24"/>
          <w:lang w:val="en-US"/>
        </w:rPr>
        <w:t>XI-XII</w:t>
      </w:r>
      <w:r>
        <w:rPr>
          <w:rFonts w:ascii="Times New Roman" w:hAnsi="Times New Roman" w:cs="Times New Roman"/>
          <w:sz w:val="24"/>
          <w:szCs w:val="24"/>
        </w:rPr>
        <w:t xml:space="preserve"> вв., усиление местного купечества, боярства и духовенства, удалённость от Киева и начавшиеся во второй четверти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 xml:space="preserve"> в. процессы феодального дробления привели к утверждению в Новгородской земле независимой республики. В борьбе за неё вырос и укрепился самобытный вечевой строй. Жители Новгорода выступили как сплочённая и самоуправляемая организация, с которой впредь должны были считаться киевские наместники. В борьбе за суверенитет формировались и крепли институты будущей республики. С введением выборности епископа (в 1156г.) и тысяцкого (в 1180-х) завершилось создание независимой республики. Была выстроена система управления, в основу которой лёг принцип волеизъявления новгородской общины. Его действие распространилось на все властные институты; выбирались самые различные должностные лица – от сотских, уличных и кончанских старост до князей, епископов и архиепископов, архимандритов, посадников и тысяцких.</w:t>
      </w:r>
    </w:p>
    <w:p w:rsidR="00621B97" w:rsidRDefault="007B37E3">
      <w:pPr>
        <w:pStyle w:val="21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войны 1471 г. и похода московских войск на Великий Новгород в 1477-1478 гг. были упразднены многие институты республиканской власти. Новгородская республика стала составной частью Русского государства, сохранив при этом некоторую автономию. Исследователи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XX </w:t>
      </w:r>
      <w:r>
        <w:rPr>
          <w:rFonts w:ascii="Times New Roman" w:hAnsi="Times New Roman" w:cs="Times New Roman"/>
          <w:sz w:val="24"/>
          <w:szCs w:val="24"/>
        </w:rPr>
        <w:t>в. обращают внимание на внутренние причины падения Новгородского государства, среди которых часто называется перерождение республики из вечевой в боярско-олигархическую. В последнее время ряд историков высказывают мнение о том, что гибель Новгорода явилась следствием «не вырождения … политической культуры, а грубого насилия из вне –московского завоевания.</w:t>
      </w:r>
    </w:p>
    <w:p w:rsidR="00621B97" w:rsidRDefault="00621B97">
      <w:pPr>
        <w:pStyle w:val="21"/>
        <w:ind w:firstLine="720"/>
        <w:rPr>
          <w:rFonts w:ascii="Times New Roman" w:hAnsi="Times New Roman" w:cs="Times New Roman"/>
          <w:sz w:val="24"/>
          <w:szCs w:val="24"/>
        </w:rPr>
      </w:pPr>
    </w:p>
    <w:p w:rsidR="00621B97" w:rsidRDefault="00621B97">
      <w:pPr>
        <w:pStyle w:val="21"/>
        <w:ind w:firstLine="720"/>
        <w:rPr>
          <w:rFonts w:ascii="Times New Roman" w:hAnsi="Times New Roman" w:cs="Times New Roman"/>
          <w:sz w:val="24"/>
          <w:szCs w:val="24"/>
        </w:rPr>
      </w:pPr>
    </w:p>
    <w:p w:rsidR="00621B97" w:rsidRDefault="007B37E3"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621B97" w:rsidRDefault="00621B97">
      <w:pPr>
        <w:jc w:val="center"/>
        <w:rPr>
          <w:sz w:val="24"/>
          <w:szCs w:val="24"/>
        </w:rPr>
      </w:pPr>
    </w:p>
    <w:p w:rsidR="00621B97" w:rsidRDefault="007B37E3">
      <w:pPr>
        <w:numPr>
          <w:ilvl w:val="0"/>
          <w:numId w:val="7"/>
        </w:numPr>
        <w:tabs>
          <w:tab w:val="clear" w:pos="360"/>
          <w:tab w:val="num" w:pos="786"/>
        </w:tabs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Б.А. Рыбаков «Мир истории» («Начальные века русской истории») – изд.: «Молодая гвардия» 1984-1987гг.</w:t>
      </w:r>
    </w:p>
    <w:p w:rsidR="00621B97" w:rsidRDefault="007B37E3">
      <w:pPr>
        <w:numPr>
          <w:ilvl w:val="0"/>
          <w:numId w:val="7"/>
        </w:numPr>
        <w:tabs>
          <w:tab w:val="clear" w:pos="360"/>
          <w:tab w:val="num" w:pos="786"/>
        </w:tabs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В.О. Ключевский – «О русской истории» – М, изд.: «Просвещение», 1993г.</w:t>
      </w:r>
    </w:p>
    <w:p w:rsidR="00621B97" w:rsidRDefault="007B37E3">
      <w:pPr>
        <w:numPr>
          <w:ilvl w:val="0"/>
          <w:numId w:val="7"/>
        </w:numPr>
        <w:tabs>
          <w:tab w:val="clear" w:pos="360"/>
          <w:tab w:val="num" w:pos="786"/>
        </w:tabs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А.В. Куза «Древнерусские княжества </w:t>
      </w:r>
      <w:r>
        <w:rPr>
          <w:sz w:val="24"/>
          <w:szCs w:val="24"/>
          <w:lang w:val="en-US"/>
        </w:rPr>
        <w:t>X-XIII</w:t>
      </w:r>
      <w:r>
        <w:rPr>
          <w:sz w:val="24"/>
          <w:szCs w:val="24"/>
        </w:rPr>
        <w:t xml:space="preserve"> вв.» М.: изд. «Наука», 1975г.</w:t>
      </w:r>
    </w:p>
    <w:p w:rsidR="00621B97" w:rsidRDefault="007B37E3">
      <w:pPr>
        <w:numPr>
          <w:ilvl w:val="0"/>
          <w:numId w:val="7"/>
        </w:numPr>
        <w:tabs>
          <w:tab w:val="clear" w:pos="360"/>
          <w:tab w:val="num" w:pos="786"/>
        </w:tabs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М.В. Владимирский-Буданов «Обзор истории русского права» Ростов на Дону, изд. «Феликс» 1995г.</w:t>
      </w:r>
    </w:p>
    <w:p w:rsidR="00621B97" w:rsidRDefault="00621B97">
      <w:pPr>
        <w:pStyle w:val="21"/>
        <w:ind w:firstLine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21B97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D1C0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3F77A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4B824F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477B0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60B54F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71368A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7B570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7E3"/>
    <w:rsid w:val="00621B97"/>
    <w:rsid w:val="007B37E3"/>
    <w:rsid w:val="00D3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E1546D5-4933-4212-B8B6-05D8293D9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rFonts w:ascii="Courier New" w:hAnsi="Courier New" w:cs="Courier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pPr>
      <w:spacing w:line="360" w:lineRule="auto"/>
      <w:jc w:val="center"/>
    </w:pPr>
    <w:rPr>
      <w:sz w:val="40"/>
      <w:szCs w:val="40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jc w:val="both"/>
    </w:pPr>
    <w:rPr>
      <w:rFonts w:ascii="Courier New" w:hAnsi="Courier New" w:cs="Courier New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</Words>
  <Characters>9417</Characters>
  <Application>Microsoft Office Word</Application>
  <DocSecurity>0</DocSecurity>
  <Lines>78</Lines>
  <Paragraphs>22</Paragraphs>
  <ScaleCrop>false</ScaleCrop>
  <Company>-</Company>
  <LinksUpToDate>false</LinksUpToDate>
  <CharactersWithSpaces>11047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ОРЕНБУРГСКИЙ ГОСУДАРСТВЕННЫЙ АГРАРНЫЙ УНИВЕРСИТЕТ</dc:title>
  <dc:subject/>
  <dc:creator>Алексеев</dc:creator>
  <cp:keywords/>
  <dc:description/>
  <cp:lastModifiedBy>admin</cp:lastModifiedBy>
  <cp:revision>2</cp:revision>
  <cp:lastPrinted>1998-12-07T12:56:00Z</cp:lastPrinted>
  <dcterms:created xsi:type="dcterms:W3CDTF">2014-02-18T14:43:00Z</dcterms:created>
  <dcterms:modified xsi:type="dcterms:W3CDTF">2014-02-18T14:43:00Z</dcterms:modified>
</cp:coreProperties>
</file>