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64A" w:rsidRDefault="007D764A">
      <w:pPr>
        <w:pStyle w:val="a5"/>
      </w:pPr>
      <w:r>
        <w:t>. Разгром русской эска</w:t>
      </w:r>
      <w:r>
        <w:softHyphen/>
        <w:t>дры 28 мая 1905 г. в Цусимском проливе завершил военные действия. 31 мая японское правительство обратилось к президенту США Т. Рузвельту с просьбой о посредничестве при заключении мира. 5 сентября 1905 г. в Портсмуте (США) был подписан мир</w:t>
      </w:r>
      <w:r>
        <w:softHyphen/>
        <w:t>ный договор, согласно которому Япония устанавливала протекто</w:t>
      </w:r>
      <w:r>
        <w:softHyphen/>
        <w:t>рат над Кореей. Порт-Артур, железнодорожная ветка в Южной Маньчжурии, а также южная часть острова Сахалин переходили к Японии.</w:t>
      </w:r>
    </w:p>
    <w:p w:rsidR="007D764A" w:rsidRDefault="007D764A">
      <w:pPr>
        <w:pStyle w:val="a5"/>
      </w:pPr>
      <w:r>
        <w:t xml:space="preserve">В последующем (в 1907 и 1911—1912гг.) между Японией и Россией был заключен ряд тайных соглашений о разделе «сфер влияния» в Китае. Это ослабило русско-японские противоречия и перенесло их остроту на отношения Японии с США и Англией. Политическое развитие Японии в канне </w:t>
      </w:r>
      <w:r>
        <w:rPr>
          <w:lang w:val="en-US"/>
        </w:rPr>
        <w:t>XX</w:t>
      </w:r>
      <w:r>
        <w:t xml:space="preserve">— начале XX в. </w:t>
      </w:r>
    </w:p>
    <w:p w:rsidR="007D764A" w:rsidRDefault="007D764A">
      <w:pPr>
        <w:pStyle w:val="a5"/>
      </w:pPr>
      <w:r>
        <w:t>Наконец</w:t>
      </w:r>
      <w:r>
        <w:rPr>
          <w:noProof/>
        </w:rPr>
        <w:t xml:space="preserve"> 23</w:t>
      </w:r>
      <w:r>
        <w:t xml:space="preserve"> августа</w:t>
      </w:r>
      <w:r>
        <w:rPr>
          <w:noProof/>
        </w:rPr>
        <w:t xml:space="preserve"> 1905</w:t>
      </w:r>
      <w:r>
        <w:t xml:space="preserve"> г. мирный договор был подписан.</w:t>
      </w:r>
    </w:p>
    <w:p w:rsidR="007D764A" w:rsidRDefault="007D764A">
      <w:pPr>
        <w:pStyle w:val="a5"/>
      </w:pPr>
      <w:r>
        <w:t>Что же представляло этот договор? Условия трактата можно подразделить по содержанию на несколько групп. Первая из них касалась перераспределения сфер влияния в третьих странах. Россия признавала преобладающие интересы Японии в Корее и обязалось не препятствовать мерам по утверждению японского господства в этой стране. Царское правительство уступало также Японии свои права на аренду Квантунского полуострова с военно-морской базой Порт-Артур (Люйшунь) и торговым портом Дальний (Далянь) со всеми концессиями и государственным имуществом, что являлось крупной потерей в политико-стратегическом и экономическом отношении.</w:t>
      </w:r>
    </w:p>
    <w:p w:rsidR="007D764A" w:rsidRDefault="007D764A">
      <w:pPr>
        <w:pStyle w:val="a5"/>
      </w:pPr>
      <w:r>
        <w:t>Следующая группа условий относилась к утрате русской территории и собственности. Царское правительство отдало Японии южную часть Сахалина (до 50-й параллели) с прилегающими островами и всем государственным имуществом. Площадь и население аннексируемой Японией территории были не столь велики, но она имела серьезное стратегическое и экономическое значение: обладание Южным Сахалином позволяло Японии запереть пролив Лаперуза и облегчало задачу блокирования Татарского пролива. Кроме того, остров был богат полезными ископаемыми. Статья о Сахалине аннулировала полюбовное разграничение</w:t>
      </w:r>
      <w:r>
        <w:rPr>
          <w:noProof/>
        </w:rPr>
        <w:t>1875</w:t>
      </w:r>
      <w:r>
        <w:t xml:space="preserve"> года, вновь выдвигая на пути добрососедских отношений между двумя странами территориальный вопрос. Япония получала безвозмездно Южно-Маньчжурскую железную дорогу между Порт-Артуром и станцией Куанченцзы со всеми ее ответвлениями, правами и привилегиями. Общая стоимость прямых материальных потерь России, не считая территории, превышала</w:t>
      </w:r>
      <w:r>
        <w:rPr>
          <w:noProof/>
        </w:rPr>
        <w:t xml:space="preserve"> 100</w:t>
      </w:r>
      <w:r>
        <w:t xml:space="preserve"> млн. золотых рублей. К этому следует добавить денежную компенсацию за содержание военнопленных, сумма которой не была зафиксирована в самом договоре, а позднее определена в</w:t>
      </w:r>
      <w:r>
        <w:rPr>
          <w:noProof/>
        </w:rPr>
        <w:t xml:space="preserve"> 46</w:t>
      </w:r>
      <w:r>
        <w:t xml:space="preserve"> млн. рублей.</w:t>
      </w:r>
    </w:p>
    <w:p w:rsidR="007D764A" w:rsidRDefault="007D764A">
      <w:pPr>
        <w:pStyle w:val="a5"/>
      </w:pPr>
      <w:r>
        <w:t>Экономические статьи Портсмутского трактата предусматривали заключение нового договора о торговле и мореплавании на началах действовавшего до войны, соединение русских и японских железных дорог в Маньчжурии в целях облегчения торговли и, наконец, тяжелое для России обязательство заключить с Японией соглашение о предоставлении японским подданным права рыбной ловли в территориальных водах русского дальневосточного побережья. Последняя группа условий касалась ликвидации последствий войны: размена военнопленными, эвакуации войск из Маньчжурии, некоторого ограничения на взаимной основе военных мер в регионе</w:t>
      </w:r>
      <w:r>
        <w:rPr>
          <w:noProof/>
        </w:rPr>
        <w:t>.</w:t>
      </w:r>
    </w:p>
    <w:p w:rsidR="007D764A" w:rsidRDefault="007D764A">
      <w:pPr>
        <w:pStyle w:val="a5"/>
      </w:pPr>
      <w:r>
        <w:rPr>
          <w:noProof/>
        </w:rPr>
        <w:t xml:space="preserve">     </w:t>
      </w:r>
      <w:r>
        <w:t xml:space="preserve"> А. П. Извольский и перестройка внешней политики России (соглашения</w:t>
      </w:r>
      <w:r>
        <w:rPr>
          <w:noProof/>
        </w:rPr>
        <w:t xml:space="preserve"> 1907</w:t>
      </w:r>
      <w:r>
        <w:t xml:space="preserve"> г.)</w:t>
      </w:r>
    </w:p>
    <w:p w:rsidR="007D764A" w:rsidRDefault="007D764A">
      <w:pPr>
        <w:pStyle w:val="a5"/>
      </w:pPr>
      <w:r>
        <w:t>В конце апреля</w:t>
      </w:r>
      <w:r>
        <w:rPr>
          <w:noProof/>
        </w:rPr>
        <w:t xml:space="preserve"> 1906</w:t>
      </w:r>
      <w:r>
        <w:t xml:space="preserve"> года министром иностранных дел России стал Александр Петрович Извольский. </w:t>
      </w:r>
    </w:p>
    <w:p w:rsidR="007D764A" w:rsidRDefault="007D764A">
      <w:pPr>
        <w:pStyle w:val="a5"/>
      </w:pPr>
      <w:r>
        <w:t>А. П. Извольский, в отличие от своего предшественника на министерском посту графа В. Н. Ламздорфа, идеологически принадлежавшего прошлому,</w:t>
      </w:r>
      <w:r>
        <w:rPr>
          <w:noProof/>
        </w:rPr>
        <w:t xml:space="preserve"> XIX</w:t>
      </w:r>
      <w:r>
        <w:t xml:space="preserve"> веку с его феодальными традициями самодержавного правления, представлял собой тип государственного деятеля новой формации, отвечавшего требованиям современной ему эпохи. </w:t>
      </w:r>
    </w:p>
    <w:p w:rsidR="007D764A" w:rsidRDefault="007D764A">
      <w:pPr>
        <w:pStyle w:val="a5"/>
      </w:pPr>
      <w:r>
        <w:t>Извольский выступал убежденным сторонником европейской ориентации России. По его мнению, ее дальневосточная политика "лет на пятьдесят опережала время"</w:t>
      </w:r>
      <w:r>
        <w:rPr>
          <w:noProof/>
        </w:rPr>
        <w:t xml:space="preserve">. </w:t>
      </w:r>
      <w:r>
        <w:t>Поэтому в первую очередь он наметил ликвидировать «наследие графа Ламздорфа в Азии» и повернуть Россию «лицом к Европе», где, как он считал, были сосредоточены ее основные интересы и назревали серьезные международные конфликты.</w:t>
      </w:r>
    </w:p>
    <w:p w:rsidR="007D764A" w:rsidRDefault="007D764A">
      <w:pPr>
        <w:pStyle w:val="a5"/>
      </w:pPr>
      <w:r>
        <w:t>Главным постулатом его программы, особенно в первые два года, было безусловное признание необходимости обеспечить стране длительную мирную передышку, продолжительность которой П. А. Столыпин определял в</w:t>
      </w:r>
      <w:r>
        <w:rPr>
          <w:noProof/>
        </w:rPr>
        <w:t xml:space="preserve"> 20—25</w:t>
      </w:r>
      <w:r>
        <w:t xml:space="preserve"> лет, а Извольский</w:t>
      </w:r>
      <w:r>
        <w:rPr>
          <w:noProof/>
        </w:rPr>
        <w:t xml:space="preserve"> —</w:t>
      </w:r>
      <w:r>
        <w:t xml:space="preserve"> всего в</w:t>
      </w:r>
      <w:r>
        <w:rPr>
          <w:noProof/>
        </w:rPr>
        <w:t xml:space="preserve"> 10</w:t>
      </w:r>
      <w:r>
        <w:t xml:space="preserve"> лет. Практическая реализация этой задачи представлялась Извольскому в виде политики неприсоединения к двум противостоявшим в Европе блокам государств и стабилизации отношений с ними путем заключения соглашений по спорным вопросам, а также разрешения противоречий с Японией на Дальнем Востоке и продолжения линии на совместные согласованные действия с Австро-Венгрией на Балканах. Краеугольным камнем внешнеполитической системы России и основой европейского равновесия оставался союз с Францией, который предполагалось укреплять на основах равноправного партнерства. В формировавшейся Извольским политике соглашений и внешнеполитического лавирования между двумя блоками держав ее творец, в отличие от своего предшественника, придерживавшегося пассивной политики «равноудаленности» России от Берлина и Лондона, видел возможность с помощью активной дипломатии, опираясь на поддержку тех и других, быстрее восстановить внешнюю безопасность и великодержавные позиции империи и, по возможности, перейти к решению стоявших на очереди внешнеполитических задач.</w:t>
      </w:r>
    </w:p>
    <w:p w:rsidR="007D764A" w:rsidRDefault="007D764A">
      <w:pPr>
        <w:pStyle w:val="a5"/>
      </w:pPr>
      <w:r>
        <w:t>В начале</w:t>
      </w:r>
      <w:r>
        <w:rPr>
          <w:noProof/>
        </w:rPr>
        <w:t xml:space="preserve"> 1907</w:t>
      </w:r>
      <w:r>
        <w:t xml:space="preserve"> года Извольскому удалось завлечь на свою сторону Столыпина и с помощью В. Н. Коковцова переломить настроения членов особого совещания, а также сломить сопротивление военных в СГО. Он искусно использовал прессу, ориентируя общественное мнение в пользу сближения с Англией и Японией.</w:t>
      </w:r>
    </w:p>
    <w:p w:rsidR="007D764A" w:rsidRDefault="007D764A">
      <w:pPr>
        <w:pStyle w:val="a5"/>
      </w:pPr>
      <w:r>
        <w:t>Заключительный этап переговоров с этими державами охватывает период приблизительно с начала</w:t>
      </w:r>
      <w:r>
        <w:rPr>
          <w:noProof/>
        </w:rPr>
        <w:t xml:space="preserve"> 1907</w:t>
      </w:r>
      <w:r>
        <w:t xml:space="preserve"> года идо подписания конвенций в июне</w:t>
      </w:r>
      <w:r>
        <w:rPr>
          <w:noProof/>
        </w:rPr>
        <w:t xml:space="preserve"> —</w:t>
      </w:r>
      <w:r>
        <w:t xml:space="preserve"> августе того же года. Во время этого решающего этапа переговоров выявились широта политического подхода Извольского, его тактика и методы.</w:t>
      </w:r>
    </w:p>
    <w:p w:rsidR="007D764A" w:rsidRDefault="007D764A">
      <w:pPr>
        <w:pStyle w:val="a5"/>
      </w:pPr>
      <w:r>
        <w:t>Впервые во внешней политике России в таких масштабах и с такой последовательностью был реализован принцип политического компромисса, входивший в практику «новой дипломатии» с конца</w:t>
      </w:r>
      <w:r>
        <w:rPr>
          <w:noProof/>
        </w:rPr>
        <w:t xml:space="preserve"> XIX</w:t>
      </w:r>
      <w:r>
        <w:t xml:space="preserve"> века,</w:t>
      </w:r>
      <w:r>
        <w:rPr>
          <w:noProof/>
        </w:rPr>
        <w:t xml:space="preserve"> —</w:t>
      </w:r>
      <w:r>
        <w:t xml:space="preserve"> разграничение интересов, выделение сфер влияния, «уступки» и «обмен» территорий третьих держав и т. д. Все это мало соответствовало высокомерно-великодержавной формуле его предшественников, гласившей, что Россия не должна идти на разграничительные линии, поскольку «она может распространить свое влияние далеко за пределы всяких сфер.</w:t>
      </w:r>
    </w:p>
    <w:p w:rsidR="007D764A" w:rsidRDefault="007D764A">
      <w:pPr>
        <w:pStyle w:val="a5"/>
      </w:pPr>
      <w:r>
        <w:t>Узкие пределы политического сближения России и Германии, диктуемые их постепенным включением в два противостоящих блока в Европе, а главное</w:t>
      </w:r>
      <w:r>
        <w:rPr>
          <w:noProof/>
        </w:rPr>
        <w:t xml:space="preserve"> —</w:t>
      </w:r>
      <w:r>
        <w:t xml:space="preserve"> союз с Францией и курс на политическое сближение с Англией ограничивали применяемую царским министром «тактику возможного». Ввиду кардинальных разногласий по главным вопросам (балканскому и ближневосточному) Извольскому пришлось удовлетвориться заключением так называемого Балтийского протокола (октябрь</w:t>
      </w:r>
      <w:r>
        <w:rPr>
          <w:noProof/>
        </w:rPr>
        <w:t xml:space="preserve"> 1907</w:t>
      </w:r>
      <w:r>
        <w:t xml:space="preserve"> г.) о поддержании статус-кво в районе Балтики, не имевшего принципиального значения для взаимоотношений России и Германии. Этим протоколом создавалась лишь видимость восстановления баланса между Россией и германским блоком, поскольку реальный крен России в сторону Антанты увеличивался.</w:t>
      </w:r>
    </w:p>
    <w:p w:rsidR="007D764A" w:rsidRDefault="007D764A">
      <w:pPr>
        <w:pStyle w:val="a5"/>
      </w:pPr>
      <w:r>
        <w:t>В цепи заключенных Извольским соглашений англо-русская конвенция</w:t>
      </w:r>
      <w:r>
        <w:rPr>
          <w:noProof/>
        </w:rPr>
        <w:t xml:space="preserve"> 1907</w:t>
      </w:r>
      <w:r>
        <w:t xml:space="preserve"> года занимала ключевое положение. Объективное общеполитическое значение ее, как и англо-французского соглашения</w:t>
      </w:r>
      <w:r>
        <w:rPr>
          <w:noProof/>
        </w:rPr>
        <w:t xml:space="preserve"> 1904</w:t>
      </w:r>
      <w:r>
        <w:t xml:space="preserve"> года по разграничению в Африке, состояло в том, что она заложила фундамент в становление Тройственного согласия. Так ее и оценили современники, особенно в Германии и в Англии. Британская дипломатия рассчитывала на то, что первый же серьезный кризис в отношениях России с центральными державами приведет к дальнейшей консолидации Тройственного согласия. </w:t>
      </w:r>
    </w:p>
    <w:p w:rsidR="007D764A" w:rsidRDefault="007D764A">
      <w:pPr>
        <w:pStyle w:val="a5"/>
      </w:pPr>
      <w:r>
        <w:t>Эти строки были написаны в дни агадирского кризиса</w:t>
      </w:r>
      <w:r>
        <w:rPr>
          <w:noProof/>
        </w:rPr>
        <w:t>1911</w:t>
      </w:r>
      <w:r>
        <w:t xml:space="preserve"> года</w:t>
      </w:r>
      <w:r>
        <w:rPr>
          <w:noProof/>
        </w:rPr>
        <w:t xml:space="preserve"> —</w:t>
      </w:r>
      <w:r>
        <w:t xml:space="preserve"> острейшего международного конфликта, по существу, завершившего расстановку политических сил в Европе перед мировой войной. Указывая на опасность возникновения общеевропейской войны, Извольский видел два ее основных очага: один</w:t>
      </w:r>
      <w:r>
        <w:rPr>
          <w:noProof/>
        </w:rPr>
        <w:t xml:space="preserve"> —</w:t>
      </w:r>
      <w:r>
        <w:t xml:space="preserve"> на Балканах, другой</w:t>
      </w:r>
      <w:r>
        <w:rPr>
          <w:noProof/>
        </w:rPr>
        <w:t xml:space="preserve"> —</w:t>
      </w:r>
      <w:r>
        <w:t xml:space="preserve"> в антагонизме Франции и Германии в Европе, за которым стояло англо-германское колониальное соперничество. По его мнению, России не удастся избежать участия в этом «грандиозном конфликте». К возможности предотвращения общеевропейской войны Извольский относился с фатальным пессимизмом, считая, что все будет зависеть от Германии:</w:t>
      </w:r>
    </w:p>
    <w:p w:rsidR="007D764A" w:rsidRDefault="007D764A">
      <w:pPr>
        <w:pStyle w:val="a5"/>
      </w:pPr>
      <w:r>
        <w:t xml:space="preserve"> «Если она ее желает, то война будет». Это понимание обстановки в Европе стало программой его деятельности на посту посла России во Франции: укрепление франко-русского союза и Тройственного согласия, одним из фактических создателей которого он явился, несмотря на иные субъективные устремления.</w:t>
      </w:r>
      <w:bookmarkStart w:id="0" w:name="_GoBack"/>
      <w:bookmarkEnd w:id="0"/>
    </w:p>
    <w:sectPr w:rsidR="007D764A">
      <w:headerReference w:type="even" r:id="rId7"/>
      <w:headerReference w:type="default" r:id="rId8"/>
      <w:pgSz w:w="11906" w:h="16838" w:code="9"/>
      <w:pgMar w:top="1134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764A" w:rsidRDefault="007D764A">
      <w:r>
        <w:separator/>
      </w:r>
    </w:p>
  </w:endnote>
  <w:endnote w:type="continuationSeparator" w:id="0">
    <w:p w:rsidR="007D764A" w:rsidRDefault="007D7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ouvenir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764A" w:rsidRDefault="007D764A">
      <w:r>
        <w:separator/>
      </w:r>
    </w:p>
  </w:footnote>
  <w:footnote w:type="continuationSeparator" w:id="0">
    <w:p w:rsidR="007D764A" w:rsidRDefault="007D76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64A" w:rsidRDefault="007D764A">
    <w:pPr>
      <w:pStyle w:val="ab"/>
      <w:framePr w:wrap="around" w:vAnchor="text" w:hAnchor="margin" w:xAlign="center" w:y="1"/>
      <w:rPr>
        <w:rStyle w:val="ac"/>
      </w:rPr>
    </w:pPr>
  </w:p>
  <w:p w:rsidR="007D764A" w:rsidRDefault="007D764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64A" w:rsidRDefault="002971A2">
    <w:pPr>
      <w:pStyle w:val="ab"/>
      <w:framePr w:wrap="around" w:vAnchor="text" w:hAnchor="margin" w:xAlign="center" w:y="1"/>
      <w:rPr>
        <w:rStyle w:val="ac"/>
      </w:rPr>
    </w:pPr>
    <w:r>
      <w:rPr>
        <w:rStyle w:val="ac"/>
        <w:noProof/>
      </w:rPr>
      <w:t>1</w:t>
    </w:r>
  </w:p>
  <w:p w:rsidR="007D764A" w:rsidRDefault="007D764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F4046F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71A2"/>
    <w:rsid w:val="002971A2"/>
    <w:rsid w:val="0057413E"/>
    <w:rsid w:val="007D764A"/>
    <w:rsid w:val="00A74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EECDFE-D002-485C-B069-5BE312852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Заголовок 1(бнв)"/>
    <w:basedOn w:val="a"/>
    <w:next w:val="a"/>
    <w:qFormat/>
    <w:pPr>
      <w:keepNext/>
      <w:jc w:val="center"/>
      <w:outlineLvl w:val="0"/>
    </w:pPr>
    <w:rPr>
      <w:rFonts w:ascii="Souvenir" w:hAnsi="Souvenir"/>
      <w:b/>
      <w:kern w:val="28"/>
      <w:sz w:val="32"/>
      <w:szCs w:val="20"/>
    </w:rPr>
  </w:style>
  <w:style w:type="paragraph" w:styleId="20">
    <w:name w:val="heading 2"/>
    <w:aliases w:val="Заголовок 2(бнв)"/>
    <w:basedOn w:val="1"/>
    <w:next w:val="a"/>
    <w:qFormat/>
    <w:pPr>
      <w:jc w:val="left"/>
      <w:outlineLvl w:val="1"/>
    </w:pPr>
    <w:rPr>
      <w:b w:val="0"/>
      <w:i/>
      <w:kern w:val="24"/>
      <w:sz w:val="28"/>
    </w:rPr>
  </w:style>
  <w:style w:type="paragraph" w:styleId="3">
    <w:name w:val="heading 3"/>
    <w:aliases w:val="Заголовок 3(бнв)"/>
    <w:basedOn w:val="20"/>
    <w:next w:val="a"/>
    <w:qFormat/>
    <w:pPr>
      <w:jc w:val="right"/>
      <w:outlineLvl w:val="2"/>
    </w:pPr>
    <w:rPr>
      <w:rFonts w:cs="Arial"/>
      <w:b/>
      <w:bCs/>
      <w:sz w:val="24"/>
      <w:szCs w:val="26"/>
    </w:rPr>
  </w:style>
  <w:style w:type="paragraph" w:styleId="4">
    <w:name w:val="heading 4"/>
    <w:aliases w:val="Заголовок 4(бнв)"/>
    <w:basedOn w:val="3"/>
    <w:next w:val="a"/>
    <w:qFormat/>
    <w:pPr>
      <w:jc w:val="both"/>
      <w:outlineLvl w:val="3"/>
    </w:pPr>
    <w:rPr>
      <w:b w:val="0"/>
      <w:bCs w:val="0"/>
      <w:i w:val="0"/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НВ"/>
    <w:pPr>
      <w:jc w:val="right"/>
    </w:pPr>
    <w:rPr>
      <w:b/>
      <w:sz w:val="22"/>
    </w:rPr>
  </w:style>
  <w:style w:type="paragraph" w:customStyle="1" w:styleId="0001">
    <w:name w:val="БНВ0001"/>
    <w:pPr>
      <w:jc w:val="center"/>
    </w:pPr>
    <w:rPr>
      <w:b/>
      <w:bCs/>
      <w:iCs/>
      <w:sz w:val="22"/>
    </w:rPr>
  </w:style>
  <w:style w:type="paragraph" w:customStyle="1" w:styleId="0002">
    <w:name w:val="БНВ0002"/>
    <w:pPr>
      <w:autoSpaceDE w:val="0"/>
      <w:autoSpaceDN w:val="0"/>
    </w:pPr>
    <w:rPr>
      <w:szCs w:val="22"/>
    </w:rPr>
  </w:style>
  <w:style w:type="paragraph" w:customStyle="1" w:styleId="a4">
    <w:name w:val="Краткий обратный адрес"/>
    <w:basedOn w:val="a"/>
  </w:style>
  <w:style w:type="paragraph" w:styleId="2">
    <w:name w:val="List Bullet 2"/>
    <w:basedOn w:val="a"/>
    <w:autoRedefine/>
    <w:semiHidden/>
    <w:pPr>
      <w:numPr>
        <w:numId w:val="2"/>
      </w:numPr>
    </w:pPr>
  </w:style>
  <w:style w:type="paragraph" w:customStyle="1" w:styleId="a5">
    <w:name w:val="Новый БНВ"/>
    <w:autoRedefine/>
    <w:pPr>
      <w:ind w:firstLine="284"/>
      <w:jc w:val="both"/>
    </w:pPr>
    <w:rPr>
      <w:color w:val="000000"/>
      <w:sz w:val="24"/>
    </w:rPr>
  </w:style>
  <w:style w:type="paragraph" w:styleId="a6">
    <w:name w:val="Normal Indent"/>
    <w:basedOn w:val="a"/>
    <w:semiHidden/>
    <w:pPr>
      <w:ind w:left="708"/>
    </w:pPr>
  </w:style>
  <w:style w:type="paragraph" w:styleId="a7">
    <w:name w:val="Body Text"/>
    <w:basedOn w:val="a"/>
    <w:semiHidden/>
    <w:pPr>
      <w:spacing w:after="120"/>
    </w:pPr>
  </w:style>
  <w:style w:type="paragraph" w:styleId="a8">
    <w:name w:val="Body Text Indent"/>
    <w:basedOn w:val="a"/>
    <w:semiHidden/>
    <w:pPr>
      <w:spacing w:after="120"/>
      <w:ind w:left="283"/>
    </w:pPr>
  </w:style>
  <w:style w:type="paragraph" w:styleId="a9">
    <w:name w:val="Salutation"/>
    <w:basedOn w:val="a"/>
    <w:next w:val="a"/>
    <w:semiHidden/>
  </w:style>
  <w:style w:type="paragraph" w:styleId="21">
    <w:name w:val="List Continue 2"/>
    <w:basedOn w:val="a"/>
    <w:semiHidden/>
    <w:pPr>
      <w:spacing w:after="120"/>
      <w:ind w:left="566"/>
    </w:pPr>
  </w:style>
  <w:style w:type="paragraph" w:styleId="22">
    <w:name w:val="List 2"/>
    <w:basedOn w:val="a"/>
    <w:semiHidden/>
    <w:pPr>
      <w:ind w:left="566" w:hanging="283"/>
    </w:pPr>
  </w:style>
  <w:style w:type="paragraph" w:customStyle="1" w:styleId="aa">
    <w:name w:val="Унивирсальный"/>
    <w:pPr>
      <w:spacing w:before="120" w:after="120"/>
      <w:ind w:firstLine="284"/>
      <w:jc w:val="both"/>
    </w:pPr>
    <w:rPr>
      <w:sz w:val="24"/>
    </w:rPr>
  </w:style>
  <w:style w:type="paragraph" w:customStyle="1" w:styleId="Kursovik">
    <w:name w:val="Kursovik"/>
    <w:basedOn w:val="a5"/>
    <w:pPr>
      <w:spacing w:before="120" w:after="120"/>
    </w:pPr>
    <w:rPr>
      <w:sz w:val="28"/>
    </w:rPr>
  </w:style>
  <w:style w:type="paragraph" w:styleId="ab">
    <w:name w:val="header"/>
    <w:basedOn w:val="a"/>
    <w:semiHidden/>
    <w:pPr>
      <w:tabs>
        <w:tab w:val="center" w:pos="4677"/>
        <w:tab w:val="right" w:pos="9355"/>
      </w:tabs>
    </w:pPr>
  </w:style>
  <w:style w:type="character" w:styleId="ac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1287</Words>
  <Characters>7340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ДВОО КИП Прогресс</Company>
  <LinksUpToDate>false</LinksUpToDate>
  <CharactersWithSpaces>8610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БНВ</dc:creator>
  <cp:keywords/>
  <dc:description/>
  <cp:lastModifiedBy>admin</cp:lastModifiedBy>
  <cp:revision>2</cp:revision>
  <cp:lastPrinted>2002-05-17T05:58:00Z</cp:lastPrinted>
  <dcterms:created xsi:type="dcterms:W3CDTF">2014-02-06T13:21:00Z</dcterms:created>
  <dcterms:modified xsi:type="dcterms:W3CDTF">2014-02-06T13:21:00Z</dcterms:modified>
</cp:coreProperties>
</file>