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Православный Свято-Тихоновский Богословский институт</w:t>
      </w:r>
    </w:p>
    <w:p w:rsidR="00A42C8D" w:rsidRDefault="00A42C8D">
      <w:pPr>
        <w:pStyle w:val="a4"/>
        <w:spacing w:line="360" w:lineRule="auto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История Русской Церкви (Патриарший период)</w:t>
      </w:r>
    </w:p>
    <w:p w:rsidR="00A42C8D" w:rsidRDefault="00A42C8D">
      <w:pPr>
        <w:pStyle w:val="a4"/>
        <w:spacing w:line="360" w:lineRule="auto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 xml:space="preserve">«Роль казачества и братств Западной Руси </w:t>
      </w:r>
      <w:r>
        <w:rPr>
          <w:rFonts w:ascii="Courier New" w:hAnsi="Courier New"/>
          <w:sz w:val="22"/>
        </w:rPr>
        <w:br/>
        <w:t>в борьбе за православие после Брестской Унии»</w:t>
      </w: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</w:p>
    <w:p w:rsidR="00A42C8D" w:rsidRDefault="00A42C8D">
      <w:pPr>
        <w:pStyle w:val="a4"/>
        <w:spacing w:line="360" w:lineRule="auto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(Реферат студента 3 курса заочного отделения)</w:t>
      </w:r>
    </w:p>
    <w:p w:rsidR="00A42C8D" w:rsidRDefault="00A42C8D">
      <w:pPr>
        <w:pStyle w:val="a4"/>
        <w:spacing w:line="360" w:lineRule="auto"/>
        <w:rPr>
          <w:rFonts w:ascii="Courier New" w:hAnsi="Courier New"/>
          <w:sz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387"/>
        <w:gridCol w:w="4274"/>
      </w:tblGrid>
      <w:tr w:rsidR="00A42C8D">
        <w:trPr>
          <w:jc w:val="center"/>
        </w:trPr>
        <w:tc>
          <w:tcPr>
            <w:tcW w:w="2387" w:type="dxa"/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ЦДО</w:t>
            </w:r>
          </w:p>
        </w:tc>
        <w:tc>
          <w:tcPr>
            <w:tcW w:w="4274" w:type="dxa"/>
            <w:tcBorders>
              <w:bottom w:val="single" w:sz="4" w:space="0" w:color="auto"/>
            </w:tcBorders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Сыктывкарский</w:t>
            </w:r>
          </w:p>
        </w:tc>
      </w:tr>
      <w:tr w:rsidR="00A42C8D">
        <w:trPr>
          <w:jc w:val="center"/>
        </w:trPr>
        <w:tc>
          <w:tcPr>
            <w:tcW w:w="2387" w:type="dxa"/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Факультет</w:t>
            </w:r>
          </w:p>
        </w:tc>
        <w:tc>
          <w:tcPr>
            <w:tcW w:w="4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Катехизаторский</w:t>
            </w:r>
          </w:p>
        </w:tc>
      </w:tr>
      <w:tr w:rsidR="00A42C8D">
        <w:trPr>
          <w:jc w:val="center"/>
        </w:trPr>
        <w:tc>
          <w:tcPr>
            <w:tcW w:w="2387" w:type="dxa"/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4"/>
              </w:rPr>
            </w:pPr>
            <w:r>
              <w:rPr>
                <w:rFonts w:ascii="Courier New" w:hAnsi="Courier New"/>
                <w:sz w:val="24"/>
              </w:rPr>
              <w:t>Ф.И.О</w:t>
            </w:r>
          </w:p>
        </w:tc>
        <w:tc>
          <w:tcPr>
            <w:tcW w:w="4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Шевчуган Роман Георгиевич</w:t>
            </w:r>
          </w:p>
        </w:tc>
      </w:tr>
      <w:tr w:rsidR="00A42C8D">
        <w:trPr>
          <w:jc w:val="center"/>
        </w:trPr>
        <w:tc>
          <w:tcPr>
            <w:tcW w:w="2387" w:type="dxa"/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Дата выполнения:</w:t>
            </w:r>
          </w:p>
        </w:tc>
        <w:tc>
          <w:tcPr>
            <w:tcW w:w="4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42C8D" w:rsidRDefault="00A42C8D">
            <w:pPr>
              <w:pStyle w:val="a4"/>
              <w:spacing w:line="360" w:lineRule="auto"/>
              <w:ind w:firstLine="0"/>
              <w:rPr>
                <w:rFonts w:ascii="Courier New" w:hAnsi="Courier New"/>
                <w:sz w:val="22"/>
              </w:rPr>
            </w:pPr>
            <w:r>
              <w:rPr>
                <w:rFonts w:ascii="Courier New" w:hAnsi="Courier New"/>
                <w:sz w:val="22"/>
              </w:rPr>
              <w:t>Февраль 2003 года</w:t>
            </w:r>
          </w:p>
        </w:tc>
      </w:tr>
    </w:tbl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rPr>
          <w:lang w:val="en-US"/>
        </w:rPr>
      </w:pPr>
    </w:p>
    <w:p w:rsidR="00A42C8D" w:rsidRDefault="00A42C8D">
      <w:pPr>
        <w:jc w:val="center"/>
        <w:rPr>
          <w:lang w:val="en-US"/>
        </w:rPr>
      </w:pPr>
    </w:p>
    <w:p w:rsidR="00A42C8D" w:rsidRDefault="00A42C8D">
      <w:pPr>
        <w:jc w:val="center"/>
        <w:rPr>
          <w:lang w:val="en-US"/>
        </w:rPr>
      </w:pPr>
    </w:p>
    <w:p w:rsidR="00A42C8D" w:rsidRDefault="00A42C8D">
      <w:pPr>
        <w:jc w:val="center"/>
        <w:rPr>
          <w:rFonts w:ascii="Courier New" w:hAnsi="Courier New"/>
          <w:sz w:val="24"/>
          <w:lang w:val="en-US"/>
        </w:rPr>
      </w:pPr>
      <w:r>
        <w:rPr>
          <w:rFonts w:ascii="Courier New" w:hAnsi="Courier New"/>
          <w:sz w:val="24"/>
          <w:lang w:val="en-US"/>
        </w:rPr>
        <w:t>Ухта, 2003г.</w:t>
      </w:r>
      <w:r>
        <w:rPr>
          <w:rFonts w:ascii="Courier New" w:hAnsi="Courier New"/>
          <w:sz w:val="24"/>
          <w:lang w:val="en-US"/>
        </w:rPr>
        <w:br w:type="page"/>
      </w:r>
    </w:p>
    <w:p w:rsidR="00A42C8D" w:rsidRDefault="00A42C8D">
      <w:pPr>
        <w:rPr>
          <w:rFonts w:ascii="Arial" w:hAnsi="Arial"/>
          <w:sz w:val="40"/>
        </w:rPr>
      </w:pPr>
      <w:r>
        <w:rPr>
          <w:rFonts w:ascii="Arial" w:hAnsi="Arial"/>
          <w:sz w:val="40"/>
        </w:rPr>
        <w:t>План</w:t>
      </w:r>
    </w:p>
    <w:p w:rsidR="00A42C8D" w:rsidRDefault="00A42C8D">
      <w:pPr>
        <w:rPr>
          <w:rFonts w:ascii="Arial" w:hAnsi="Arial"/>
          <w:sz w:val="40"/>
        </w:rPr>
      </w:pPr>
    </w:p>
    <w:p w:rsidR="00A42C8D" w:rsidRDefault="00A42C8D">
      <w:pPr>
        <w:pStyle w:val="10"/>
        <w:tabs>
          <w:tab w:val="right" w:leader="dot" w:pos="9247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1) Введение</w:t>
      </w:r>
    </w:p>
    <w:p w:rsidR="00A42C8D" w:rsidRDefault="00A42C8D">
      <w:pPr>
        <w:pStyle w:val="10"/>
        <w:tabs>
          <w:tab w:val="right" w:leader="dot" w:pos="9247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2) Роль братств в борьбе с унией</w:t>
      </w:r>
    </w:p>
    <w:p w:rsidR="00A42C8D" w:rsidRDefault="00A42C8D">
      <w:pPr>
        <w:pStyle w:val="10"/>
        <w:tabs>
          <w:tab w:val="right" w:leader="dot" w:pos="9247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3) Роль казачества</w:t>
      </w:r>
    </w:p>
    <w:p w:rsidR="00A42C8D" w:rsidRDefault="00A42C8D">
      <w:pPr>
        <w:pStyle w:val="10"/>
        <w:tabs>
          <w:tab w:val="right" w:leader="dot" w:pos="9247"/>
        </w:tabs>
        <w:rPr>
          <w:rFonts w:ascii="Arial" w:hAnsi="Arial"/>
          <w:noProof/>
          <w:sz w:val="28"/>
        </w:rPr>
      </w:pPr>
      <w:r>
        <w:rPr>
          <w:rFonts w:ascii="Arial" w:hAnsi="Arial"/>
          <w:noProof/>
          <w:sz w:val="28"/>
        </w:rPr>
        <w:t>4) Заключение</w:t>
      </w:r>
    </w:p>
    <w:p w:rsidR="00A42C8D" w:rsidRDefault="00A42C8D"/>
    <w:p w:rsidR="00A42C8D" w:rsidRDefault="00A42C8D"/>
    <w:p w:rsidR="00A42C8D" w:rsidRDefault="00A42C8D">
      <w:pPr>
        <w:pStyle w:val="1"/>
      </w:pPr>
      <w:r>
        <w:rPr>
          <w:sz w:val="22"/>
        </w:rPr>
        <w:br w:type="page"/>
      </w:r>
      <w:r>
        <w:t>1) Введение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Брестская уния 1596 г. – один из важнейших этапов католической экспансии в землях Южной России, которая в 16-17 вв. находилась под властью Речи Посполитой. Поэтому в унии можно выделить две взаимосвязанные составляющие – религиозную (подчинение православного населения Южной Руси Католической Церкви) и политическую (укрепление позиций Польши в Восточной Европе). Поляки надеялись, что с введением унии произойдет немедленное и полное растворение православных украинцев и белорусов среди прочего населения Речи Посполитой , а католицизм существенно расширит пределы своего влияния на востоке.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Суть унии состояла в подчинении православного населения канонической власти Рима и принятии им основных догматов католической церкви при сохранении обрядов православного образца.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Хотя законодательство Речи Посполитой формально гарантировало свободу вероисповедания, тем не менее, католичество являлось религией господствующей, кроме того, православное население рассматривалось польской властью как политически неблагонадежное, и следовательно, источник потенциальной опасности. Это явствует, например, из </w:t>
      </w:r>
      <w:r>
        <w:rPr>
          <w:rFonts w:ascii="Arial" w:hAnsi="Arial"/>
          <w:b/>
          <w:sz w:val="22"/>
        </w:rPr>
        <w:t>«Универсала короля Сигизмунда III о репрессиях против православных епископов, посвященных Иерусалимским патриархом Феофаном вместо перешедших в унию»</w:t>
      </w:r>
      <w:r>
        <w:rPr>
          <w:rFonts w:ascii="Arial" w:hAnsi="Arial"/>
          <w:sz w:val="22"/>
        </w:rPr>
        <w:t xml:space="preserve"> от 22 марта 1621 г. : </w:t>
      </w:r>
      <w:r>
        <w:rPr>
          <w:rFonts w:ascii="Arial" w:hAnsi="Arial"/>
          <w:i/>
          <w:sz w:val="22"/>
        </w:rPr>
        <w:t>«…объявляем, что некто Смотрицкий и Борецкий, &lt;…&gt; сговорившись с подданным турецкого государя, врага христианской веры и нашего, &lt;…&gt; и у этого же его подданного самозванца, якобы Иерусалимскаго патриарха, присланного упомянутым турецким государем в наши государства шпионом, в помощь сказанному неприятелю, на гибель нашего государства, уничтожение и пренебрежение власти нашего королевского величества дерзнули без воли, ведома, одобрения и позволения нашего принять поставление на митрополичью кафедру и другие духовные должности русского вероисповедания…»</w:t>
      </w:r>
      <w:r>
        <w:rPr>
          <w:rFonts w:ascii="Arial" w:hAnsi="Arial"/>
          <w:sz w:val="22"/>
        </w:rPr>
        <w:t xml:space="preserve"> [см. 1, б/с]</w:t>
      </w:r>
      <w:r>
        <w:rPr>
          <w:rFonts w:ascii="Arial" w:hAnsi="Arial"/>
          <w:i/>
          <w:sz w:val="22"/>
        </w:rPr>
        <w:t>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Таким образом, государственная власть Речи Посполитой была заинтересована в распространении унии также и потому, что уния способствовала укреплению лояльности православного населения.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Православное население, в свою очередь, встретило унию мягко говоря, без особого энтузиазма. Понимая опасность «полонизации» (т.е. ополячивания), православные активно сопротивлялись униатству. Были два основных очага сопротивления: во-первых, казачество, мало зависимое от польской власти, а во-вторых – неформальные объединения православных граждан (как клириков, так и мирян) , называемые «братствами».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Тема деятельности православных братств Западной Руси в эпоху насаждения униатства рассматривается выдающимися церковными историками, такими как профессор П. Знаменский и А.В. Карташев. Последний выделяет два основных способа борьбы с распространением униатства: это повышение образовательного уровня православных путем создания сети религиозных учебных заведений – так называемых братских школ, а также литературную борьбу, которая заключалась в основном  в антиуниональной контрпропаганде путем создания и публикации полемической литературы.</w:t>
      </w:r>
    </w:p>
    <w:p w:rsidR="00A42C8D" w:rsidRDefault="00A42C8D">
      <w:pPr>
        <w:pStyle w:val="1"/>
      </w:pPr>
      <w:r>
        <w:t>2) Роль братств в борьбе с унией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Прежде всего следует отметить, что братства начали появляться еще задолго до Брестской унии, и они первоначально являлись не сколько религиозными, сколько этническими общинами. Дело в том, что после возникновения Речи Посполитой в результате так называемой Люблинской унии население исконно православных земель, вошедших в состав нового государства, оказалось в положении национального меньшинства, чьи права серьезно ущемлялись новой властью. Реакцией на такое изменение положения вещей стало возникновение братств: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i/>
          <w:sz w:val="22"/>
        </w:rPr>
        <w:t>«Польско-католическая агрессия на Украину-Русь и сопровождавшие ее изменения социальных взаимоотношений (крепостное право, привилегии католикам) задавали со стороны населения отпор, который вылился в организации т. наз. “братств”. Уже в XV в во Львове, а позднее в Киеве возникли среди городских жителей “православные братства”, первоначально имевшие целью только оказание материальной помощи своей приходской церкви. &lt;…&gt; Но вскоре, в результате наступления реакционной католико-польской культуры, меняется и состав, и цели, и деятельность братств. В них начинает вступать низшее духовенство и православная шляхта и они становятся общественными организациями, объединяющими все элементы, недовольные политикой Польши и существующим социально-политическим порядком…»</w:t>
      </w:r>
      <w:r>
        <w:rPr>
          <w:rFonts w:ascii="Arial" w:hAnsi="Arial"/>
          <w:sz w:val="22"/>
        </w:rPr>
        <w:t xml:space="preserve"> [2, б/с].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Особенно же роль братств возросла после того, как православный епископат во главе с Михаилом Рогозой приняли решение о подчинении Риму (см </w:t>
      </w:r>
      <w:r>
        <w:rPr>
          <w:rFonts w:ascii="Arial" w:hAnsi="Arial"/>
          <w:b/>
          <w:sz w:val="22"/>
        </w:rPr>
        <w:t>«Соборную грамоту Киевского митрополита Михаила Рогозы и епископов Западной Руси о намерении подчиниться Римскому папе (1594 г. 2 декабря)»</w:t>
      </w:r>
      <w:r>
        <w:rPr>
          <w:rFonts w:ascii="Arial" w:hAnsi="Arial"/>
          <w:sz w:val="22"/>
        </w:rPr>
        <w:t xml:space="preserve"> [1, б/с]), а также после того, как среди знати защитников православия практически не осталось: </w:t>
      </w:r>
      <w:r>
        <w:rPr>
          <w:rFonts w:ascii="Arial" w:hAnsi="Arial"/>
          <w:i/>
          <w:sz w:val="22"/>
        </w:rPr>
        <w:t>«Благодаря иезуитам паны быстро ополячивались, и следующее поколение их выставило даже прямых врагов православию, каовыми были дети самих ревнителей веры – сын Курбского Димитрий и сын Острожского Януш. Для церкви более оказалась сила народная, сила городских общин и братств…»</w:t>
      </w:r>
      <w:r>
        <w:rPr>
          <w:rFonts w:ascii="Arial" w:hAnsi="Arial"/>
          <w:sz w:val="22"/>
        </w:rPr>
        <w:t xml:space="preserve"> [3.стр.192].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Так как основными пропагандистами унии были иезуиты и орден базилиан, возглавляемый И. В. Рутским, то важнейшим моментом деятельности братств было противодействие иезуитам.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Вскоре после Брестского собора, утвердившего унию, вышел в свет памфлет иезуита П. Скарги, ректора виленской иезуитской академии, подрывающий значение православного собора</w:t>
      </w:r>
      <w:r>
        <w:rPr>
          <w:rStyle w:val="a8"/>
          <w:rFonts w:ascii="Arial" w:hAnsi="Arial"/>
          <w:sz w:val="22"/>
        </w:rPr>
        <w:footnoteReference w:customMarkFollows="1" w:id="1"/>
        <w:t>*</w:t>
      </w:r>
      <w:r>
        <w:rPr>
          <w:rFonts w:ascii="Arial" w:hAnsi="Arial"/>
          <w:sz w:val="22"/>
        </w:rPr>
        <w:t>, как якобы незаконного, на основании того, что большинство на нем составляли миряне, отказавшиеся подчиниться своим иерархам.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В ответ на этот памфлет Христофор Бронский (под псевдонимом Христофора Филарета) сочинение под названием «Апокрисис» («Отповедь»), в котором автор попытался защитить право мирян на участие в церковных делах на том основании, что в Церкви нет священничества как отдельной касты. Следует отметить, что сам Христофор Бронский был не православным, а протестантом, выступивший как союзник православных в борьбе за религиозную свободу.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В 1605 г. во Львове уже сами православные выпустили исторический труд под названием «Перестрога» («предостережение»), в которой обстоятельно изложены события подготовки и проведение в жизнь унии.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Распространялись также антиуниональные послания патриарха александрийского Милетия Пигаса и русских иноков с афона. Русский монах Иоанн Вышенский посылал оттуда свои послания князю Острожскому, к львовскому братству. Он же написал «Краткое извещение о латинских прелестях». Следует отметить, что Иоанн Вышенский почти по-старообрядчески отвергал латинскую ученость, призывал к «простоте голубиной», и «глупству пред Богом»: </w:t>
      </w:r>
      <w:r>
        <w:rPr>
          <w:rFonts w:ascii="Arial" w:hAnsi="Arial"/>
          <w:i/>
          <w:sz w:val="22"/>
        </w:rPr>
        <w:t>«Чи ти, лепше тобе изучити Часословец, Псалтир, октоих, апостол и евангелие с иншими церкви свойственными и быти простым богоугодником, и жизнь вечную получити, нежели постигнути аристотеля и Платона и философом мудрым ся в жизни сей звати и – в геену отьити»</w:t>
      </w:r>
      <w:r>
        <w:rPr>
          <w:rFonts w:ascii="Arial" w:hAnsi="Arial"/>
          <w:sz w:val="22"/>
        </w:rPr>
        <w:t xml:space="preserve"> [цит по: 4, стр.382].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Однако жизнь рассудила иначе – для защиты православия требовалось не «голубиная простота», а наоборот, повышение образованности православного населения. Ведь невозможно отстаивать свои убеждения, если не можешь сказать как апостол Павел «я знаю, в Кого уверовал…» (2Тим,1:12) – вера должна знать свой объект.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Поэтому основой деятельности братств было создание православных школ.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Кроме старейших братств, Львовского и Виленского, возникли братства в Перемышле, Слуцке, Минске, Могилеве, Луцке и других городах. По свидетельству А.В. Карташева, жена мозырского маршалка Елизавета Гулевич подарила Богоявленскому братству много недвижимого имущества в виде участка земли вместе со зданиями/сооружениями для учреждения братского монастыря со школой [см. 4, стр. 383]. А гетман Конашевич Сагайдачный построил для монастыря Богоявленский храм, получивший впоследствии от иерусалимского патриарха Феофана права ставропигии. Первым ректором школы Богоявленского братства стал бывший ректор Львовской школы, Иов Борецкий [см там же].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В первые десятилетия после унии в этих школах преобладало греческое влияние и отказ от латинского школьного наследия и изобилия латинских же учебных пособий. Также особенностью школ в те времена было то, в них не было ни обширных курсов, ни строгого систематического преподавания, ни даже деления на классы, тем не менее образовательной уровень их был довольно высок и полезен для своего времени [см. 3,стр 203].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П. Знаменский приводит целый список богословов и деятелей просвещения, проповедников и переводчиков, воспитанных братскими школами [3, стр.203]. это и Леонтий Карпович, известный проповедник, с 1615г – архимандрит Духова монастыря, и Мелетий Смотрицкий, автор «Фриноса» (т.е. «плача») – труда о бедственном положении православия после Брестской унии. Из львовских школ вышли корецкий протоиерей Лаврентий Зизаний Тустановский, автор Большого катехизиса, автор «учительного Евангелия» и «Зерцала Богословия» иеромонах Кирилл Транквиллион Ставровецкий, и Захария Копыстенский, написавший «Палинодию» (увещевание к совратившимся в унию) и многие другие.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Просветительская деятельность братских школ имела огромное значение не только для Западной Руси: </w:t>
      </w:r>
      <w:r>
        <w:rPr>
          <w:rFonts w:ascii="Arial" w:hAnsi="Arial"/>
          <w:i/>
          <w:sz w:val="22"/>
        </w:rPr>
        <w:t>«…При всей ограниченности средств и учености, это поколение, можно сказать, самоучек богословия все-таки в те годы переросло бесшкольную и за смутное время почти книжно-бесплодную Московскую Русь. Но после Смуты там голод школьный и книжный был так велик, что почти все плоды этого периода киевского богословского и книжного творчества неудержимо перелились в Москву…»</w:t>
      </w:r>
      <w:r>
        <w:rPr>
          <w:rFonts w:ascii="Arial" w:hAnsi="Arial"/>
          <w:sz w:val="22"/>
        </w:rPr>
        <w:t xml:space="preserve"> [4, стр.384].</w:t>
      </w:r>
    </w:p>
    <w:p w:rsidR="00A42C8D" w:rsidRDefault="00A42C8D">
      <w:pPr>
        <w:pStyle w:val="1"/>
      </w:pPr>
      <w:r>
        <w:t>3) Роль казачества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В отличие от деятельности братств, роль казачества в сохранении православия была иная – казацкие земли стали этаким православным заповедником, прибежищем для православных, убегавших от фактического бесправия по отношению к ним, царившего на территории Речи Посполитой. Это было возможно потому, что казачество пользовалось определенной, весьма значительной автономией: </w:t>
      </w:r>
      <w:r>
        <w:rPr>
          <w:rFonts w:ascii="Arial" w:hAnsi="Arial"/>
          <w:i/>
          <w:sz w:val="22"/>
        </w:rPr>
        <w:t>«Формально, как и все население Украины-Руси, казаки были подданными Великого Князя Литовского, но фактически никаких обязанностей в начале своего существования по отношению к государству, чьими они были подданными, казачество не несло, ограничиваясь защитой своих поселений от набегов и грабежей татар. Но, фактически, косвенно, оно было для Литвы весьма полезно, ибо, охраняя себя, охраняло также и границы государства. Поэтому правительство Польско-Литовского государства созданию и усилению казачества не только не препятствовало, но даже и содействовало…»</w:t>
      </w:r>
      <w:r>
        <w:rPr>
          <w:rFonts w:ascii="Arial" w:hAnsi="Arial"/>
          <w:sz w:val="22"/>
        </w:rPr>
        <w:t xml:space="preserve"> [2,б/с]. 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Поэтому сохранение православия было для казаков вопросом сохранения своей самобытности и независимости. Собственно говоря, именно казачья вольница и была тем самым пассивным защитником православия от униатства на приднепровских землях: </w:t>
      </w:r>
      <w:r>
        <w:rPr>
          <w:rFonts w:ascii="Arial" w:hAnsi="Arial"/>
          <w:i/>
          <w:sz w:val="22"/>
        </w:rPr>
        <w:t>«… казаки … нужны были тогда польше для войны с царем Михаилом Феодоровичем и с Турцией, и правительству было бы крайне бестактно раздражать их притеснением Малороссии за веру, тем более что за реестровым казачеством в степях Украины, после возникновения унии, с опасной быстротой возрастала грозная сила вольного степного казачества... Но сила этих защитников веры и народности не простиралась далее границ Малороссии, притом же по своей грубости была далеко не пригодной для настоящей религиозной борьбы с унией»</w:t>
      </w:r>
      <w:r>
        <w:rPr>
          <w:rFonts w:ascii="Arial" w:hAnsi="Arial"/>
          <w:sz w:val="22"/>
        </w:rPr>
        <w:t xml:space="preserve"> [3, стр.201].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</w:rPr>
        <w:t xml:space="preserve">Кроме этого, моральный облик казачества мало подходил под стандарт борцов за истинную веру: по свидетельству историка и писателя, эмигранта «второй волны», Н.И Ульянова </w:t>
      </w:r>
      <w:r>
        <w:rPr>
          <w:rFonts w:ascii="Arial" w:hAnsi="Arial"/>
          <w:i/>
          <w:sz w:val="22"/>
        </w:rPr>
        <w:t>«казаки "разбивали по Черному морю христианское купецтво заодно с бусурманским, а дома разоряли руськие свои города татарским робом". Если татары своих единоверцев и единоплеменников не брали и не продавали в рабство, то для запорожских "лыцарей" подобных тонкостей не существовало…»</w:t>
      </w:r>
      <w:r>
        <w:rPr>
          <w:rFonts w:ascii="Arial" w:hAnsi="Arial"/>
          <w:sz w:val="22"/>
        </w:rPr>
        <w:t>[5,б/с]. Он же пишет: «</w:t>
      </w:r>
      <w:r>
        <w:rPr>
          <w:rFonts w:ascii="Arial" w:hAnsi="Arial"/>
          <w:i/>
          <w:sz w:val="22"/>
        </w:rPr>
        <w:t>Всякая попытка приписать им миссию защитников православия против ислама и католичества разбивается об исторические факты. Оба Хмельницких, отец и сын, а после них Петр Дорошенко, признавали себя подданными султана турецкого - главы ислама. С крымскими же татарами, этими "врагами креста Христова", казаки не столько воевали, сколько сотрудничали и вкупе ходили на польские и на московские украйны</w:t>
      </w:r>
      <w:r>
        <w:rPr>
          <w:rFonts w:ascii="Arial" w:hAnsi="Arial"/>
          <w:sz w:val="22"/>
        </w:rPr>
        <w:t xml:space="preserve">» </w:t>
      </w:r>
      <w:r>
        <w:rPr>
          <w:rFonts w:ascii="Arial" w:hAnsi="Arial"/>
          <w:sz w:val="22"/>
          <w:lang w:val="en-US"/>
        </w:rPr>
        <w:t>[5,б/с].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</w:rPr>
        <w:t xml:space="preserve">Тем не менее, факты таковы, что роль казачества в сохранении православной веры нельзя недооценивать: </w:t>
      </w:r>
      <w:r>
        <w:rPr>
          <w:rFonts w:ascii="Arial" w:hAnsi="Arial"/>
          <w:i/>
          <w:sz w:val="22"/>
        </w:rPr>
        <w:t>«Казачеству в состязании за его вольности с польским правительством удалось в первые десятилетия 17 в. на время приобрести даже полную независимость киевской Руси от власти польской короны. В этот-то момент «самостийности» и была восстановлена в 1619 г., под защитой казаков,  православная иерархия проезжавшим иерусалимским патриархом Феофаном… Мечта Польши о тотальном поглощении всей русскости и православия через унию так и не удалась»</w:t>
      </w: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  <w:lang w:val="en-US"/>
        </w:rPr>
        <w:t>[4</w:t>
      </w:r>
      <w:r>
        <w:rPr>
          <w:rFonts w:ascii="Arial" w:hAnsi="Arial"/>
          <w:sz w:val="22"/>
        </w:rPr>
        <w:t>,стр.409</w:t>
      </w:r>
      <w:r>
        <w:rPr>
          <w:rFonts w:ascii="Arial" w:hAnsi="Arial"/>
          <w:sz w:val="22"/>
          <w:lang w:val="en-US"/>
        </w:rPr>
        <w:t>].</w:t>
      </w:r>
    </w:p>
    <w:p w:rsidR="00A42C8D" w:rsidRDefault="00A42C8D">
      <w:pPr>
        <w:pStyle w:val="1"/>
      </w:pPr>
      <w:r>
        <w:t>4) Заключение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Таким образом, основное противодействие унии и борьба за православие в землях Западной Руси осуществлялось двумя путями – внешним (казачеством, имевшим территориальную автономию) и внутренним (православными братствами, существовавшими по преимуществу в тех регионах, где православие оказалось под гнетом – политическим и религиозным). При этом очевидно, что несмотря на заслуги казаков, фактически отстоявших независимость своих земель от Польской короны и влияния униатства, можно сделать вывод, что для сохранения православия как живой веры, а не просто как национальной традиции, явно недостаточно обособления (территориального или культурного) от «супостатов», нужен еще и импульс осознания веры как неотъемлемой части духовной жизни не только народа в целом, но и каждого отдельно взятого православного христианина. А это осознание, как и зачастую в таких случаях, приходит тогда, когда внешние границы уже не способны защитить внутренний мир человека от постороннего вторжения.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В таком положении и оказались православные братства, жившие на оккупированных католиками землях, и они не только смогли отстоять свою веру перед завоевателями, но и породили целую плеяду богословов, историков, просветителей, наследие которых позже помогло пробудить от вековой дрёмы внешне благополучную, но замкнувшуюся в себе и теряющую свои духовные силы Восточную Русь.</w:t>
      </w: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  <w:t>Список литературы:</w:t>
      </w:r>
    </w:p>
    <w:p w:rsidR="00A42C8D" w:rsidRDefault="00A42C8D">
      <w:pPr>
        <w:pStyle w:val="a4"/>
        <w:numPr>
          <w:ilvl w:val="0"/>
          <w:numId w:val="3"/>
        </w:numPr>
        <w:tabs>
          <w:tab w:val="clear" w:pos="360"/>
          <w:tab w:val="num" w:pos="644"/>
        </w:tabs>
        <w:spacing w:line="360" w:lineRule="auto"/>
        <w:ind w:left="644"/>
        <w:jc w:val="left"/>
        <w:rPr>
          <w:rFonts w:ascii="Arial" w:hAnsi="Arial"/>
          <w:sz w:val="22"/>
        </w:rPr>
      </w:pPr>
      <w:bookmarkStart w:id="0" w:name="_Ref34711346"/>
      <w:r>
        <w:rPr>
          <w:rFonts w:ascii="Arial" w:hAnsi="Arial"/>
          <w:sz w:val="22"/>
        </w:rPr>
        <w:t>Уния в документах. Источник взят на интернет-сайте «ПРАВОСЛАВИЕ.РУ» (</w:t>
      </w:r>
      <w:r w:rsidRPr="00A073EF">
        <w:t>http://www.pravo</w:t>
      </w:r>
      <w:bookmarkStart w:id="1" w:name="_Hlt34724248"/>
      <w:r w:rsidRPr="00A073EF">
        <w:t>s</w:t>
      </w:r>
      <w:bookmarkEnd w:id="1"/>
      <w:r w:rsidRPr="00A073EF">
        <w:t>lavie.ru</w:t>
      </w:r>
      <w:r>
        <w:rPr>
          <w:rFonts w:ascii="Arial" w:hAnsi="Arial"/>
          <w:sz w:val="22"/>
        </w:rPr>
        <w:t>)</w:t>
      </w:r>
      <w:bookmarkEnd w:id="0"/>
      <w:r>
        <w:rPr>
          <w:rFonts w:ascii="Arial" w:hAnsi="Arial"/>
          <w:sz w:val="22"/>
        </w:rPr>
        <w:t xml:space="preserve"> </w:t>
      </w:r>
    </w:p>
    <w:p w:rsidR="00A42C8D" w:rsidRDefault="00A42C8D">
      <w:pPr>
        <w:pStyle w:val="a4"/>
        <w:numPr>
          <w:ilvl w:val="0"/>
          <w:numId w:val="3"/>
        </w:numPr>
        <w:tabs>
          <w:tab w:val="clear" w:pos="360"/>
          <w:tab w:val="num" w:pos="644"/>
        </w:tabs>
        <w:spacing w:line="360" w:lineRule="auto"/>
        <w:ind w:left="644"/>
        <w:jc w:val="left"/>
        <w:rPr>
          <w:rFonts w:ascii="Arial" w:hAnsi="Arial"/>
          <w:sz w:val="22"/>
        </w:rPr>
      </w:pPr>
      <w:bookmarkStart w:id="2" w:name="_Ref34725392"/>
      <w:r>
        <w:rPr>
          <w:rFonts w:ascii="Arial" w:hAnsi="Arial"/>
          <w:sz w:val="22"/>
        </w:rPr>
        <w:t>Дикий А. “Неизвращенная история Украины-Руси”. (Источник взят на</w:t>
      </w:r>
      <w:r>
        <w:rPr>
          <w:rFonts w:ascii="Arial" w:hAnsi="Arial"/>
          <w:sz w:val="22"/>
        </w:rPr>
        <w:br/>
        <w:t xml:space="preserve"> </w:t>
      </w:r>
      <w:r w:rsidRPr="00A073EF">
        <w:t>www.kiev-security.org.ua</w:t>
      </w:r>
      <w:r>
        <w:t>)</w:t>
      </w:r>
      <w:bookmarkEnd w:id="2"/>
    </w:p>
    <w:p w:rsidR="00A42C8D" w:rsidRDefault="00A42C8D">
      <w:pPr>
        <w:pStyle w:val="a4"/>
        <w:numPr>
          <w:ilvl w:val="0"/>
          <w:numId w:val="3"/>
        </w:numPr>
        <w:tabs>
          <w:tab w:val="clear" w:pos="360"/>
          <w:tab w:val="num" w:pos="644"/>
        </w:tabs>
        <w:spacing w:line="360" w:lineRule="auto"/>
        <w:ind w:left="644"/>
        <w:jc w:val="left"/>
        <w:rPr>
          <w:rFonts w:ascii="Arial" w:hAnsi="Arial"/>
          <w:sz w:val="22"/>
        </w:rPr>
      </w:pPr>
      <w:bookmarkStart w:id="3" w:name="_Ref34726955"/>
      <w:r>
        <w:rPr>
          <w:rFonts w:ascii="Arial" w:hAnsi="Arial"/>
          <w:sz w:val="22"/>
        </w:rPr>
        <w:t>Знаменский П. В. «История Русской Церкви».  9-е изд. Москва, 2000г.</w:t>
      </w:r>
      <w:bookmarkEnd w:id="3"/>
    </w:p>
    <w:p w:rsidR="00A42C8D" w:rsidRDefault="00A42C8D">
      <w:pPr>
        <w:pStyle w:val="a4"/>
        <w:numPr>
          <w:ilvl w:val="0"/>
          <w:numId w:val="3"/>
        </w:numPr>
        <w:tabs>
          <w:tab w:val="clear" w:pos="360"/>
          <w:tab w:val="num" w:pos="644"/>
        </w:tabs>
        <w:spacing w:line="360" w:lineRule="auto"/>
        <w:ind w:left="644"/>
        <w:jc w:val="left"/>
        <w:rPr>
          <w:rFonts w:ascii="Arial" w:hAnsi="Arial"/>
          <w:sz w:val="22"/>
        </w:rPr>
      </w:pPr>
      <w:bookmarkStart w:id="4" w:name="_Ref34731756"/>
      <w:r>
        <w:rPr>
          <w:rFonts w:ascii="Arial" w:hAnsi="Arial"/>
          <w:sz w:val="22"/>
        </w:rPr>
        <w:t>А.В. Карташев. Очерки по истории Русской Церкви. Т.2, Москва, 2000г</w:t>
      </w:r>
      <w:bookmarkEnd w:id="4"/>
    </w:p>
    <w:p w:rsidR="00A42C8D" w:rsidRDefault="00A42C8D">
      <w:pPr>
        <w:pStyle w:val="a4"/>
        <w:numPr>
          <w:ilvl w:val="0"/>
          <w:numId w:val="3"/>
        </w:numPr>
        <w:tabs>
          <w:tab w:val="clear" w:pos="360"/>
          <w:tab w:val="num" w:pos="644"/>
        </w:tabs>
        <w:spacing w:line="360" w:lineRule="auto"/>
        <w:ind w:left="644"/>
        <w:rPr>
          <w:rFonts w:ascii="Arial" w:hAnsi="Arial"/>
          <w:sz w:val="22"/>
        </w:rPr>
      </w:pPr>
      <w:bookmarkStart w:id="5" w:name="_Ref34737231"/>
      <w:r>
        <w:rPr>
          <w:rFonts w:ascii="Arial" w:hAnsi="Arial"/>
          <w:sz w:val="22"/>
        </w:rPr>
        <w:t xml:space="preserve">Ульянов Н.И. «Откуда пошло самостийничество» (Источник взят на сайте Вэб-Центра «Омега» </w:t>
      </w:r>
      <w:r w:rsidRPr="00A073EF">
        <w:t>www.wco.ru</w:t>
      </w:r>
      <w:r>
        <w:rPr>
          <w:rFonts w:ascii="Arial" w:hAnsi="Arial"/>
          <w:sz w:val="22"/>
        </w:rPr>
        <w:t xml:space="preserve"> )</w:t>
      </w:r>
      <w:bookmarkEnd w:id="5"/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</w:p>
    <w:p w:rsidR="00A42C8D" w:rsidRDefault="00A42C8D">
      <w:pPr>
        <w:pStyle w:val="a4"/>
        <w:spacing w:line="360" w:lineRule="auto"/>
        <w:rPr>
          <w:rFonts w:ascii="Arial" w:hAnsi="Arial"/>
          <w:sz w:val="22"/>
        </w:rPr>
      </w:pPr>
      <w:bookmarkStart w:id="6" w:name="_GoBack"/>
      <w:bookmarkEnd w:id="6"/>
    </w:p>
    <w:sectPr w:rsidR="00A42C8D">
      <w:pgSz w:w="11906" w:h="16838"/>
      <w:pgMar w:top="1440" w:right="849" w:bottom="993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C8D" w:rsidRDefault="00A42C8D">
      <w:r>
        <w:separator/>
      </w:r>
    </w:p>
  </w:endnote>
  <w:endnote w:type="continuationSeparator" w:id="0">
    <w:p w:rsidR="00A42C8D" w:rsidRDefault="00A4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C8D" w:rsidRDefault="00A42C8D">
      <w:r>
        <w:separator/>
      </w:r>
    </w:p>
  </w:footnote>
  <w:footnote w:type="continuationSeparator" w:id="0">
    <w:p w:rsidR="00A42C8D" w:rsidRDefault="00A42C8D">
      <w:r>
        <w:continuationSeparator/>
      </w:r>
    </w:p>
  </w:footnote>
  <w:footnote w:id="1">
    <w:p w:rsidR="00A42C8D" w:rsidRDefault="00A42C8D">
      <w:pPr>
        <w:pStyle w:val="a7"/>
        <w:jc w:val="both"/>
        <w:rPr>
          <w:rFonts w:ascii="Arial" w:hAnsi="Arial"/>
          <w:lang w:val="en-US"/>
        </w:rPr>
      </w:pPr>
      <w:r>
        <w:rPr>
          <w:rStyle w:val="a8"/>
          <w:rFonts w:ascii="Arial" w:hAnsi="Arial"/>
        </w:rPr>
        <w:t>*</w:t>
      </w:r>
      <w:r>
        <w:rPr>
          <w:rFonts w:ascii="Arial" w:hAnsi="Arial"/>
        </w:rPr>
        <w:t xml:space="preserve"> Речь идет об отдельном заседании православной фракции Брестского собора. Заседание состоялось в частном доме. Там присутствовали, в числе прочих, экзархи константинопольского (Никифор) и александрийского (Кирилл Лукарис) патриархов. </w:t>
      </w:r>
      <w:r>
        <w:rPr>
          <w:rFonts w:ascii="Arial" w:hAnsi="Arial"/>
          <w:lang w:val="en-US"/>
        </w:rPr>
        <w:t>[</w:t>
      </w:r>
      <w:r>
        <w:rPr>
          <w:rFonts w:ascii="Arial" w:hAnsi="Arial"/>
        </w:rPr>
        <w:t>см. 3, стр. 196</w:t>
      </w:r>
      <w:r>
        <w:rPr>
          <w:rFonts w:ascii="Arial" w:hAnsi="Arial"/>
          <w:lang w:val="en-US"/>
        </w:rPr>
        <w:t>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60235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AB672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101B7C"/>
    <w:multiLevelType w:val="singleLevel"/>
    <w:tmpl w:val="161A31C4"/>
    <w:lvl w:ilvl="0">
      <w:start w:val="1"/>
      <w:numFmt w:val="bullet"/>
      <w:pStyle w:val="a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3EF"/>
    <w:rsid w:val="00A073EF"/>
    <w:rsid w:val="00A42C8D"/>
    <w:rsid w:val="00AB12C4"/>
    <w:rsid w:val="00B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04BE2-33FE-418C-B1EE-A56184A3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qFormat/>
    <w:pPr>
      <w:keepNext/>
      <w:spacing w:before="240" w:after="60"/>
      <w:outlineLvl w:val="3"/>
    </w:pPr>
    <w:rPr>
      <w:rFonts w:ascii="Arial" w:hAnsi="Arial"/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pPr>
      <w:widowControl w:val="0"/>
      <w:ind w:firstLine="284"/>
      <w:jc w:val="both"/>
    </w:pPr>
  </w:style>
  <w:style w:type="paragraph" w:styleId="a">
    <w:name w:val="List Bullet"/>
    <w:basedOn w:val="a0"/>
    <w:autoRedefine/>
    <w:semiHidden/>
    <w:pPr>
      <w:numPr>
        <w:numId w:val="2"/>
      </w:numPr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footnote text"/>
    <w:basedOn w:val="a0"/>
    <w:semiHidden/>
  </w:style>
  <w:style w:type="character" w:styleId="a8">
    <w:name w:val="footnote reference"/>
    <w:semiHidden/>
    <w:rPr>
      <w:vertAlign w:val="superscript"/>
    </w:rPr>
  </w:style>
  <w:style w:type="paragraph" w:styleId="10">
    <w:name w:val="toc 1"/>
    <w:basedOn w:val="a0"/>
    <w:next w:val="a0"/>
    <w:autoRedefine/>
    <w:semiHidden/>
  </w:style>
  <w:style w:type="paragraph" w:styleId="20">
    <w:name w:val="toc 2"/>
    <w:basedOn w:val="a0"/>
    <w:next w:val="a0"/>
    <w:autoRedefine/>
    <w:semiHidden/>
    <w:pPr>
      <w:ind w:left="200"/>
    </w:pPr>
  </w:style>
  <w:style w:type="paragraph" w:styleId="30">
    <w:name w:val="toc 3"/>
    <w:basedOn w:val="a0"/>
    <w:next w:val="a0"/>
    <w:autoRedefine/>
    <w:semiHidden/>
    <w:pPr>
      <w:ind w:left="400"/>
    </w:pPr>
  </w:style>
  <w:style w:type="paragraph" w:styleId="40">
    <w:name w:val="toc 4"/>
    <w:basedOn w:val="a0"/>
    <w:next w:val="a0"/>
    <w:autoRedefine/>
    <w:semiHidden/>
    <w:pPr>
      <w:ind w:left="600"/>
    </w:pPr>
  </w:style>
  <w:style w:type="paragraph" w:styleId="5">
    <w:name w:val="toc 5"/>
    <w:basedOn w:val="a0"/>
    <w:next w:val="a0"/>
    <w:autoRedefine/>
    <w:semiHidden/>
    <w:pPr>
      <w:ind w:left="800"/>
    </w:pPr>
  </w:style>
  <w:style w:type="paragraph" w:styleId="6">
    <w:name w:val="toc 6"/>
    <w:basedOn w:val="a0"/>
    <w:next w:val="a0"/>
    <w:autoRedefine/>
    <w:semiHidden/>
    <w:pPr>
      <w:ind w:left="1000"/>
    </w:pPr>
  </w:style>
  <w:style w:type="paragraph" w:styleId="7">
    <w:name w:val="toc 7"/>
    <w:basedOn w:val="a0"/>
    <w:next w:val="a0"/>
    <w:autoRedefine/>
    <w:semiHidden/>
    <w:pPr>
      <w:ind w:left="1200"/>
    </w:pPr>
  </w:style>
  <w:style w:type="paragraph" w:styleId="8">
    <w:name w:val="toc 8"/>
    <w:basedOn w:val="a0"/>
    <w:next w:val="a0"/>
    <w:autoRedefine/>
    <w:semiHidden/>
    <w:pPr>
      <w:ind w:left="1400"/>
    </w:pPr>
  </w:style>
  <w:style w:type="paragraph" w:styleId="9">
    <w:name w:val="toc 9"/>
    <w:basedOn w:val="a0"/>
    <w:next w:val="a0"/>
    <w:autoRedefine/>
    <w:semiHidden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Брестская уния – </vt:lpstr>
    </vt:vector>
  </TitlesOfParts>
  <Company> </Company>
  <LinksUpToDate>false</LinksUpToDate>
  <CharactersWithSpaces>14790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Брестская уния – </dc:title>
  <dc:subject/>
  <dc:creator>ШРГ</dc:creator>
  <cp:keywords/>
  <cp:lastModifiedBy>admin</cp:lastModifiedBy>
  <cp:revision>2</cp:revision>
  <cp:lastPrinted>2003-03-06T16:54:00Z</cp:lastPrinted>
  <dcterms:created xsi:type="dcterms:W3CDTF">2014-02-06T13:06:00Z</dcterms:created>
  <dcterms:modified xsi:type="dcterms:W3CDTF">2014-02-06T13:06:00Z</dcterms:modified>
</cp:coreProperties>
</file>