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D53" w:rsidRDefault="007E0D53">
      <w:pPr>
        <w:pStyle w:val="Z16"/>
        <w:jc w:val="center"/>
      </w:pPr>
      <w:r>
        <w:t>Дипломатическая деятельность С. Ю. Витте</w:t>
      </w:r>
    </w:p>
    <w:p w:rsidR="007E0D53" w:rsidRDefault="007E0D53">
      <w:pPr>
        <w:pStyle w:val="Mystyle"/>
        <w:rPr>
          <w:snapToGrid w:val="0"/>
        </w:rPr>
      </w:pPr>
      <w:r>
        <w:rPr>
          <w:snapToGrid w:val="0"/>
        </w:rPr>
        <w:t xml:space="preserve">Все это наряду с нараставшими расхождениями по ряду важных аспектов внутренней и внешней политики, особенно по поводу дальневосточных дел, русско-японских отношений, а также в связи с установившейся в правых кругах репутацией "красного", "социалиста", "опасного масона" привело в августе 1903 года к отставке Витте с поста министра финансов.  Одной из основных причин стало то, что он не хотел воевать с Японией, но идея маленькой победоносной войны грела душу министра внутренних дел В.К.Плеве. Николай II оказался на стороне партии войны - и Витте был смещен. </w:t>
      </w:r>
    </w:p>
    <w:p w:rsidR="007E0D53" w:rsidRDefault="007E0D53">
      <w:pPr>
        <w:pStyle w:val="Mystyle"/>
        <w:rPr>
          <w:snapToGrid w:val="0"/>
        </w:rPr>
      </w:pPr>
      <w:r>
        <w:rPr>
          <w:snapToGrid w:val="0"/>
        </w:rPr>
        <w:t>Учитывая, однако, его высокую международную репутацию, необходимость иметь под рукой компетентного советника но сложнейшим проблемам, Николай II обставил свое решение внешне вполне благопристойно: Витте получил крупное единовременное вознаграждение (около 400 тысяч рублей) и был назначен председателем Комитета министров. Должность эта была почетная, но фактически маловлиятельная, так как Комитет занимался в основном мелкими текущими делами.</w:t>
      </w:r>
    </w:p>
    <w:p w:rsidR="007E0D53" w:rsidRDefault="007E0D53">
      <w:pPr>
        <w:pStyle w:val="Mystyle"/>
      </w:pPr>
      <w:r>
        <w:t>Потерпев поражение в политической борьбе, Витте не вернулся к частному предпринимательству. Он поставил себе целью отвоевать утраченные позиции. Оставаясь в тени, он добивался того, чтобы не потерять окончательно расположения царя, почаще привлекать к себе "высочайшее внимание", укреплял и налаживал связи в правительственных кругах. Начать активную борьбу за возвращение к власти позволила подготовка к войне с Японией. Однако надежды Витте на то, что с началом войны Николай II призовет его, не оправдались.</w:t>
      </w:r>
    </w:p>
    <w:p w:rsidR="007E0D53" w:rsidRDefault="007E0D53">
      <w:pPr>
        <w:pStyle w:val="Mystyle"/>
      </w:pPr>
      <w:r>
        <w:t>Летом 1904 г. эсером Е. С. Созоновым был убит давний противник Витте министр внутренних дел Плеве. Опальный сановник приложил все усилия, чтобы занять освободившееся место, но и здесь его ждала неудача. Несмотря на то, что Сергей Юльевич успешно выполнил возложенную на него миссию - заключил новое соглашение с Германией, - Николай II назначил министром внутренних дел князя Святополка-Мирского.</w:t>
      </w:r>
    </w:p>
    <w:p w:rsidR="007E0D53" w:rsidRDefault="007E0D53">
      <w:pPr>
        <w:pStyle w:val="Mystyle"/>
      </w:pPr>
      <w:r>
        <w:t>Пытаясь обратить на себя внимание, Витте принимает самое активное участие в совещаниях у царя по вопросу о привлечении выборных от населения к участию в законодательстве, пытается добиться расширения компетенции Комитета министров. Он использует даже события "Кровавого воскресенья", чтобы доказать царю, что без него тому не обойтись, что если бы Комитет министров под его председательством был наделен реальной властью, то такой поворот событий был бы невозможен.</w:t>
      </w:r>
    </w:p>
    <w:p w:rsidR="007E0D53" w:rsidRDefault="007E0D53">
      <w:pPr>
        <w:pStyle w:val="Mystyle"/>
      </w:pPr>
      <w:r>
        <w:t>Наконец 17 января 1905 г. Николай II, несмотря на всю свою неприязнь, все-таки обращается к Витте и поручает ему организовать совещание министров по "мерам, необходимым для успокоения страны" и возможным реформам. Сергей Юльевич явно рассчитывал на то, что это совещание ему удастся преобразовать в правительство "западноевропейского образца" и стать во главе его. Однако в апреле того же года последовала новая царская немилость: Николай II совещание закрыл. Витте вновь оказался не у дел.</w:t>
      </w:r>
    </w:p>
    <w:p w:rsidR="007E0D53" w:rsidRDefault="007E0D53">
      <w:pPr>
        <w:pStyle w:val="Mystyle"/>
      </w:pPr>
      <w:r>
        <w:t>Правда, на сей раз опала длилась недолго. В конце мая 1905 г. на очередном военном совещании окончательно прояснилась необходимость скорейшего прекращения войны с Японией. Вести нелегкие переговоры о мире было поручено Витте, который неоднократно и весьма успешно выступал в качестве дипломата (вел переговоры с Китаем о постройке КВЖД, с Японией - о совместном протекторате над Кореей, с Кореей - о русском военном инструктаже и русском управлении финансами, с Германией - о заключении торгового договора и др.), проявляя при этом недюжинные способности.</w:t>
      </w:r>
    </w:p>
    <w:p w:rsidR="007E0D53" w:rsidRDefault="007E0D53">
      <w:pPr>
        <w:pStyle w:val="Mystyle"/>
      </w:pPr>
      <w:r>
        <w:t xml:space="preserve">На назначение Витте чрезвычайным послом Николай II пошел с большой неохотой. Витте давно подталкивал царя начать мирные переговоры с Японией, чтобы "хотя немного успокоить Россию". </w:t>
      </w:r>
    </w:p>
    <w:p w:rsidR="007E0D53" w:rsidRDefault="007E0D53">
      <w:pPr>
        <w:pStyle w:val="Mystyle"/>
      </w:pPr>
      <w:r>
        <w:t>23 августа 1905 г. был подписан Портсмутский мир. Это была блестящая победа Витте, подтверждавшая его выдающиеся дипломатические способности. Из безнадежно проигранной войны талантливому дипломату удалось выйти с минимальными потерями, добившись при этом для России "почти благопристойного мира". Несмотря на свое нерасположение, царь по достоинству оценил заслуги Витте: за Портсмутский мир ему был присвоен графский титул (кстати, Витте тут же издевательски прозовут "графом Полусахалинским", обвинив тем самым в уступке Японии южной части Сахалина).</w:t>
      </w:r>
    </w:p>
    <w:p w:rsidR="007E0D53" w:rsidRDefault="007E0D53">
      <w:pPr>
        <w:pStyle w:val="Mystyle"/>
      </w:pPr>
      <w:r>
        <w:t>Вернувшись в Петербург, Витте с головой погрузился в политику: принимает участие в "Особом совещании", где разрабатывались проекты дальнейших государственных преобразований. По мере нарастания революционных событий Витте все настойчивее показывает необходимость "сильного правительства", убеждает царя, что именно он сможет сыграть роль "спасителя России", В начале октября он обращается к царю с запиской, в которой излагает целую программу либеральных реформ. В критические для самодержавия дни Витте внушает Николаю II, что у того не осталось иного выбора, кроме как-либо учредить в России диктатуру, либо - премьерство Витте и сделать ряд либеральных шагов в конституционном направлении.</w:t>
      </w:r>
    </w:p>
    <w:p w:rsidR="007E0D53" w:rsidRDefault="007E0D53">
      <w:pPr>
        <w:pStyle w:val="Mystyle"/>
      </w:pPr>
      <w:r>
        <w:t>Наконец, после мучительных колебаний, царь подписывает составленный Витте документ, который вошел в историю как Манифест 17 октября. 19 октября царь подписал указ о реформировании Совета министров, во главе которого был поставлен Витте. В своей карьере Сергей Юльевич достиг вершины. В критические дни революции он стал главой правительства России.</w:t>
      </w:r>
    </w:p>
    <w:p w:rsidR="007E0D53" w:rsidRDefault="007E0D53">
      <w:pPr>
        <w:pStyle w:val="Mystyle"/>
      </w:pPr>
      <w:r>
        <w:t>На этом посту Витте продемонстрировал удивительную гибкость и способность к лавированию, выступая в чрезвычайных условиях революции то твердым, безжалостным охранителем, то искусным миротворцем. Под председательством Витте правительство занималось самыми разнообразными вопросами: переустраивало крестьянское землевладение, вводило исключительное положение в различных регионах, прибегало к применению военно-полевых судов, смертной казни и других репрессий, вело подготовку к созыву Думы, составляло Проект Основных законов, реализовывало провозглашенные 17 октября свободы.</w:t>
      </w:r>
    </w:p>
    <w:p w:rsidR="007E0D53" w:rsidRDefault="007E0D53">
      <w:pPr>
        <w:pStyle w:val="Mystyle"/>
      </w:pPr>
      <w:r>
        <w:t>Однако возглавляемый С. Ю. Витте Совет министров так и не стал подобным европейскому кабинетом, а сам Сергей Юльевич пробыл на посту председателя всего полгода. Все более усиливавшийся конфликт с царем вынудил его подать в отставку. Это произошло в конце апреля 1906 г. С. Ю. Витте пребывал в полной уверенности, что выполнил главную свою задачу - обеспечил политическую устойчивость режима. Отставка по сути стала концом его карьеры, хотя Витте и не отошел от политической деятельности. Он все еще являлся членом Государственного совета, часто выступал в печати.</w:t>
      </w:r>
    </w:p>
    <w:p w:rsidR="007E0D53" w:rsidRDefault="007E0D53">
      <w:pPr>
        <w:pStyle w:val="Mystyle"/>
      </w:pPr>
      <w:r>
        <w:t>С обострением в последние предвоенные годы внутриполитической ситуации отставной сановник вновь пытается напомнить о себе. Он активно работает над мемуарами, переиздает свои основные ранние работы, активизирует свои нападки на В.Н. Коковцова, бывшего в то время председателем Совета министров и министром финансов и с которым он до того был в неплохих личных отношениях. Используя первые признаки надвигавшегося экономического спада, он резко критикует его, обвиняя в извращении разработанного им финансово-экономического курса, в злоупотреблении винной монополией и т. п. Премьер вынужден был подать в отставку. Но преемником ею на этом посту стал И. Л. Горемыкин, министерство финансов возглавил П. Л. Барг. Витте был настолько разочарован и растерян, что попытался даже обратиться за покровительством к Г. Распутину, пользовавшемуся влиянием на царя и царицу. Тот пытался говорить о нем в "высших сферах", но, видимо, почувствовав твердую антипатию императорской четы, не рискнул настаивать .</w:t>
      </w:r>
    </w:p>
    <w:p w:rsidR="007E0D53" w:rsidRDefault="007E0D53">
      <w:pPr>
        <w:pStyle w:val="Mystyle"/>
      </w:pPr>
      <w:r>
        <w:t xml:space="preserve">В феврале 1915 года Витте простудился и заболел. Началось воспаление уха, которое перешло на мозг. В ночь на 25 февраля он скончался, немного не дожив до 65 лет. На его надгробии в Александро-Невской лавре высечено золотом: "17 октября". Хоронили его скромно, "по третьему разряду". Никаких официальных церемоний не было. Более того, рабочий кабинет покойного был опечатан, бумаги конфискованы, на вилле в Биаррице произведен тщательный обыск.Вскоре после его похорон Николай II записал: "Смерть графа Витте была для меня глубоким облегчением". </w:t>
      </w:r>
    </w:p>
    <w:p w:rsidR="007E0D53" w:rsidRDefault="007E0D53">
      <w:pPr>
        <w:pStyle w:val="Mystyle"/>
      </w:pPr>
      <w:r>
        <w:t>В наследство супруге Сергей Витте оставил три дома - в Петербурге (на Каменном острове), в Брюсселе и Биаррице, а также десятки миллионов рублей в банках Берлина и Лондона. После 1917-го семья Витте эмигрировала.</w:t>
      </w:r>
    </w:p>
    <w:p w:rsidR="007E0D53" w:rsidRDefault="007E0D53">
      <w:pPr>
        <w:pStyle w:val="Mystyle"/>
      </w:pPr>
      <w:r>
        <w:t>После смерти его кабинет тотчас был опечатан, бумаги просмотрены и увезены чиновниками МВД. Однако рукописи мемуаров, которые так интересовали Николая II, не были обнаружены ни в России, ни на вилле в Биаррице, где Витте обычно над ними работал. Опубликованы они были позднее, когда династия Романовых и сам царский режим уже пали под напором революционных волн 1917 года.</w:t>
      </w:r>
    </w:p>
    <w:p w:rsidR="007E0D53" w:rsidRDefault="007E0D53">
      <w:pPr>
        <w:pStyle w:val="Mystyle"/>
      </w:pPr>
      <w:r>
        <w:t xml:space="preserve">В истории России конца ХIХ - начала ХХ в. фигура Сергея Юльевича Витте занимает исключительное место. Глава Министерства путей сообщения, многолетний министр финансов, председатель Комитета министров, первый глава Совета министров, член Государственного совета - таковы основные служебные посты, на которых проходила его деятельность. Этот известнейший сановник оказал заметное, а во многих случаях и определяющее, влияние на различные направления внешней, но особенно внутренней политики империи, став своеобразным символом возможностей и одновременно беспомощности мощной государственной системы. </w:t>
      </w:r>
    </w:p>
    <w:p w:rsidR="007E0D53" w:rsidRDefault="007E0D53">
      <w:pPr>
        <w:pStyle w:val="Mystyle"/>
      </w:pPr>
      <w:r>
        <w:t>"Витте за короткое время так много сделал, что Россия за какие-то два десятилетия шагнула вперед и стала вровень с ведущими государствами мира рубежа 19-20 веков, рассказывает доктор исторических наук Владимир Федоров. - С Россией стали считаться все государства, с Россией заключали договоры Франция, Англия, Япония. Россия не могла бы подняться до таких высот, если бы не было у нее таких умных руководителей, государственных деятелей, как Витте. Экономика была на взлете, культура - тоже, то была эпоха "серебряного века". Мы не только не покупали хлеб, но кормили хлебом Европу, и не только Европу. Но какие-то злые силы буквально на подъеме "подстрелили" нашу страну. Грянула I мировая война, а затем и революция".</w:t>
      </w:r>
    </w:p>
    <w:p w:rsidR="007E0D53" w:rsidRDefault="007E0D53">
      <w:pPr>
        <w:pStyle w:val="Mystyle"/>
      </w:pPr>
      <w:r>
        <w:t xml:space="preserve">Витте хорошо разбирался и в тонкостях интриг российского императорского двора, и в хитросплетениях мировой экономической политики, умело балансируя между привлечением западных инвестиций и протекционистской поддержкой отечественных производителей. Точной мерой такой балансировки и стала введенная им золотая валюта. Сам Витте не без гордости ставил себе в заслугу, что "благодаря этой реформе мы выдержали несчастную японскую войну, смуты, разыгравшиеся после войны, и все тревожное положение, в каком доныне находится Россия". </w:t>
      </w:r>
    </w:p>
    <w:p w:rsidR="007E0D53" w:rsidRDefault="007E0D53">
      <w:pPr>
        <w:pStyle w:val="Mystyle"/>
      </w:pPr>
      <w:r>
        <w:t>Провозглашенная Лениным новая экономическая политика (НЭП) пункт за пунктом повторяла программу индустриализации Витте. Советником наркомфина Григория Сокольникова и одним из создателей Государственного банка СССР стал Николай Кутлер - человек из команды Витте. Денежная реформа большевиков даже в деталях - вплоть до чеканки золотых, серебряных и медных монет - напоминала план Витте. Введя рубль, обеспеченный золотом, большевики за два года победили инфляцию. Как и Витте, Ленин добивался внешних займов. Большевики установили винную монополию. Витте выступал сторонником государственного капитализма - в советской России была создана целая система государственных органов, ведающих индустриализацией.</w:t>
      </w:r>
    </w:p>
    <w:p w:rsidR="007E0D53" w:rsidRDefault="007E0D53">
      <w:pPr>
        <w:pStyle w:val="Mystyle"/>
      </w:pPr>
      <w:r>
        <w:t xml:space="preserve">29 июня  1999 г. в России отмечалось сто пятьдесят лет со дня рождения Сергея Юльевича Витте. Юбилей прошел скромно, особенно на фоне пушкинских торжеств, но все-таки состоялось несколько симпозиумов и конференций, посвященных этому выдающемуся государственному деятелю. Во всех докладах, произнесенных по этому случаю, красной нитью проходила мысль о том, что Витте, в сущности, приходилось решать те же самые экономические, финансовые и политические проблемы, которые и доныне стоят перед Россией. </w:t>
      </w:r>
    </w:p>
    <w:p w:rsidR="007E0D53" w:rsidRDefault="007E0D53">
      <w:pPr>
        <w:pStyle w:val="Mystyle"/>
      </w:pPr>
    </w:p>
    <w:p w:rsidR="007E0D53" w:rsidRDefault="007E0D53">
      <w:pPr>
        <w:pStyle w:val="Z14"/>
        <w:jc w:val="center"/>
      </w:pPr>
      <w:r>
        <w:t>Список литературы</w:t>
      </w:r>
    </w:p>
    <w:p w:rsidR="007E0D53" w:rsidRDefault="007E0D53">
      <w:pPr>
        <w:pStyle w:val="Mystyle"/>
      </w:pPr>
      <w:r>
        <w:t>Витте С.Ю. Избранные воспоминания. М., "Мысль", 1991</w:t>
      </w:r>
    </w:p>
    <w:p w:rsidR="007E0D53" w:rsidRDefault="007E0D53">
      <w:pPr>
        <w:pStyle w:val="Mystyle"/>
      </w:pPr>
      <w:r>
        <w:t>Россия на рубеже веков: исторические портреты. //под ред. Карелина А.П. М., Издательство политической литературы, 1991</w:t>
      </w:r>
    </w:p>
    <w:p w:rsidR="007E0D53" w:rsidRDefault="007E0D53">
      <w:pPr>
        <w:pStyle w:val="Mystyle"/>
      </w:pPr>
      <w:r>
        <w:t>История России XIX-начало XX вв. //под ред. Федорова. М. "Зерцало". 1998</w:t>
      </w:r>
    </w:p>
    <w:p w:rsidR="007E0D53" w:rsidRDefault="007E0D53">
      <w:pPr>
        <w:pStyle w:val="Mystyle"/>
      </w:pPr>
      <w:r>
        <w:t>История России в портретах, т.1. Смоленск. "Русич". 1996</w:t>
      </w:r>
    </w:p>
    <w:p w:rsidR="007E0D53" w:rsidRDefault="007E0D53">
      <w:pPr>
        <w:pStyle w:val="Mystyle"/>
      </w:pPr>
      <w:r>
        <w:t>Ананьин Б.В., Ганелин Р.Ш. С.Ю. Витте. "Вопросы истории", 1990, №8, с. 32-53</w:t>
      </w:r>
    </w:p>
    <w:p w:rsidR="007E0D53" w:rsidRDefault="007E0D53">
      <w:pPr>
        <w:pStyle w:val="Mystyle"/>
      </w:pPr>
      <w:r>
        <w:t>Граф Витте. Бюрократ №1. "Профиль", 21 апреля 1997, № 15 (37)</w:t>
      </w:r>
    </w:p>
    <w:p w:rsidR="007E0D53" w:rsidRDefault="007E0D53">
      <w:pPr>
        <w:pStyle w:val="Mystyle"/>
        <w:rPr>
          <w:lang w:val="en-US"/>
        </w:rPr>
      </w:pPr>
    </w:p>
    <w:p w:rsidR="007E0D53" w:rsidRDefault="007E0D53">
      <w:pPr>
        <w:pStyle w:val="Mystyle"/>
      </w:pPr>
      <w:bookmarkStart w:id="0" w:name="_GoBack"/>
      <w:bookmarkEnd w:id="0"/>
    </w:p>
    <w:sectPr w:rsidR="007E0D53">
      <w:pgSz w:w="11906" w:h="16838"/>
      <w:pgMar w:top="1134" w:right="850"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D529E"/>
    <w:multiLevelType w:val="singleLevel"/>
    <w:tmpl w:val="0419000F"/>
    <w:lvl w:ilvl="0">
      <w:start w:val="1"/>
      <w:numFmt w:val="decimal"/>
      <w:lvlText w:val="%1."/>
      <w:lvlJc w:val="left"/>
      <w:pPr>
        <w:tabs>
          <w:tab w:val="num" w:pos="360"/>
        </w:tabs>
        <w:ind w:left="360" w:hanging="360"/>
      </w:pPr>
    </w:lvl>
  </w:abstractNum>
  <w:abstractNum w:abstractNumId="1">
    <w:nsid w:val="2589338C"/>
    <w:multiLevelType w:val="multilevel"/>
    <w:tmpl w:val="A43AD616"/>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4">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4"/>
  </w:num>
  <w:num w:numId="2">
    <w:abstractNumId w:val="2"/>
  </w:num>
  <w:num w:numId="3">
    <w:abstractNumId w:val="7"/>
  </w:num>
  <w:num w:numId="4">
    <w:abstractNumId w:val="3"/>
  </w:num>
  <w:num w:numId="5">
    <w:abstractNumId w:val="6"/>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A9A"/>
    <w:rsid w:val="00492A9A"/>
    <w:rsid w:val="007E0D53"/>
    <w:rsid w:val="00D02B31"/>
    <w:rsid w:val="00D02B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BE0EF8-9B1D-42D8-910B-15272E552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customStyle="1" w:styleId="ac">
    <w:name w:val="Рефератный"/>
    <w:basedOn w:val="a"/>
    <w:uiPriority w:val="99"/>
    <w:pPr>
      <w:spacing w:line="288" w:lineRule="auto"/>
      <w:ind w:firstLine="284"/>
      <w:jc w:val="both"/>
    </w:pPr>
    <w:rPr>
      <w:color w:val="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7663</Words>
  <Characters>4369</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2014-01-27T06:30:00Z</dcterms:created>
  <dcterms:modified xsi:type="dcterms:W3CDTF">2014-01-27T06:30:00Z</dcterms:modified>
</cp:coreProperties>
</file>