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2C" w:rsidRDefault="00F2682C">
      <w:pPr>
        <w:pStyle w:val="Z16"/>
        <w:jc w:val="center"/>
      </w:pPr>
      <w:r>
        <w:t>Предпосылки “Великого Посольства”</w:t>
      </w:r>
    </w:p>
    <w:p w:rsidR="00F2682C" w:rsidRDefault="00F2682C">
      <w:pPr>
        <w:pStyle w:val="Mystyle"/>
      </w:pPr>
    </w:p>
    <w:p w:rsidR="00F2682C" w:rsidRDefault="00F2682C">
      <w:pPr>
        <w:pStyle w:val="Mystyle"/>
      </w:pPr>
      <w:r>
        <w:t>Какой же досталась Россия Петру? Прежде всего можно отметить, что в экономике начало 18 в. сильнее всего развивались новые черты, которые зародились в 17 в. А именно:</w:t>
      </w:r>
    </w:p>
    <w:p w:rsidR="00F2682C" w:rsidRDefault="00F2682C">
      <w:pPr>
        <w:pStyle w:val="Mystyle"/>
      </w:pPr>
      <w:r>
        <w:t xml:space="preserve">- основной отраслью экономики России оставалось с\х,  где продолжала господствовать 3- х польная система земледелия. Главными земледельческими культурами были: рожь, овес. Основными орудиями производства оставались: соха, бороны, серп, коса, медленно вводился плуг. Происходит интенсивное освоение новых посевных территорий на юго России, в Поволжье, Сибири. Наблюдается развитие промыслового хозяйства. </w:t>
      </w:r>
    </w:p>
    <w:p w:rsidR="00F2682C" w:rsidRDefault="00F2682C">
      <w:pPr>
        <w:pStyle w:val="Mystyle"/>
      </w:pPr>
      <w:r>
        <w:t>- развивается ремесленное производство. Углубляется разделение труда. В развитии ремесленного производства в конце 17 в. явно прослеживается тенденция превращения его в мелкотоварное производство (увеличивается число ремесленников работающих на рынок). Развитие мелкотоварного ремесла  и рост товарной специализации готовил почву для возникновения мануфактур. Их создание ускорялось гос. потребностями. Мануфактурное производство складывалось в местах развития товарного производства. Если западно-европейская мануфактура действовала на основе вольнонаемного труда, то русская мануфактура основывалась на труде крепостных крестьян, т.к. рынок вольнонаемного труда в России, где господствовало крепостное право, практически отсутствовал.</w:t>
      </w:r>
    </w:p>
    <w:p w:rsidR="00F2682C" w:rsidRDefault="00F2682C">
      <w:pPr>
        <w:pStyle w:val="Mystyle"/>
      </w:pPr>
      <w:r>
        <w:t>В конце 17 в. в России интенсивно развивалась торговля. Но на пути развития торговли и купечества имелись существенные препятствия. Остро стоял выход к морям, отсутствие которого тормозило развитие торговли. Иностранный капитал стремился захватить российские рынки, что вело к столкновению  с интересами русских купцов. Купечество России требовало от гос. оградить их конкуренции с иностранными торговцами. В итоге был принят ново- торговый устав (1667), по которому иностранным купцам была запрещена розничная торговля на территории России.</w:t>
      </w:r>
    </w:p>
    <w:p w:rsidR="00F2682C" w:rsidRDefault="00F2682C">
      <w:pPr>
        <w:pStyle w:val="Mystyle"/>
      </w:pPr>
      <w:r>
        <w:t>Так же можно отметить, что во второй половине 17 в. в России развивается тенденция перехода от сословно представительной монархии к монархии абсолютной.  В стране усиливается власть царя (изменение состава Боярской думы, в сторону дворянства; победа Алексея Михайловича над Патриархом Никоном, стремившийся активно вмешиваться в управление гос.; практическое прекращение созывов Земских соборов; отмена местничества, принцип занятия гос. должности в зависимости от знатности рода и служебного положения предков). Остро стоял вопрос о реформировании вооруженных сил. Стрелецкие полки утратили свою боеспособность. Для большинства дворян военная служба стала тоже обременительной.</w:t>
      </w:r>
    </w:p>
    <w:p w:rsidR="00F2682C" w:rsidRDefault="00F2682C">
      <w:pPr>
        <w:pStyle w:val="Mystyle"/>
      </w:pPr>
      <w:r>
        <w:t>Что касается внешней политики, Россия потерпела поражение с Польшей, а так же были предприняты, в1687 и 1689 гг., два неудачных похода против Крымского ханства.</w:t>
      </w:r>
    </w:p>
    <w:p w:rsidR="00F2682C" w:rsidRDefault="00F2682C">
      <w:pPr>
        <w:pStyle w:val="Mystyle"/>
      </w:pPr>
      <w:r>
        <w:t>Напомним некоторые обстоятельства, предшествующие “Великому посольству”.</w:t>
      </w:r>
    </w:p>
    <w:p w:rsidR="00F2682C" w:rsidRDefault="00F2682C">
      <w:pPr>
        <w:pStyle w:val="Mystyle"/>
      </w:pPr>
      <w:r>
        <w:t>Неудачи крымских походов, первой осады Азова в 1695 году и необходимость отступления все больше подталкивали молодого царя к строительству военного флота.</w:t>
      </w:r>
    </w:p>
    <w:p w:rsidR="00F2682C" w:rsidRDefault="00F2682C">
      <w:pPr>
        <w:pStyle w:val="Mystyle"/>
      </w:pPr>
      <w:r>
        <w:t>Начало этому стратегически важному делу было положено на реке Воронеж, где за короткий срок (менее года) было построено 2 корабля, 23 галеры и 1300 стругов, на которых сорокатысячное российское войско в следующем 1696 году вновь осадило турецкую крепость Азов, и она 19 июля вынуждена была сдаться. Турки покинули крепость.</w:t>
      </w:r>
    </w:p>
    <w:p w:rsidR="00F2682C" w:rsidRDefault="00F2682C">
      <w:pPr>
        <w:pStyle w:val="Mystyle"/>
      </w:pPr>
      <w:r>
        <w:t>Настало время задуматься о сильном и крепком военном флоте, обеспечивающем победы на море.</w:t>
      </w:r>
    </w:p>
    <w:p w:rsidR="00F2682C" w:rsidRDefault="00F2682C">
      <w:pPr>
        <w:pStyle w:val="Mystyle"/>
      </w:pPr>
      <w:r>
        <w:t>И царь 20 октября 1696 года устраивает в Преображенском селе ''сидение с боярами о делах''. Государь должен был заручиться поддержкой родовитой знати для финансирования кораблестроения и одобрения посылки русских молодых людей для обучения за границей корабельному искусству.</w:t>
      </w:r>
    </w:p>
    <w:p w:rsidR="00F2682C" w:rsidRDefault="00F2682C">
      <w:pPr>
        <w:pStyle w:val="Mystyle"/>
      </w:pPr>
      <w:r>
        <w:t>Все детали организации корабельных компаний были продуманы и представлены в Боярскую думу в виде записки, автором которой был сам Петр I. Ему же принадлежала идея разложить эту повинность на купеческие торги и крестьянские дворы, сведения о которых содержались в подворных выписках из переписных и таможенных книг.</w:t>
      </w:r>
    </w:p>
    <w:p w:rsidR="00F2682C" w:rsidRDefault="00F2682C">
      <w:pPr>
        <w:pStyle w:val="Mystyle"/>
      </w:pPr>
      <w:r>
        <w:t>В предложениях царя были заложены принципы и способы организации и строительства флота, которые впоследствии нашли отражение в Морском регламенте.</w:t>
      </w:r>
    </w:p>
    <w:p w:rsidR="00F2682C" w:rsidRDefault="00F2682C">
      <w:pPr>
        <w:pStyle w:val="Mystyle"/>
      </w:pPr>
      <w:r>
        <w:t>В приговоре Боярской думы было записано: ''...Морским судам быть. А скольким, о том справиться по числу крестьянских дворов. Выписать и доложить''.</w:t>
      </w:r>
    </w:p>
    <w:p w:rsidR="00F2682C" w:rsidRDefault="00F2682C">
      <w:pPr>
        <w:pStyle w:val="Mystyle"/>
      </w:pPr>
      <w:r>
        <w:t>На следующее заседание Думы были приглашены иностранцы в качестве консультантов по техническому устройству и оснащению судов и по организации обучения корабельному мастерству в западных странах.</w:t>
      </w:r>
    </w:p>
    <w:p w:rsidR="00F2682C" w:rsidRDefault="00F2682C">
      <w:pPr>
        <w:pStyle w:val="Mystyle"/>
      </w:pPr>
      <w:r>
        <w:t>Материальная сторона строительства была представлена в приговоре Боярской думы следующим образом. Патриаршество и духовенство с 8 тысячами крестьянских дворов должно было обеспечить строительство одного корабля. Бояре и служилые люди с 10 тысячами крестьянских дворов должны были внести средства на строительство одного корабля.</w:t>
      </w:r>
    </w:p>
    <w:p w:rsidR="00F2682C" w:rsidRDefault="00F2682C">
      <w:pPr>
        <w:pStyle w:val="Mystyle"/>
      </w:pPr>
      <w:r>
        <w:t>Не остались в стороне от обложения торговые и посадские люди. Это решение Боярской думы стало основой создания компаний или ''кумпанств'', как их тогда называли.</w:t>
      </w:r>
    </w:p>
    <w:p w:rsidR="00F2682C" w:rsidRDefault="00F2682C">
      <w:pPr>
        <w:pStyle w:val="Mystyle"/>
      </w:pPr>
      <w:r>
        <w:t>Все дела по кораблестроению были отданы в ведение Владимирского судного приказа, а управляющий этим приказом окольничий Протасьев стал именоваться адмиралтейцем.</w:t>
      </w:r>
    </w:p>
    <w:p w:rsidR="00F2682C" w:rsidRDefault="00F2682C">
      <w:pPr>
        <w:pStyle w:val="Mystyle"/>
      </w:pPr>
      <w:r>
        <w:t>Главной задачей приказа была подготовка документов для компаний, в которых указывалась ''роспись предметов'', необходимых для строительства кораблей.</w:t>
      </w:r>
    </w:p>
    <w:p w:rsidR="00F2682C" w:rsidRDefault="00F2682C">
      <w:pPr>
        <w:pStyle w:val="Mystyle"/>
      </w:pPr>
      <w:r>
        <w:t>Таким образом, это решение Петр I облек не в форму единоличного указа, а как коллективное решение — приговор Боярской думы.</w:t>
      </w:r>
    </w:p>
    <w:p w:rsidR="00F2682C" w:rsidRDefault="00F2682C">
      <w:pPr>
        <w:pStyle w:val="Mystyle"/>
      </w:pPr>
      <w:r>
        <w:t>Разумеется, строительство флота осуществлялось не только на общественные или, как их тогда называли, ''партикулярные'' деньги компаний, часть средств поступала из государственной казны.</w:t>
      </w:r>
    </w:p>
    <w:p w:rsidR="00F2682C" w:rsidRDefault="00F2682C">
      <w:pPr>
        <w:pStyle w:val="Mystyle"/>
      </w:pPr>
      <w:r>
        <w:t>Делопроизводство компаний было сосредоточено в канцелярии Владимирского приказа, и, естественно, возникает большое количество новых видов документов для управления компаниями: инструкции, доклады, справки, регламенты, ''концепты'' (проекты документов), ''должности'', наказы, договорные грамоты.</w:t>
      </w:r>
    </w:p>
    <w:p w:rsidR="00F2682C" w:rsidRDefault="00F2682C">
      <w:pPr>
        <w:pStyle w:val="Mystyle"/>
      </w:pPr>
      <w:r>
        <w:t>Прежде всего были составлены две инструкции — первая, содержащая ''роспись состава'' (своего рода штатное расписание) и регламент распределения лесоматериалов.</w:t>
      </w:r>
    </w:p>
    <w:p w:rsidR="00F2682C" w:rsidRDefault="00F2682C">
      <w:pPr>
        <w:pStyle w:val="Mystyle"/>
      </w:pPr>
      <w:r>
        <w:t>Примечательна одна деталь: почти в каждой статье инструкции предписывалось бережное отношение к лесному хозяйству. Вторая инструкция — об обязанностях самого адмиралтейца Протасьева — наблюдать за компаниями, ''непрестанно в своем деле радеть и досматривать, чтобы никакой лености не было и препятствия не учинилось''.</w:t>
      </w:r>
    </w:p>
    <w:p w:rsidR="00F2682C" w:rsidRDefault="00F2682C">
      <w:pPr>
        <w:pStyle w:val="Mystyle"/>
      </w:pPr>
    </w:p>
    <w:p w:rsidR="00F2682C" w:rsidRDefault="00F2682C">
      <w:pPr>
        <w:pStyle w:val="Mystyle"/>
      </w:pPr>
      <w:r>
        <w:t xml:space="preserve">При подготовке данной работы были использованы материалы с сайта </w:t>
      </w:r>
      <w:r w:rsidRPr="004C7874">
        <w:t>http://www.studentu.ru</w:t>
      </w:r>
      <w:r>
        <w:t xml:space="preserve"> </w:t>
      </w:r>
    </w:p>
    <w:p w:rsidR="00F2682C" w:rsidRDefault="00F2682C">
      <w:pPr>
        <w:pStyle w:val="Mystyle"/>
      </w:pPr>
      <w:bookmarkStart w:id="0" w:name="_GoBack"/>
      <w:bookmarkEnd w:id="0"/>
    </w:p>
    <w:sectPr w:rsidR="00F2682C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6EC3234"/>
    <w:multiLevelType w:val="multilevel"/>
    <w:tmpl w:val="56D82DBE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874"/>
    <w:rsid w:val="004C7874"/>
    <w:rsid w:val="00B71395"/>
    <w:rsid w:val="00C37242"/>
    <w:rsid w:val="00F2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1FF0F5-17AF-4D7C-BD82-ED43BB5E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4094</Words>
  <Characters>2335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2014-01-27T06:16:00Z</dcterms:created>
  <dcterms:modified xsi:type="dcterms:W3CDTF">2014-01-27T06:16:00Z</dcterms:modified>
</cp:coreProperties>
</file>