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A7C" w:rsidRDefault="002A3A7C">
      <w:pPr>
        <w:pStyle w:val="Z16"/>
        <w:jc w:val="center"/>
        <w:rPr>
          <w:b w:val="0"/>
          <w:bCs w:val="0"/>
        </w:rPr>
      </w:pPr>
      <w:r>
        <w:t>Численность, состав, организационная структура партии Эсеров в начале 1900-х годов</w:t>
      </w:r>
    </w:p>
    <w:p w:rsidR="002A3A7C" w:rsidRDefault="002A3A7C">
      <w:pPr>
        <w:pStyle w:val="Mystyle"/>
      </w:pPr>
      <w:r>
        <w:t>Если судить о численности эсеровской партии в период ее подпольного существования довольно сложно, так как состав ее организаций был весьма текучим, не было четких критериев членства, к тому же по конспиративным соображениям члены партии не регистрировались. По нашим подсчетам, основанным на данных полицейских документов, за десятилетие, предшествовавшее первой российской революции, к эсеровскому движению были причастны около 2—2,5 тыс. человек. По социальному составу оно в этот период было преимущественно интеллигентским: доля интеллигенции составляла в нем более 70%, в том числе учащихся — около 30, удельный вес рабочих составлял 26, а крестьян — чуть более 1,5%. Партия была неоднородной в воз</w:t>
      </w:r>
      <w:r>
        <w:softHyphen/>
        <w:t xml:space="preserve">растном отношении и по стажу участия ее членов в революционном движении. </w:t>
      </w:r>
      <w:r>
        <w:rPr>
          <w:lang w:val="en-US"/>
        </w:rPr>
        <w:t>iB</w:t>
      </w:r>
      <w:r>
        <w:t xml:space="preserve"> ней явственно наблюдались два слоя: с одной стороны, “старики” — революционные народники 70—80-х годов; с другой — молодежь, вступившая в революционное движение в начале 900-х го</w:t>
      </w:r>
      <w:r>
        <w:softHyphen/>
        <w:t>дов, 1 — Любопытно и следующее. Эсеров отличало от других течений не только мировоззрение, но в какой-то мере даже склад ума, психология. Марксизм, как правило, притягивал натуры рассудочные, уравнове</w:t>
      </w:r>
      <w:r>
        <w:softHyphen/>
        <w:t xml:space="preserve">шенные, не склонные к бурным проявлениям чувств; а народничество (особенно его экстремистское крыло) объединяло людей более эмоциональных, постоянно испытывавших духовную и нравственную неудовлетворенность. </w:t>
      </w:r>
    </w:p>
    <w:p w:rsidR="002A3A7C" w:rsidRDefault="002A3A7C">
      <w:pPr>
        <w:pStyle w:val="Mystyle"/>
      </w:pPr>
      <w:r>
        <w:t>Известно, что эффективность партии как политической силы в ус</w:t>
      </w:r>
      <w:r>
        <w:softHyphen/>
        <w:t>ловиях авторитарно-полицейского режима в немалой степени опреде</w:t>
      </w:r>
      <w:r>
        <w:softHyphen/>
        <w:t>лялась степенью ее организованности. Что же представляли в этом отношении эсеры? Сравнивая свою партию с большевистской, В. М. Чернов отмечал, что они были “как бы двумя крайними полюсами”, что эсеры “грешили” более в сторону “организационного нигилизма и свободы от форм, граничащей с организационной расхлябанностью”. Эта “ахиллесова пята” эсеров довольно отчетливо заявила о себе уже на стадии их формирования в партию. Характерно, что в сообщении о возникновении партии вопрос, о ее организационной структуре во</w:t>
      </w:r>
      <w:r>
        <w:softHyphen/>
        <w:t>обще не был затронут. Видный деятель партии Е.С. Не</w:t>
      </w:r>
      <w:r>
        <w:softHyphen/>
        <w:t>четный), совершивший поездку по России в 1902 г., не нашел никакой организации, похожей на партию, на местах он обнаружил “просто группы работавших людей”. Подобную же картину он наблюдал и в 1903—1904 гг.</w:t>
      </w:r>
    </w:p>
    <w:p w:rsidR="002A3A7C" w:rsidRDefault="002A3A7C">
      <w:pPr>
        <w:pStyle w:val="Mystyle"/>
      </w:pPr>
      <w:r>
        <w:t>Местные организации, комитеты и группы, составлявшие основу партии, формировались по территориальному принципу. В сложившей</w:t>
      </w:r>
      <w:r>
        <w:softHyphen/>
        <w:t>ся организации, как правило, имелись союз пропагандистов” агитатор</w:t>
      </w:r>
      <w:r>
        <w:softHyphen/>
        <w:t>ская сходка и технические группы (типографская и транспортная), занимавшиеся изданием, хранением и распространением литературы. Организации строились сверху вниз, т. е. вначале возникало “ядро” — комитет, а затем его члены создавали низшие подразделения. По мере роста партии вширь, возникновения новых функций, в ее организационной структуре появлялись новые компоненты. В апреле 1902 г. террористическим актом против министра внутренних дел Д. С. Сипягина заявила о себе Боевая организация (БО), к формированию которой Гершуни приступил еще осенью 1901 г. БО являлась самой законспирированной частью партии. В то время, когда во главе ее стоял Гершуни (до его ареста в мае 1903 г.) она была “рассеянной”: каждый из ее членов проживал отдельно, в своем регионе, ожидая, когда от главы организации придет вызов. Компак</w:t>
      </w:r>
      <w:r>
        <w:softHyphen/>
        <w:t>тной, централизованной, с беспрекословной дисциплиной она стала при Азефе, он же полностью обновил и ее состав. Численность БО не была постоянной: при Гершуни в ней было не более 10—15 человек;в 1906 г. в нее входило около 25—30 человек. За всю историю су</w:t>
      </w:r>
      <w:r>
        <w:softHyphen/>
        <w:t>ществования БО (1901—1908) в ней работали свыше 80 человек. Организация была в партии на автономном положении, ЦК лишь давал ей задание на совершение очередного террористического акта и указывал желательный срок его исполнения. У БО были своя касса, явки, адреса, квартиры, ЦК не имел права вмешиваться в ее внут</w:t>
      </w:r>
      <w:r>
        <w:softHyphen/>
        <w:t>ренние дела. Руководители БО Гершуни (1901—1903) и Азеф (1903— 1908) являлись организаторами партии эсеров и самыми влиятельными членами ее ЦК.</w:t>
      </w:r>
    </w:p>
    <w:p w:rsidR="002A3A7C" w:rsidRDefault="002A3A7C">
      <w:pPr>
        <w:pStyle w:val="Mystyle"/>
      </w:pPr>
      <w:r>
        <w:t>В целях активизации и расширения партийной работы в деревне в 1902 г. был образован Крестьянский союз партии социалистов-рево</w:t>
      </w:r>
      <w:r>
        <w:softHyphen/>
        <w:t>люционеров. В мае 1903 г. было заявлено о создании “Союза народных учителей”, в 1903—1904 гг. при ряде комитетов стали возникать “Ра</w:t>
      </w:r>
      <w:r>
        <w:softHyphen/>
        <w:t>бочие союзы”, которые объединяли членов комитета и примыкавших к нему лиц, занимавшихся революционной работой среди рабочих.</w:t>
      </w:r>
    </w:p>
    <w:p w:rsidR="002A3A7C" w:rsidRDefault="002A3A7C">
      <w:pPr>
        <w:pStyle w:val="Mystyle"/>
      </w:pPr>
      <w:r>
        <w:t>Трудноразрешимой загадкой является вопрос о ЦК партии. Из-за скудности и противоречивости имеющихся сведений практически не</w:t>
      </w:r>
      <w:r>
        <w:softHyphen/>
        <w:t>возможно точно выяснить, когда и где он возник, каков был его состав. Вероятно, ЦК партии как такового первоначально не было. Централь</w:t>
      </w:r>
      <w:r>
        <w:softHyphen/>
        <w:t>ные функции исполнялись, видимо, наиболее сильной местной организацией — такой была сначала саратовская, а после ее разгрома в конце 1902 г. екатеринославская, одесская и киевская. Заслуживает внимания мнение М. М. Мельникова, видного деятеля эсеровского движения того времени, считавшего, что ЦК “вылупился”, причем “не</w:t>
      </w:r>
      <w:r>
        <w:softHyphen/>
        <w:t>ожиданно”, т. е. без согласования с рядом местных организаций, из упоминавшейся выше Комиссии по сношению с заграницей и состоял, в частности, первоначально из Брешковской, Гершуни и Крафта, исполнявших функции разъездных агентов. После арестов Крафта и Гершуни и переезда за границу Брешковской с весны 1903 г. по апрель 1904 г. весь российский эсеровский ЦК воплощался в Азефе, формально ставшем его членом, очевидно, после возвращения из-за границы летом 1902 г. Начиная с апреля 1904 г. он начал формировать новый ЦК, кооптируя в него, главным образом, эсеров, проживавших ле</w:t>
      </w:r>
      <w:r>
        <w:softHyphen/>
        <w:t>гально, и старых известных народников, возвратившихся из ссылки.</w:t>
      </w:r>
    </w:p>
    <w:p w:rsidR="002A3A7C" w:rsidRDefault="002A3A7C">
      <w:pPr>
        <w:pStyle w:val="Mystyle"/>
      </w:pPr>
      <w:r>
        <w:t>Представителем российского центра за границей с момента возникновения партии был М. Р. Гоц. Характеризуя исключительную роль Гоца в партии в предреволюционный период, В. М. Чернов на</w:t>
      </w:r>
      <w:r>
        <w:softHyphen/>
        <w:t>зывал его “диктатором”. Михаил Рафаилович Гоц (1866—1906), сын московского купца-миллионера, отбыл каторгу и ссылку за участие в народовольческом движении. Оказавшись в 1900 г. за границей, он стал одним из активнейших организаторов эсеровских сил. Департа</w:t>
      </w:r>
      <w:r>
        <w:softHyphen/>
        <w:t>мент полиции считал его “самым опасным человеком” в партии, имея в виду не только его энергию, организаторские способности, но и то, что он “без счета” давал деньги на революцию, особенно охотно на террор. На его средства первоначально существовали “Вестник русской революции” и “Революционая Россия”. Безграничным доверием Гоца пользовался Е. Ф. Азеф. Б. В. Савинков, вступивший в партию и ее Боевую организацию в 1903 г., отмечал, что в то время, по существу, только два члена ЦК, Гоц и Азеф, “распоряжались всей партией”.</w:t>
      </w:r>
    </w:p>
    <w:p w:rsidR="002A3A7C" w:rsidRDefault="002A3A7C">
      <w:pPr>
        <w:pStyle w:val="Mystyle"/>
      </w:pPr>
      <w:r>
        <w:t>В партии были очень слабыми вертикальные и горизонтальные связи: между местными организациями и центром, между отдельными местными организациями. На первом этапе объединение в эсеровской среде было не столько организационное, сколько идейное, осущест</w:t>
      </w:r>
      <w:r>
        <w:softHyphen/>
        <w:t>влявшееся газетой “Революционная Россия”.</w:t>
      </w:r>
    </w:p>
    <w:p w:rsidR="002A3A7C" w:rsidRDefault="002A3A7C">
      <w:pPr>
        <w:pStyle w:val="Mystyle"/>
      </w:pPr>
    </w:p>
    <w:p w:rsidR="002A3A7C" w:rsidRDefault="002A3A7C">
      <w:pPr>
        <w:pStyle w:val="Mystyle"/>
      </w:pPr>
      <w:r>
        <w:t xml:space="preserve">При подготовке данной работы были использованы материалы с сайта </w:t>
      </w:r>
      <w:r w:rsidRPr="00686FDD">
        <w:t>http://www.studentu.ru</w:t>
      </w:r>
    </w:p>
    <w:p w:rsidR="002A3A7C" w:rsidRDefault="002A3A7C">
      <w:pPr>
        <w:pStyle w:val="Mystyle"/>
      </w:pPr>
      <w:bookmarkStart w:id="0" w:name="_GoBack"/>
      <w:bookmarkEnd w:id="0"/>
    </w:p>
    <w:sectPr w:rsidR="002A3A7C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633F2B5F"/>
    <w:multiLevelType w:val="multilevel"/>
    <w:tmpl w:val="0C36DA82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FDD"/>
    <w:rsid w:val="002A3A7C"/>
    <w:rsid w:val="00605395"/>
    <w:rsid w:val="00686FDD"/>
    <w:rsid w:val="00E3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22D547-BFC4-46C4-B6E5-68C35FEA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7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ac">
    <w:name w:val="Block Text"/>
    <w:basedOn w:val="a"/>
    <w:uiPriority w:val="99"/>
    <w:pPr>
      <w:adjustRightInd w:val="0"/>
      <w:spacing w:line="220" w:lineRule="auto"/>
      <w:ind w:left="-142" w:right="-3139"/>
      <w:jc w:val="both"/>
    </w:pPr>
    <w:rPr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4478</Words>
  <Characters>2554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7018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2014-01-27T06:12:00Z</dcterms:created>
  <dcterms:modified xsi:type="dcterms:W3CDTF">2014-01-27T06:12:00Z</dcterms:modified>
</cp:coreProperties>
</file>