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266" w:rsidRPr="005E5C86" w:rsidRDefault="000F1266" w:rsidP="000F1266">
      <w:pPr>
        <w:spacing w:before="120"/>
        <w:jc w:val="center"/>
        <w:rPr>
          <w:b/>
          <w:sz w:val="32"/>
        </w:rPr>
      </w:pPr>
      <w:r w:rsidRPr="005E5C86">
        <w:rPr>
          <w:b/>
          <w:sz w:val="32"/>
        </w:rPr>
        <w:t>Пути снижения вредных выбросов ТЭС на органическом топливе»</w:t>
      </w:r>
    </w:p>
    <w:p w:rsidR="000F1266" w:rsidRPr="005E5C86" w:rsidRDefault="000F1266" w:rsidP="000F1266">
      <w:pPr>
        <w:spacing w:before="120"/>
        <w:jc w:val="center"/>
        <w:rPr>
          <w:sz w:val="28"/>
        </w:rPr>
      </w:pPr>
      <w:r w:rsidRPr="005E5C86">
        <w:rPr>
          <w:sz w:val="28"/>
        </w:rPr>
        <w:t>Реферат по дисциплине «Введение в направление»</w:t>
      </w:r>
    </w:p>
    <w:p w:rsidR="000F1266" w:rsidRPr="005E5C86" w:rsidRDefault="000F1266" w:rsidP="000F1266">
      <w:pPr>
        <w:spacing w:before="120"/>
        <w:jc w:val="center"/>
        <w:rPr>
          <w:sz w:val="28"/>
        </w:rPr>
      </w:pPr>
      <w:r w:rsidRPr="005E5C86">
        <w:rPr>
          <w:sz w:val="28"/>
        </w:rPr>
        <w:t>Выполнил студент Рябов А.Н.. группа ТЭ-72</w:t>
      </w:r>
    </w:p>
    <w:p w:rsidR="000F1266" w:rsidRPr="005E5C86" w:rsidRDefault="000F1266" w:rsidP="000F1266">
      <w:pPr>
        <w:spacing w:before="120"/>
        <w:jc w:val="center"/>
        <w:rPr>
          <w:sz w:val="28"/>
        </w:rPr>
      </w:pPr>
      <w:r w:rsidRPr="005E5C86">
        <w:rPr>
          <w:sz w:val="28"/>
        </w:rPr>
        <w:t>Новосибирский государственный технический университет</w:t>
      </w:r>
    </w:p>
    <w:p w:rsidR="000F1266" w:rsidRPr="005E5C86" w:rsidRDefault="000F1266" w:rsidP="000F1266">
      <w:pPr>
        <w:spacing w:before="120"/>
        <w:jc w:val="center"/>
        <w:rPr>
          <w:sz w:val="28"/>
        </w:rPr>
      </w:pPr>
      <w:r w:rsidRPr="005E5C86">
        <w:rPr>
          <w:sz w:val="28"/>
        </w:rPr>
        <w:t>Новосибирск, 2010</w:t>
      </w:r>
    </w:p>
    <w:p w:rsidR="000F1266" w:rsidRPr="005E5C86" w:rsidRDefault="000F1266" w:rsidP="000F1266">
      <w:pPr>
        <w:spacing w:before="120"/>
        <w:jc w:val="center"/>
        <w:rPr>
          <w:b/>
          <w:sz w:val="28"/>
        </w:rPr>
      </w:pPr>
      <w:r w:rsidRPr="005E5C86">
        <w:rPr>
          <w:b/>
          <w:sz w:val="28"/>
        </w:rPr>
        <w:t>Введение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Природа не терпит неточностей и не прощает ошибок.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(Р. Эмерсон)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В жизни человека окружающая природная среда является источником существования</w:t>
      </w:r>
      <w:r>
        <w:t xml:space="preserve">, </w:t>
      </w:r>
      <w:r w:rsidRPr="005E5C86">
        <w:t>а ископаемые природные ресурсы и вырабатываемая из них энергия являются неотъемлемой частью развития современного общества.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Без энергетики у человека нет будущего</w:t>
      </w:r>
      <w:r>
        <w:t xml:space="preserve">, </w:t>
      </w:r>
      <w:r w:rsidRPr="005E5C86">
        <w:t>в настоящее время эти слова очень актуальны. Но как у любой другой медали</w:t>
      </w:r>
      <w:r>
        <w:t xml:space="preserve">, </w:t>
      </w:r>
      <w:r w:rsidRPr="005E5C86">
        <w:t>у энергетики есть и обратная сторона</w:t>
      </w:r>
      <w:r>
        <w:t xml:space="preserve">, </w:t>
      </w:r>
      <w:r w:rsidRPr="005E5C86">
        <w:t>это её отрицательное воздействие на человека</w:t>
      </w:r>
      <w:r>
        <w:t xml:space="preserve">, </w:t>
      </w:r>
      <w:r w:rsidRPr="005E5C86">
        <w:t xml:space="preserve">растения и всю природу . 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Еще 50 лет назад люди мало задумывались об этом</w:t>
      </w:r>
      <w:r>
        <w:t xml:space="preserve">, </w:t>
      </w:r>
      <w:r w:rsidRPr="005E5C86">
        <w:t xml:space="preserve">ставили первоочередной задачей получение электрической и тепловой энергии. 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Именно сейчас можно заметить как переплетается введение каких-либо новых технологии на ТЭС с экологическими воздействиями на природу.</w:t>
      </w:r>
      <w:r>
        <w:t xml:space="preserve"> </w:t>
      </w:r>
    </w:p>
    <w:p w:rsidR="000F1266" w:rsidRDefault="000F1266" w:rsidP="000F1266">
      <w:pPr>
        <w:spacing w:before="120"/>
        <w:ind w:firstLine="567"/>
        <w:jc w:val="both"/>
      </w:pPr>
      <w:r w:rsidRPr="005E5C86">
        <w:t xml:space="preserve">В данной работе рассмотрены возможные рекомендации и пути уменьшения выбросов на ТЭС. 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Материал взят из конспектов лекций.[1]</w:t>
      </w:r>
    </w:p>
    <w:p w:rsidR="000F1266" w:rsidRPr="005E5C86" w:rsidRDefault="000F1266" w:rsidP="000F1266">
      <w:pPr>
        <w:spacing w:before="120"/>
        <w:jc w:val="center"/>
        <w:rPr>
          <w:b/>
          <w:sz w:val="28"/>
        </w:rPr>
      </w:pPr>
      <w:r w:rsidRPr="005E5C86">
        <w:rPr>
          <w:b/>
          <w:sz w:val="28"/>
        </w:rPr>
        <w:t xml:space="preserve">Вредные выбросы 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Взаимодействие человека с природой</w:t>
      </w:r>
      <w:r>
        <w:t xml:space="preserve">, </w:t>
      </w:r>
      <w:r w:rsidRPr="005E5C86">
        <w:t>можно показать на наглядном примере. Человек</w:t>
      </w:r>
      <w:r>
        <w:t xml:space="preserve">, </w:t>
      </w:r>
      <w:r w:rsidRPr="005E5C86">
        <w:t>направляет свои усилия на природу</w:t>
      </w:r>
      <w:r>
        <w:t xml:space="preserve">, </w:t>
      </w:r>
      <w:r w:rsidRPr="005E5C86">
        <w:t>чтобы получить ископаемые</w:t>
      </w:r>
      <w:r>
        <w:t xml:space="preserve">, </w:t>
      </w:r>
      <w:r w:rsidRPr="005E5C86">
        <w:t>которые являются сырьем для его деятельности. Сырье попадает в общество и распределяется по производствам. В результате общество получает необходимый продукт</w:t>
      </w:r>
      <w:r>
        <w:t xml:space="preserve">, </w:t>
      </w:r>
      <w:r w:rsidRPr="005E5C86">
        <w:t>но</w:t>
      </w:r>
      <w:r>
        <w:t xml:space="preserve">, </w:t>
      </w:r>
      <w:r w:rsidRPr="005E5C86">
        <w:t>при этом</w:t>
      </w:r>
      <w:r>
        <w:t xml:space="preserve">, </w:t>
      </w:r>
      <w:r w:rsidRPr="005E5C86">
        <w:t>и вредное воздействие</w:t>
      </w:r>
      <w:r>
        <w:t xml:space="preserve">, </w:t>
      </w:r>
      <w:r w:rsidRPr="005E5C86">
        <w:t>как от самого продукта</w:t>
      </w:r>
      <w:r>
        <w:t xml:space="preserve">, </w:t>
      </w:r>
      <w:r w:rsidRPr="005E5C86">
        <w:t>так и от отходов производств. Вредное воздействие испытывает также и природа</w:t>
      </w:r>
      <w:r>
        <w:t xml:space="preserve">, </w:t>
      </w:r>
      <w:r w:rsidRPr="005E5C86">
        <w:t>что опять-таки отражается на человеке: уменьшение природных продуктов питания</w:t>
      </w:r>
      <w:r>
        <w:t xml:space="preserve">, </w:t>
      </w:r>
      <w:r w:rsidRPr="005E5C86">
        <w:t>увеличение заболеваний (от хронических простудных до генетических и даже мутаций) и т.п.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Учитывая огромный ущерб</w:t>
      </w:r>
      <w:r>
        <w:t xml:space="preserve">, </w:t>
      </w:r>
      <w:r w:rsidRPr="005E5C86">
        <w:t>причиняемый как окружающей среде</w:t>
      </w:r>
      <w:r>
        <w:t xml:space="preserve">, </w:t>
      </w:r>
      <w:r w:rsidRPr="005E5C86">
        <w:t>так и человеку</w:t>
      </w:r>
      <w:r>
        <w:t xml:space="preserve">, </w:t>
      </w:r>
      <w:r w:rsidRPr="005E5C86">
        <w:t>санитарным законодательством промышленно развитых стран установлены предельно допустимые концентрации (ПДК) веществ</w:t>
      </w:r>
      <w:r>
        <w:t xml:space="preserve">, </w:t>
      </w:r>
      <w:r w:rsidRPr="005E5C86">
        <w:t>загрязняющих воздух</w:t>
      </w:r>
      <w:r>
        <w:t xml:space="preserve">, </w:t>
      </w:r>
      <w:r w:rsidRPr="005E5C86">
        <w:t>водоемы и почву. Для каждой стран уровни ПДК свои. Единые международные стандарты до сегодняшнего дня не выработаны. Тем не менее</w:t>
      </w:r>
      <w:r>
        <w:t xml:space="preserve">, </w:t>
      </w:r>
      <w:r w:rsidRPr="005E5C86">
        <w:t>большинство стран (такие как Германия</w:t>
      </w:r>
      <w:r>
        <w:t xml:space="preserve">, </w:t>
      </w:r>
      <w:r w:rsidRPr="005E5C86">
        <w:t>Великобритания</w:t>
      </w:r>
      <w:r>
        <w:t xml:space="preserve">, </w:t>
      </w:r>
      <w:r w:rsidRPr="005E5C86">
        <w:t>Дания</w:t>
      </w:r>
      <w:r>
        <w:t xml:space="preserve">, </w:t>
      </w:r>
      <w:r w:rsidRPr="005E5C86">
        <w:t>Голландия</w:t>
      </w:r>
      <w:r>
        <w:t xml:space="preserve">, </w:t>
      </w:r>
      <w:r w:rsidRPr="005E5C86">
        <w:t>Италия</w:t>
      </w:r>
      <w:r>
        <w:t xml:space="preserve">, </w:t>
      </w:r>
      <w:r w:rsidRPr="005E5C86">
        <w:t>Венгрия</w:t>
      </w:r>
      <w:r>
        <w:t xml:space="preserve">, </w:t>
      </w:r>
      <w:r w:rsidRPr="005E5C86">
        <w:t>Польша</w:t>
      </w:r>
      <w:r>
        <w:t xml:space="preserve">, </w:t>
      </w:r>
      <w:r w:rsidRPr="005E5C86">
        <w:t>Россия</w:t>
      </w:r>
      <w:r>
        <w:t xml:space="preserve">, </w:t>
      </w:r>
      <w:r w:rsidRPr="005E5C86">
        <w:t>Норвегия</w:t>
      </w:r>
      <w:r>
        <w:t xml:space="preserve">, </w:t>
      </w:r>
      <w:r w:rsidRPr="005E5C86">
        <w:t>Финляндия и т.д.) повсеместно стремятся к снижению вредных выбросов и ужесточению требований к предприятиям загрязняющим окружающую среду.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ПДК – это норматив концентрации химического соединения</w:t>
      </w:r>
      <w:r>
        <w:t xml:space="preserve">, </w:t>
      </w:r>
      <w:r w:rsidRPr="005E5C86">
        <w:t>которая при ежедневном воздействии в течение длительного времени на организм человека не приводит к каким-либо патологическим изменениям в состоянии здоровья человека</w:t>
      </w:r>
      <w:r>
        <w:t xml:space="preserve">, </w:t>
      </w:r>
      <w:r w:rsidRPr="005E5C86">
        <w:t>а также не нарушает биологического оптимума для человека. Таким образом под вредным понимают такое воздействие</w:t>
      </w:r>
      <w:r>
        <w:t xml:space="preserve">, </w:t>
      </w:r>
      <w:r w:rsidRPr="005E5C86">
        <w:t>которое превышает ПДК</w:t>
      </w:r>
      <w:r>
        <w:t xml:space="preserve">, </w:t>
      </w:r>
      <w:r w:rsidRPr="005E5C86">
        <w:t xml:space="preserve">а вредный выброс- это выброс какого-либо вещества в количестве превышающий ПДК. 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ПДК вредных веществ (т.е. веществ</w:t>
      </w:r>
      <w:r>
        <w:t xml:space="preserve">, </w:t>
      </w:r>
      <w:r w:rsidRPr="005E5C86">
        <w:t>которые при контакте с организмом человека могут привести к производственной травме</w:t>
      </w:r>
      <w:r>
        <w:t xml:space="preserve">, </w:t>
      </w:r>
      <w:r w:rsidRPr="005E5C86">
        <w:t>профессиональным заболеваниям или отклонениям в состоянии здоровья</w:t>
      </w:r>
      <w:r>
        <w:t xml:space="preserve">, </w:t>
      </w:r>
      <w:r w:rsidRPr="005E5C86">
        <w:t>либо химическое вещество</w:t>
      </w:r>
      <w:r>
        <w:t xml:space="preserve">, </w:t>
      </w:r>
      <w:r w:rsidRPr="005E5C86">
        <w:t>вызывающее нарушение в росте</w:t>
      </w:r>
      <w:r>
        <w:t xml:space="preserve">, </w:t>
      </w:r>
      <w:r w:rsidRPr="005E5C86">
        <w:t>развитии или состоянии здоровья организмов</w:t>
      </w:r>
      <w:r>
        <w:t xml:space="preserve">, </w:t>
      </w:r>
      <w:r w:rsidRPr="005E5C86">
        <w:t>в том числе в цепи поколений) устанавливаются в воздухе рабочей зоны</w:t>
      </w:r>
      <w:r>
        <w:t xml:space="preserve">, </w:t>
      </w:r>
      <w:r w:rsidRPr="005E5C86">
        <w:t>атмосферном воздухе и в воде водных объектов.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ПДКРЗ – предельно допустимая концентрация вредного вещества в воздухе рабочей зоны</w:t>
      </w:r>
      <w:r>
        <w:t xml:space="preserve">, </w:t>
      </w:r>
      <w:r w:rsidRPr="005E5C86">
        <w:t>мг/м3.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ПДКМР – максимально разовая концентрация вредного вещества в воздухе населенных мест</w:t>
      </w:r>
      <w:r>
        <w:t xml:space="preserve">, </w:t>
      </w:r>
      <w:r w:rsidRPr="005E5C86">
        <w:t>мг/м3.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ПДКСС – среднесуточная предельно допустимая концентрация (т.е. концентрация загрязнителя в воздухе не оказывающая на человека прямого или косвенного вредного воздействия при круглосуточном вдыхании)</w:t>
      </w:r>
      <w:r>
        <w:t xml:space="preserve">, </w:t>
      </w:r>
      <w:r w:rsidRPr="005E5C86">
        <w:t>мг/м3.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ПДКВ – предельно допустимая концентрация вредных веществ в воде водоемов</w:t>
      </w:r>
      <w:r>
        <w:t xml:space="preserve">, </w:t>
      </w:r>
      <w:r w:rsidRPr="005E5C86">
        <w:t xml:space="preserve">мг/дм3. 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Большинство современных электростанций вынуждены работать в условиях фоновых загрязнений</w:t>
      </w:r>
      <w:r>
        <w:t xml:space="preserve">, </w:t>
      </w:r>
      <w:r w:rsidRPr="005E5C86">
        <w:t>создаваемых как другими предприятиями</w:t>
      </w:r>
      <w:r>
        <w:t xml:space="preserve">, </w:t>
      </w:r>
      <w:r w:rsidRPr="005E5C86">
        <w:t>так и собственно средой района функционирования. При этом фоновым загрязнением атмосферного воздуха считается загрязнение без учета выбросов рассматриваемого предприятия. Поэтому при изучении выбросов конкретного источника следует учитывать фоновое загрязнение по каждому ингредиенту.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Для каждого из выбрасываемых веществ должно соблюдаться условие:</w:t>
      </w:r>
    </w:p>
    <w:p w:rsidR="000F1266" w:rsidRPr="005E5C86" w:rsidRDefault="00AA5378" w:rsidP="000F126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35.25pt">
            <v:imagedata r:id="rId4" o:title=""/>
          </v:shape>
        </w:pict>
      </w:r>
      <w:r w:rsidR="000F1266">
        <w:t xml:space="preserve">, 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где сi – приземная концентрация i-го вещества</w:t>
      </w:r>
      <w:r>
        <w:t xml:space="preserve">, </w:t>
      </w:r>
      <w:r w:rsidRPr="005E5C86">
        <w:t>мг/м3; ПДКi – значение ПДК i-го вредного вещества.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Значения ПДК некоторых веществ даны в табл.2. В табл.3 показано влияние загрязнений атмосферного воздуха на состояние здоровья человека.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Значение предельно допустимых концентраций вредных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веществ в атмосфере воздуха</w:t>
      </w:r>
      <w:r>
        <w:t xml:space="preserve"> </w:t>
      </w:r>
      <w:r w:rsidRPr="005E5C86">
        <w:t>Таблица 2</w:t>
      </w:r>
    </w:p>
    <w:tbl>
      <w:tblPr>
        <w:tblW w:w="96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0"/>
        <w:gridCol w:w="1615"/>
        <w:gridCol w:w="1974"/>
        <w:gridCol w:w="1615"/>
      </w:tblGrid>
      <w:tr w:rsidR="000F1266" w:rsidRPr="005E5C86" w:rsidTr="00536C0F">
        <w:trPr>
          <w:trHeight w:val="848"/>
        </w:trPr>
        <w:tc>
          <w:tcPr>
            <w:tcW w:w="4450" w:type="dxa"/>
            <w:tcBorders>
              <w:bottom w:val="double" w:sz="6" w:space="0" w:color="auto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Загрязняющее вещество</w:t>
            </w:r>
          </w:p>
        </w:tc>
        <w:tc>
          <w:tcPr>
            <w:tcW w:w="1615" w:type="dxa"/>
            <w:tcBorders>
              <w:bottom w:val="double" w:sz="6" w:space="0" w:color="auto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ПДКМ.Р.</w:t>
            </w:r>
            <w:r>
              <w:t xml:space="preserve">, </w:t>
            </w:r>
            <w:r w:rsidRPr="005E5C86">
              <w:t>мг/м3</w:t>
            </w:r>
          </w:p>
        </w:tc>
        <w:tc>
          <w:tcPr>
            <w:tcW w:w="1974" w:type="dxa"/>
            <w:tcBorders>
              <w:bottom w:val="double" w:sz="6" w:space="0" w:color="auto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ПДКС.С.</w:t>
            </w:r>
            <w:r>
              <w:t xml:space="preserve">, </w:t>
            </w:r>
            <w:r w:rsidRPr="005E5C86">
              <w:t>мг/м3</w:t>
            </w:r>
          </w:p>
        </w:tc>
        <w:tc>
          <w:tcPr>
            <w:tcW w:w="1615" w:type="dxa"/>
            <w:tcBorders>
              <w:bottom w:val="double" w:sz="6" w:space="0" w:color="auto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Класс опасности</w:t>
            </w:r>
          </w:p>
        </w:tc>
      </w:tr>
      <w:tr w:rsidR="000F1266" w:rsidRPr="005E5C86" w:rsidTr="00536C0F">
        <w:trPr>
          <w:trHeight w:val="297"/>
        </w:trPr>
        <w:tc>
          <w:tcPr>
            <w:tcW w:w="4450" w:type="dxa"/>
            <w:tcBorders>
              <w:top w:val="nil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Зола ТЭС</w:t>
            </w:r>
          </w:p>
        </w:tc>
        <w:tc>
          <w:tcPr>
            <w:tcW w:w="1615" w:type="dxa"/>
            <w:tcBorders>
              <w:top w:val="nil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05</w:t>
            </w:r>
          </w:p>
        </w:tc>
        <w:tc>
          <w:tcPr>
            <w:tcW w:w="1974" w:type="dxa"/>
            <w:tcBorders>
              <w:top w:val="nil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02</w:t>
            </w:r>
          </w:p>
        </w:tc>
        <w:tc>
          <w:tcPr>
            <w:tcW w:w="1615" w:type="dxa"/>
            <w:tcBorders>
              <w:top w:val="nil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2</w:t>
            </w:r>
          </w:p>
        </w:tc>
      </w:tr>
      <w:tr w:rsidR="000F1266" w:rsidRPr="005E5C86" w:rsidTr="00536C0F">
        <w:trPr>
          <w:trHeight w:val="310"/>
        </w:trPr>
        <w:tc>
          <w:tcPr>
            <w:tcW w:w="4450" w:type="dxa"/>
            <w:tcBorders>
              <w:top w:val="nil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Сажа</w:t>
            </w:r>
          </w:p>
        </w:tc>
        <w:tc>
          <w:tcPr>
            <w:tcW w:w="1615" w:type="dxa"/>
            <w:tcBorders>
              <w:top w:val="nil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15</w:t>
            </w:r>
          </w:p>
        </w:tc>
        <w:tc>
          <w:tcPr>
            <w:tcW w:w="1974" w:type="dxa"/>
            <w:tcBorders>
              <w:top w:val="nil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05</w:t>
            </w:r>
          </w:p>
        </w:tc>
        <w:tc>
          <w:tcPr>
            <w:tcW w:w="1615" w:type="dxa"/>
            <w:tcBorders>
              <w:top w:val="nil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3</w:t>
            </w:r>
          </w:p>
        </w:tc>
      </w:tr>
      <w:tr w:rsidR="000F1266" w:rsidRPr="005E5C86" w:rsidTr="00536C0F">
        <w:trPr>
          <w:trHeight w:val="310"/>
        </w:trPr>
        <w:tc>
          <w:tcPr>
            <w:tcW w:w="4450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Окислы серы</w:t>
            </w:r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5</w:t>
            </w:r>
          </w:p>
        </w:tc>
        <w:tc>
          <w:tcPr>
            <w:tcW w:w="1974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05</w:t>
            </w:r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3</w:t>
            </w:r>
          </w:p>
        </w:tc>
      </w:tr>
      <w:tr w:rsidR="000F1266" w:rsidRPr="005E5C86" w:rsidTr="00536C0F">
        <w:trPr>
          <w:trHeight w:val="310"/>
        </w:trPr>
        <w:tc>
          <w:tcPr>
            <w:tcW w:w="4450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Диоксид азота</w:t>
            </w:r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085</w:t>
            </w:r>
          </w:p>
        </w:tc>
        <w:tc>
          <w:tcPr>
            <w:tcW w:w="1974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04</w:t>
            </w:r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2</w:t>
            </w:r>
          </w:p>
        </w:tc>
      </w:tr>
      <w:tr w:rsidR="000F1266" w:rsidRPr="005E5C86" w:rsidTr="00536C0F">
        <w:trPr>
          <w:trHeight w:val="310"/>
        </w:trPr>
        <w:tc>
          <w:tcPr>
            <w:tcW w:w="4450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Оксид азота</w:t>
            </w:r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6</w:t>
            </w:r>
          </w:p>
        </w:tc>
        <w:tc>
          <w:tcPr>
            <w:tcW w:w="1974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06</w:t>
            </w:r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3</w:t>
            </w:r>
          </w:p>
        </w:tc>
      </w:tr>
      <w:tr w:rsidR="000F1266" w:rsidRPr="005E5C86" w:rsidTr="00536C0F">
        <w:trPr>
          <w:trHeight w:val="297"/>
        </w:trPr>
        <w:tc>
          <w:tcPr>
            <w:tcW w:w="4450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Оксид углерода</w:t>
            </w:r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5</w:t>
            </w:r>
          </w:p>
        </w:tc>
        <w:tc>
          <w:tcPr>
            <w:tcW w:w="1974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3</w:t>
            </w:r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4</w:t>
            </w:r>
          </w:p>
        </w:tc>
      </w:tr>
      <w:tr w:rsidR="000F1266" w:rsidRPr="005E5C86" w:rsidTr="00536C0F">
        <w:trPr>
          <w:trHeight w:val="310"/>
        </w:trPr>
        <w:tc>
          <w:tcPr>
            <w:tcW w:w="4450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Пентаксид ванадия</w:t>
            </w:r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-</w:t>
            </w:r>
          </w:p>
        </w:tc>
        <w:tc>
          <w:tcPr>
            <w:tcW w:w="1974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002</w:t>
            </w:r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1</w:t>
            </w:r>
          </w:p>
        </w:tc>
      </w:tr>
      <w:tr w:rsidR="000F1266" w:rsidRPr="005E5C86" w:rsidTr="00536C0F">
        <w:trPr>
          <w:trHeight w:val="536"/>
        </w:trPr>
        <w:tc>
          <w:tcPr>
            <w:tcW w:w="4450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Бенз(а)пирен</w:t>
            </w:r>
            <w:r>
              <w:t xml:space="preserve">, </w:t>
            </w:r>
            <w:r w:rsidRPr="005E5C86">
              <w:t>С20Н16</w:t>
            </w:r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-</w:t>
            </w:r>
          </w:p>
        </w:tc>
        <w:tc>
          <w:tcPr>
            <w:tcW w:w="1974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1 мкг/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100 м3"/>
              </w:smartTagPr>
              <w:r w:rsidRPr="005E5C86">
                <w:t>100 м3</w:t>
              </w:r>
            </w:smartTag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1</w:t>
            </w:r>
          </w:p>
        </w:tc>
      </w:tr>
      <w:tr w:rsidR="000F1266" w:rsidRPr="005E5C86" w:rsidTr="00536C0F">
        <w:trPr>
          <w:trHeight w:val="310"/>
        </w:trPr>
        <w:tc>
          <w:tcPr>
            <w:tcW w:w="4450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Аммиак</w:t>
            </w:r>
            <w:r>
              <w:t xml:space="preserve">, </w:t>
            </w:r>
            <w:r w:rsidRPr="005E5C86">
              <w:t>NH3</w:t>
            </w:r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2</w:t>
            </w:r>
          </w:p>
        </w:tc>
        <w:tc>
          <w:tcPr>
            <w:tcW w:w="1974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04</w:t>
            </w:r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4</w:t>
            </w:r>
          </w:p>
        </w:tc>
      </w:tr>
      <w:tr w:rsidR="000F1266" w:rsidRPr="005E5C86" w:rsidTr="00536C0F">
        <w:trPr>
          <w:trHeight w:val="325"/>
        </w:trPr>
        <w:tc>
          <w:tcPr>
            <w:tcW w:w="4450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Сероводород</w:t>
            </w:r>
            <w:r>
              <w:t xml:space="preserve">, </w:t>
            </w:r>
            <w:r w:rsidRPr="005E5C86">
              <w:t>H2S</w:t>
            </w:r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008</w:t>
            </w:r>
          </w:p>
        </w:tc>
        <w:tc>
          <w:tcPr>
            <w:tcW w:w="1974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-</w:t>
            </w:r>
          </w:p>
        </w:tc>
        <w:tc>
          <w:tcPr>
            <w:tcW w:w="1615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2</w:t>
            </w:r>
          </w:p>
        </w:tc>
      </w:tr>
    </w:tbl>
    <w:p w:rsidR="000F1266" w:rsidRDefault="000F1266" w:rsidP="000F1266">
      <w:pPr>
        <w:spacing w:before="120"/>
        <w:ind w:firstLine="567"/>
        <w:jc w:val="both"/>
      </w:pP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 xml:space="preserve">Влияние загрязнений атмосферного воздуха 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на состояние здоровья человека</w:t>
      </w:r>
      <w:r>
        <w:t xml:space="preserve"> </w:t>
      </w:r>
      <w:r w:rsidRPr="005E5C86">
        <w:t>Таблица 3</w:t>
      </w:r>
    </w:p>
    <w:tbl>
      <w:tblPr>
        <w:tblW w:w="958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7"/>
        <w:gridCol w:w="1917"/>
        <w:gridCol w:w="1917"/>
        <w:gridCol w:w="1917"/>
        <w:gridCol w:w="1917"/>
      </w:tblGrid>
      <w:tr w:rsidR="000F1266" w:rsidRPr="005E5C86" w:rsidTr="00536C0F">
        <w:trPr>
          <w:trHeight w:val="3674"/>
          <w:jc w:val="center"/>
        </w:trPr>
        <w:tc>
          <w:tcPr>
            <w:tcW w:w="1917" w:type="dxa"/>
            <w:tcBorders>
              <w:bottom w:val="double" w:sz="6" w:space="0" w:color="auto"/>
            </w:tcBorders>
          </w:tcPr>
          <w:p w:rsidR="000F1266" w:rsidRDefault="000F1266" w:rsidP="00536C0F">
            <w:pPr>
              <w:spacing w:before="120"/>
              <w:ind w:firstLine="567"/>
              <w:jc w:val="both"/>
            </w:pPr>
          </w:p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Загрязнение</w:t>
            </w:r>
          </w:p>
        </w:tc>
        <w:tc>
          <w:tcPr>
            <w:tcW w:w="1917" w:type="dxa"/>
            <w:tcBorders>
              <w:bottom w:val="double" w:sz="6" w:space="0" w:color="auto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Повышение смертности и обращаемости в больницы (среднесуточная концентрация)</w:t>
            </w:r>
          </w:p>
        </w:tc>
        <w:tc>
          <w:tcPr>
            <w:tcW w:w="1917" w:type="dxa"/>
            <w:tcBorders>
              <w:bottom w:val="double" w:sz="6" w:space="0" w:color="auto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Ухудшения состояния пациентов с легочными заболеваниями (среднесуточная концентрация)</w:t>
            </w:r>
          </w:p>
        </w:tc>
        <w:tc>
          <w:tcPr>
            <w:tcW w:w="1917" w:type="dxa"/>
            <w:tcBorders>
              <w:bottom w:val="double" w:sz="6" w:space="0" w:color="auto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Ухудшение дыхательных симптомов (среднегодовая концентрация)</w:t>
            </w:r>
          </w:p>
        </w:tc>
        <w:tc>
          <w:tcPr>
            <w:tcW w:w="1917" w:type="dxa"/>
            <w:tcBorders>
              <w:bottom w:val="double" w:sz="6" w:space="0" w:color="auto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Изменение видимости</w:t>
            </w:r>
            <w:r>
              <w:t xml:space="preserve">, </w:t>
            </w:r>
            <w:r w:rsidRPr="005E5C86">
              <w:t>ощущение дискомфорта (среднегодовая концентрация)</w:t>
            </w:r>
          </w:p>
        </w:tc>
      </w:tr>
      <w:tr w:rsidR="000F1266" w:rsidRPr="005E5C86" w:rsidTr="00536C0F">
        <w:trPr>
          <w:trHeight w:val="525"/>
          <w:jc w:val="center"/>
        </w:trPr>
        <w:tc>
          <w:tcPr>
            <w:tcW w:w="1917" w:type="dxa"/>
            <w:tcBorders>
              <w:top w:val="nil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SO2 мг/м3</w:t>
            </w:r>
          </w:p>
        </w:tc>
        <w:tc>
          <w:tcPr>
            <w:tcW w:w="1917" w:type="dxa"/>
            <w:tcBorders>
              <w:top w:val="nil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5</w:t>
            </w:r>
          </w:p>
        </w:tc>
        <w:tc>
          <w:tcPr>
            <w:tcW w:w="1917" w:type="dxa"/>
            <w:tcBorders>
              <w:top w:val="nil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5…0</w:t>
            </w:r>
            <w:r>
              <w:t xml:space="preserve">, </w:t>
            </w:r>
            <w:r w:rsidRPr="005E5C86">
              <w:t>25</w:t>
            </w:r>
          </w:p>
        </w:tc>
        <w:tc>
          <w:tcPr>
            <w:tcW w:w="1917" w:type="dxa"/>
            <w:tcBorders>
              <w:top w:val="nil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1</w:t>
            </w:r>
          </w:p>
        </w:tc>
        <w:tc>
          <w:tcPr>
            <w:tcW w:w="1917" w:type="dxa"/>
            <w:tcBorders>
              <w:top w:val="nil"/>
            </w:tcBorders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08</w:t>
            </w:r>
          </w:p>
        </w:tc>
      </w:tr>
      <w:tr w:rsidR="000F1266" w:rsidRPr="005E5C86" w:rsidTr="00536C0F">
        <w:trPr>
          <w:trHeight w:val="564"/>
          <w:jc w:val="center"/>
        </w:trPr>
        <w:tc>
          <w:tcPr>
            <w:tcW w:w="1917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Зола</w:t>
            </w:r>
            <w:r>
              <w:t xml:space="preserve">, </w:t>
            </w:r>
            <w:r w:rsidRPr="005E5C86">
              <w:t>мг/м3</w:t>
            </w:r>
          </w:p>
        </w:tc>
        <w:tc>
          <w:tcPr>
            <w:tcW w:w="1917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5</w:t>
            </w:r>
          </w:p>
        </w:tc>
        <w:tc>
          <w:tcPr>
            <w:tcW w:w="1917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25</w:t>
            </w:r>
          </w:p>
        </w:tc>
        <w:tc>
          <w:tcPr>
            <w:tcW w:w="1917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1</w:t>
            </w:r>
          </w:p>
        </w:tc>
        <w:tc>
          <w:tcPr>
            <w:tcW w:w="1917" w:type="dxa"/>
          </w:tcPr>
          <w:p w:rsidR="000F1266" w:rsidRPr="005E5C86" w:rsidRDefault="000F1266" w:rsidP="00536C0F">
            <w:pPr>
              <w:spacing w:before="120"/>
              <w:ind w:firstLine="567"/>
              <w:jc w:val="both"/>
            </w:pPr>
            <w:r w:rsidRPr="005E5C86">
              <w:t>0</w:t>
            </w:r>
            <w:r>
              <w:t xml:space="preserve">, </w:t>
            </w:r>
            <w:r w:rsidRPr="005E5C86">
              <w:t>08</w:t>
            </w:r>
          </w:p>
        </w:tc>
      </w:tr>
    </w:tbl>
    <w:p w:rsidR="000F1266" w:rsidRDefault="000F1266" w:rsidP="000F1266">
      <w:pPr>
        <w:spacing w:before="120"/>
        <w:ind w:firstLine="567"/>
        <w:jc w:val="both"/>
      </w:pPr>
      <w:r>
        <w:t xml:space="preserve"> 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На ТЭС основным источником загрязнения являются дымовые газы. Содержание вредных веществ в них определяет не только состояние атмосферы</w:t>
      </w:r>
      <w:r>
        <w:t xml:space="preserve">, </w:t>
      </w:r>
      <w:r w:rsidRPr="005E5C86">
        <w:t>но во многом и состояние почвы и водного бассейна</w:t>
      </w:r>
      <w:r>
        <w:t xml:space="preserve">, </w:t>
      </w:r>
      <w:r w:rsidRPr="005E5C86">
        <w:t>влияет на жизнь флоры и фауны и</w:t>
      </w:r>
      <w:r>
        <w:t xml:space="preserve">, </w:t>
      </w:r>
      <w:r w:rsidRPr="005E5C86">
        <w:t>конечно</w:t>
      </w:r>
      <w:r>
        <w:t xml:space="preserve">, </w:t>
      </w:r>
      <w:r w:rsidRPr="005E5C86">
        <w:t>человека. Именно через атмосферные выбросы вокруг городов Ачинска</w:t>
      </w:r>
      <w:r>
        <w:t xml:space="preserve">, </w:t>
      </w:r>
      <w:r w:rsidRPr="005E5C86">
        <w:t>Назарово</w:t>
      </w:r>
      <w:r>
        <w:t xml:space="preserve">, </w:t>
      </w:r>
      <w:r w:rsidRPr="005E5C86">
        <w:t>Канска сложились ареалы техногенного изменения окружающей среды диаметром до 20...30 км</w:t>
      </w:r>
      <w:r>
        <w:t xml:space="preserve">, </w:t>
      </w:r>
      <w:r w:rsidRPr="005E5C86">
        <w:t>где сильно нарушена структура почв</w:t>
      </w:r>
      <w:r>
        <w:t xml:space="preserve">, </w:t>
      </w:r>
      <w:r w:rsidRPr="005E5C86">
        <w:t>растительности</w:t>
      </w:r>
      <w:r>
        <w:t xml:space="preserve">, </w:t>
      </w:r>
      <w:r w:rsidRPr="005E5C86">
        <w:t>био- и микроценозов. Особенно тяжелая ситуация сложилась в крупных промышленных центрах Сибири. В г. Ачинске</w:t>
      </w:r>
      <w:r>
        <w:t xml:space="preserve">, </w:t>
      </w:r>
      <w:r w:rsidRPr="005E5C86">
        <w:t>например</w:t>
      </w:r>
      <w:r>
        <w:t xml:space="preserve">, </w:t>
      </w:r>
      <w:r w:rsidRPr="005E5C86">
        <w:t>только глиноземный комбинат выбрасывает в атмосферу ежегодно около 160 тыс. т пыли</w:t>
      </w:r>
      <w:r>
        <w:t xml:space="preserve">, </w:t>
      </w:r>
      <w:r w:rsidRPr="005E5C86">
        <w:t>22 тыс. т сернистого газа</w:t>
      </w:r>
      <w:r>
        <w:t xml:space="preserve">, </w:t>
      </w:r>
      <w:r w:rsidRPr="005E5C86">
        <w:t>14</w:t>
      </w:r>
      <w:r>
        <w:t xml:space="preserve">, </w:t>
      </w:r>
      <w:r w:rsidRPr="005E5C86">
        <w:t>5 тыс. т оксидов азота. Аналогичная обстановка и в Новокузнецке</w:t>
      </w:r>
      <w:r>
        <w:t xml:space="preserve">, </w:t>
      </w:r>
      <w:r w:rsidRPr="005E5C86">
        <w:t>Назарово</w:t>
      </w:r>
      <w:r>
        <w:t xml:space="preserve">, </w:t>
      </w:r>
      <w:r w:rsidRPr="005E5C86">
        <w:t>Прокопьевске</w:t>
      </w:r>
      <w:r>
        <w:t xml:space="preserve">, </w:t>
      </w:r>
      <w:r w:rsidRPr="005E5C86">
        <w:t>Кемерово и ряде других городов.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Способы уменьшения вредных выбросов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Снижение выбросов вредных веществ возможно двумя путями: подавление в процессе сжигания топлива и улавливания из дымовых газов. В настоящем реферате рассмотрены некоторые способы улавливания веществ из дымовых газов</w:t>
      </w:r>
      <w:r>
        <w:t xml:space="preserve">, </w:t>
      </w:r>
      <w:r w:rsidRPr="005E5C86">
        <w:t>а вопросы “подавления” остались за рамками работы (это отдельная и большая тема).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Из всей гаммы токсичных веществ</w:t>
      </w:r>
      <w:r>
        <w:t xml:space="preserve">, </w:t>
      </w:r>
      <w:r w:rsidRPr="005E5C86">
        <w:t>находящихся в дымовых газах ТЭС</w:t>
      </w:r>
      <w:r>
        <w:t xml:space="preserve">, </w:t>
      </w:r>
      <w:r w:rsidRPr="005E5C86">
        <w:t>наибольшую опасность представляют окислы азота (NOХ)</w:t>
      </w:r>
      <w:r>
        <w:t xml:space="preserve">, </w:t>
      </w:r>
      <w:r w:rsidRPr="005E5C86">
        <w:t>зола</w:t>
      </w:r>
      <w:r>
        <w:t xml:space="preserve">, </w:t>
      </w:r>
      <w:r w:rsidRPr="005E5C86">
        <w:t>двуокись серы (SO2 )</w:t>
      </w:r>
      <w:r>
        <w:t xml:space="preserve">, </w:t>
      </w:r>
      <w:r w:rsidRPr="005E5C86">
        <w:t>.Выбросы именно этих веществ регламентируются жесткими нормами (табл.1).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Ниже рассмотрены некоторые способы очистки дымовых газов.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Пути снижения выбросов окислов азота (NOХ).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Источником оксидов</w:t>
      </w:r>
      <w:r>
        <w:t xml:space="preserve"> </w:t>
      </w:r>
      <w:r w:rsidRPr="005E5C86">
        <w:t>азота на ТЭС является молекулярный азот воздуха и азотосодержащие компоненты топлива. Первые часто называют "термические"</w:t>
      </w:r>
      <w:r>
        <w:t xml:space="preserve">, </w:t>
      </w:r>
      <w:r w:rsidRPr="005E5C86">
        <w:t>вторые</w:t>
      </w:r>
      <w:r>
        <w:t xml:space="preserve"> - </w:t>
      </w:r>
      <w:r w:rsidRPr="005E5C86">
        <w:t>"топливные" оксиды азота.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Методы химической очистки газов от NOХ бывают: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окислительные</w:t>
      </w:r>
      <w:r>
        <w:t xml:space="preserve">, </w:t>
      </w:r>
      <w:r w:rsidRPr="005E5C86">
        <w:t>основанные на окислении оксида азота в диоксид с последующим поглощением различными поглотителями;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восстановительные</w:t>
      </w:r>
      <w:r>
        <w:t xml:space="preserve">, </w:t>
      </w:r>
      <w:r w:rsidRPr="005E5C86">
        <w:t>основанные на восстановлении оксида азота до азота и кислорода с применением катализаторов;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сорбционные</w:t>
      </w:r>
      <w:r>
        <w:t xml:space="preserve">, </w:t>
      </w:r>
      <w:r w:rsidRPr="005E5C86">
        <w:t>основанные на поглощении оксидов азота различными сорбентами (цеолитами</w:t>
      </w:r>
      <w:r>
        <w:t xml:space="preserve">, </w:t>
      </w:r>
      <w:r w:rsidRPr="005E5C86">
        <w:t>торфом</w:t>
      </w:r>
      <w:r>
        <w:t xml:space="preserve">, </w:t>
      </w:r>
      <w:r w:rsidRPr="005E5C86">
        <w:t>коксом</w:t>
      </w:r>
      <w:r>
        <w:t xml:space="preserve">, </w:t>
      </w:r>
      <w:r w:rsidRPr="005E5C86">
        <w:t>водными растворами щелочей и др.).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Применительно к очистке дымовых газов котлов наиболее перспективны восстановительные методы. Один из них</w:t>
      </w:r>
      <w:r>
        <w:t xml:space="preserve"> - </w:t>
      </w:r>
      <w:r w:rsidRPr="005E5C86">
        <w:t>метод восстановления с помощью аммиака. Этот метод основан на взаимодействии аммиака с оксидами азота при определенных температурах по следующим основным реакциям:</w:t>
      </w:r>
    </w:p>
    <w:p w:rsidR="000F1266" w:rsidRPr="005E5C86" w:rsidRDefault="000F1266" w:rsidP="000F1266">
      <w:pPr>
        <w:spacing w:before="120"/>
        <w:ind w:firstLine="567"/>
        <w:jc w:val="both"/>
        <w:rPr>
          <w:lang w:val="en-US"/>
        </w:rPr>
      </w:pPr>
      <w:r w:rsidRPr="005E5C86">
        <w:rPr>
          <w:lang w:val="en-US"/>
        </w:rPr>
        <w:t>4NO+4NH3+O2</w:t>
      </w:r>
      <w:r w:rsidRPr="005E5C86">
        <w:sym w:font="Symbol" w:char="F0AE"/>
      </w:r>
      <w:r w:rsidRPr="005E5C86">
        <w:rPr>
          <w:lang w:val="en-US"/>
        </w:rPr>
        <w:t>4N2+6H2O;</w:t>
      </w:r>
    </w:p>
    <w:p w:rsidR="000F1266" w:rsidRPr="005E5C86" w:rsidRDefault="000F1266" w:rsidP="000F1266">
      <w:pPr>
        <w:spacing w:before="120"/>
        <w:ind w:firstLine="567"/>
        <w:jc w:val="both"/>
        <w:rPr>
          <w:lang w:val="en-US"/>
        </w:rPr>
      </w:pPr>
      <w:r w:rsidRPr="005E5C86">
        <w:rPr>
          <w:lang w:val="en-US"/>
        </w:rPr>
        <w:t>6NO+8NH3</w:t>
      </w:r>
      <w:r w:rsidRPr="005E5C86">
        <w:sym w:font="Symbol" w:char="F0AE"/>
      </w:r>
      <w:r w:rsidRPr="005E5C86">
        <w:rPr>
          <w:lang w:val="en-US"/>
        </w:rPr>
        <w:t>7N2+12H2O.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При высоких температурах (900...1100О С) они протекают без катализаторов. Дозирование аммиака осуществляется в зависимости от режимов работы котла</w:t>
      </w:r>
      <w:r>
        <w:t xml:space="preserve">, </w:t>
      </w:r>
      <w:r w:rsidRPr="005E5C86">
        <w:t>чтобы исключить его проскок в атмосферу (на практике полностью исключить проскок аммиака не удается и он может составлять 3</w:t>
      </w:r>
      <w:r>
        <w:t xml:space="preserve">, </w:t>
      </w:r>
      <w:r w:rsidRPr="005E5C86">
        <w:t>8 мг/м3 ). При более низких температурах (573...723 К) реакция разложения оксидов азота протекает только в присутствии катализатора. В качестве катализаторов используются оксиды различных металлов (титан</w:t>
      </w:r>
      <w:r>
        <w:t xml:space="preserve">, </w:t>
      </w:r>
      <w:r w:rsidRPr="005E5C86">
        <w:t>хром</w:t>
      </w:r>
      <w:r>
        <w:t xml:space="preserve">, </w:t>
      </w:r>
      <w:r w:rsidRPr="005E5C86">
        <w:t>ванадий). Они наносятся на элементы с развитой поверхностью</w:t>
      </w:r>
      <w:r>
        <w:t xml:space="preserve">, </w:t>
      </w:r>
      <w:r w:rsidRPr="005E5C86">
        <w:t>выполненные в виде сот</w:t>
      </w:r>
      <w:r>
        <w:t xml:space="preserve">, </w:t>
      </w:r>
      <w:r w:rsidRPr="005E5C86">
        <w:t>гранул или пластин.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В связи с опасностью использования аммиака (высокая токсичность)</w:t>
      </w:r>
      <w:r>
        <w:t xml:space="preserve">, </w:t>
      </w:r>
      <w:r w:rsidRPr="005E5C86">
        <w:t>и необходимостью специальных мер защиты персонала</w:t>
      </w:r>
      <w:r>
        <w:t xml:space="preserve">, </w:t>
      </w:r>
      <w:r w:rsidRPr="005E5C86">
        <w:t>за рубежом</w:t>
      </w:r>
      <w:r>
        <w:t xml:space="preserve">, </w:t>
      </w:r>
      <w:r w:rsidRPr="005E5C86">
        <w:t>в частности в Германии</w:t>
      </w:r>
      <w:r>
        <w:t xml:space="preserve">, </w:t>
      </w:r>
      <w:r w:rsidRPr="005E5C86">
        <w:t>проходят промышленные испытания установки с использованием вместо аммиака карбамида</w:t>
      </w:r>
      <w:r>
        <w:t xml:space="preserve">, </w:t>
      </w:r>
      <w:r w:rsidRPr="005E5C86">
        <w:t>по другому мочевины (NH2)2СО. Степень восстановления оксидов азота достигает 80...90%.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Следует отметить</w:t>
      </w:r>
      <w:r>
        <w:t xml:space="preserve">, </w:t>
      </w:r>
      <w:r w:rsidRPr="005E5C86">
        <w:t>что в последнее время наибольшее внимание уделяется таким методам</w:t>
      </w:r>
      <w:r>
        <w:t xml:space="preserve">, </w:t>
      </w:r>
      <w:r w:rsidRPr="005E5C86">
        <w:t>которые позволяют одновременно снижать выбросы не только оксидов азота</w:t>
      </w:r>
      <w:r>
        <w:t xml:space="preserve">, </w:t>
      </w:r>
      <w:r w:rsidRPr="005E5C86">
        <w:t>но и серы. В этом направлении изучаются возможности традиционных способов очистки и ведутся работы по созданию новых и в нашей стране и за рубежом.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Выбросы золы и очистка от них.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Зола представляет из себя твердые частицы негорючих элементов угля. В основном</w:t>
      </w:r>
      <w:r>
        <w:t xml:space="preserve"> - </w:t>
      </w:r>
      <w:r w:rsidRPr="005E5C86">
        <w:t>это оксиды кремния (SiO2)</w:t>
      </w:r>
      <w:r>
        <w:t xml:space="preserve">, </w:t>
      </w:r>
      <w:r w:rsidRPr="005E5C86">
        <w:t>железа (Fe2O3)</w:t>
      </w:r>
      <w:r>
        <w:t xml:space="preserve">, </w:t>
      </w:r>
      <w:r w:rsidRPr="005E5C86">
        <w:t>алюминия (Аl2O3)</w:t>
      </w:r>
      <w:r>
        <w:t xml:space="preserve">, </w:t>
      </w:r>
      <w:r w:rsidRPr="005E5C86">
        <w:t>магния (MgO)</w:t>
      </w:r>
      <w:r>
        <w:t xml:space="preserve">, </w:t>
      </w:r>
      <w:r w:rsidRPr="005E5C86">
        <w:t>кальция (СаО)</w:t>
      </w:r>
      <w:r>
        <w:t xml:space="preserve">, </w:t>
      </w:r>
      <w:r w:rsidRPr="005E5C86">
        <w:t>серы (SO3) и некоторые другие</w:t>
      </w:r>
      <w:r>
        <w:t xml:space="preserve">, </w:t>
      </w:r>
      <w:r w:rsidRPr="005E5C86">
        <w:t>в том числе незначительное количество мышьяка и тяжелых металлов (свинец</w:t>
      </w:r>
      <w:r>
        <w:t xml:space="preserve">, </w:t>
      </w:r>
      <w:r w:rsidRPr="005E5C86">
        <w:t>ванадий</w:t>
      </w:r>
      <w:r>
        <w:t xml:space="preserve">, </w:t>
      </w:r>
      <w:r w:rsidRPr="005E5C86">
        <w:t>хром</w:t>
      </w:r>
      <w:r>
        <w:t xml:space="preserve">, </w:t>
      </w:r>
      <w:r w:rsidRPr="005E5C86">
        <w:t xml:space="preserve">цинк). Для разных углей элементарный состав золы может значительно отличаться друг от друга. 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Однако</w:t>
      </w:r>
      <w:r>
        <w:t xml:space="preserve">, </w:t>
      </w:r>
      <w:r w:rsidRPr="005E5C86">
        <w:t>основной параметр</w:t>
      </w:r>
      <w:r>
        <w:t xml:space="preserve">, </w:t>
      </w:r>
      <w:r w:rsidRPr="005E5C86">
        <w:t>характеризующий золовые частицы</w:t>
      </w:r>
      <w:r>
        <w:t xml:space="preserve"> - </w:t>
      </w:r>
      <w:r w:rsidRPr="005E5C86">
        <w:t>это их размеры или дисперсность. Они колеблются в широких пределах</w:t>
      </w:r>
      <w:r>
        <w:t xml:space="preserve"> - </w:t>
      </w:r>
      <w:r w:rsidRPr="005E5C86">
        <w:t>от десятых и сотых долей микрона до 100 мкм и более</w:t>
      </w:r>
      <w:r>
        <w:t xml:space="preserve">, </w:t>
      </w:r>
      <w:r w:rsidRPr="005E5C86">
        <w:t>и зависят от способа сжигания.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Следует отметить</w:t>
      </w:r>
      <w:r>
        <w:t xml:space="preserve">, </w:t>
      </w:r>
      <w:r w:rsidRPr="005E5C86">
        <w:t>что наибольшую опасность для человека представляют частицы размером 0</w:t>
      </w:r>
      <w:r>
        <w:t xml:space="preserve">, </w:t>
      </w:r>
      <w:r w:rsidRPr="005E5C86">
        <w:t>5...5 мкм</w:t>
      </w:r>
      <w:r>
        <w:t xml:space="preserve">, </w:t>
      </w:r>
      <w:r w:rsidRPr="005E5C86">
        <w:t>более крупные задерживаются в полости носа</w:t>
      </w:r>
      <w:r>
        <w:t xml:space="preserve">, </w:t>
      </w:r>
      <w:r w:rsidRPr="005E5C86">
        <w:t>более мелкие</w:t>
      </w:r>
      <w:r>
        <w:t xml:space="preserve"> - </w:t>
      </w:r>
      <w:r w:rsidRPr="005E5C86">
        <w:t xml:space="preserve">выдыхаются. 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Аппараты золоочистки</w:t>
      </w:r>
      <w:r>
        <w:t xml:space="preserve">, </w:t>
      </w:r>
      <w:r w:rsidRPr="005E5C86">
        <w:t>точнее</w:t>
      </w:r>
      <w:r>
        <w:t xml:space="preserve"> - </w:t>
      </w:r>
      <w:r w:rsidRPr="005E5C86">
        <w:t>уловители аэрозолей</w:t>
      </w:r>
      <w:r>
        <w:t xml:space="preserve">, </w:t>
      </w:r>
      <w:r w:rsidRPr="005E5C86">
        <w:t>и диапазон размеров улавливаемых ими частиц показан на рисунке 1.</w:t>
      </w:r>
    </w:p>
    <w:p w:rsidR="000F1266" w:rsidRDefault="00AA5378" w:rsidP="000F1266">
      <w:pPr>
        <w:spacing w:before="120"/>
        <w:ind w:firstLine="567"/>
        <w:jc w:val="both"/>
      </w:pPr>
      <w:r>
        <w:rPr>
          <w:noProof/>
        </w:rPr>
        <w:pict>
          <v:shape id="_x0000_s1027" type="#_x0000_t75" style="position:absolute;left:0;text-align:left;margin-left:15.95pt;margin-top:57.05pt;width:446pt;height:4in;z-index:251657728" wrapcoords="1107 273 1071 930 3749 1148 10782 1148 0 1805 0 2515 5034 2898 357 3062 357 21545 20600 21545 20707 3062 16387 2898 21243 2515 21279 1805 10782 1148 7140 437 6177 383 1464 273 1107 273">
            <v:imagedata r:id="rId5" o:title=""/>
            <w10:wrap type="square"/>
          </v:shape>
        </w:pict>
      </w:r>
      <w:r w:rsidR="000F1266">
        <w:t xml:space="preserve"> </w:t>
      </w:r>
      <w:r w:rsidR="000F1266" w:rsidRPr="005E5C86">
        <w:t>Кроме представленных на рисунке</w:t>
      </w:r>
      <w:r w:rsidR="000F1266">
        <w:t xml:space="preserve">, </w:t>
      </w:r>
      <w:r w:rsidR="000F1266" w:rsidRPr="005E5C86">
        <w:t>существует ряд перспективных пылеулавливающих устройств. К ним относятся: конденсационный пылеуловитель</w:t>
      </w:r>
      <w:r w:rsidR="000F1266">
        <w:t xml:space="preserve">, </w:t>
      </w:r>
      <w:r w:rsidR="000F1266" w:rsidRPr="005E5C86">
        <w:t>в</w:t>
      </w:r>
      <w:r w:rsidR="000F1266">
        <w:t xml:space="preserve"> </w:t>
      </w:r>
      <w:r w:rsidR="000F1266" w:rsidRPr="005E5C86">
        <w:t>котором</w:t>
      </w:r>
      <w:r w:rsidR="000F1266">
        <w:t xml:space="preserve"> </w:t>
      </w:r>
      <w:r w:rsidR="000F1266" w:rsidRPr="005E5C86">
        <w:t>применены два механизма осаждения (во-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Рис. 1. Аппараты для улавливания взвешенных частиц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первых</w:t>
      </w:r>
      <w:r>
        <w:t xml:space="preserve">, </w:t>
      </w:r>
      <w:r w:rsidRPr="005E5C86">
        <w:t>укрупнение частиц при конденсации на них паров из парогазовой смеси путем смешения</w:t>
      </w:r>
      <w:r>
        <w:t xml:space="preserve"> </w:t>
      </w:r>
      <w:r w:rsidRPr="005E5C86">
        <w:t>очищаемых</w:t>
      </w:r>
      <w:r>
        <w:t xml:space="preserve"> </w:t>
      </w:r>
      <w:r w:rsidRPr="005E5C86">
        <w:t>газов с паром</w:t>
      </w:r>
      <w:r>
        <w:t xml:space="preserve">, </w:t>
      </w:r>
      <w:r w:rsidRPr="005E5C86">
        <w:t>во вторых</w:t>
      </w:r>
      <w:r>
        <w:t xml:space="preserve"> - </w:t>
      </w:r>
      <w:r w:rsidRPr="005E5C86">
        <w:t>частицы (при охлаждении парогазовой смеси) захватываются потоком</w:t>
      </w:r>
      <w:r>
        <w:t xml:space="preserve"> </w:t>
      </w:r>
      <w:r w:rsidRPr="005E5C86">
        <w:t>пара</w:t>
      </w:r>
      <w:r>
        <w:t xml:space="preserve">, </w:t>
      </w:r>
      <w:r w:rsidRPr="005E5C86">
        <w:t xml:space="preserve">диффундирующим к центрам конденсации (каплям охлаждающей жидкости) или охлаждающим поверхностям. Таким способом можно осадить даже субмикронные частицы. 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 xml:space="preserve">В последнее время особое внимание уделяется возможностям 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золоуловителей подавлять окислы серы и азота путем ввода в орошающую воду разных добавок. В разных случаях (в</w:t>
      </w:r>
      <w:r>
        <w:t xml:space="preserve"> </w:t>
      </w:r>
      <w:r w:rsidRPr="005E5C86">
        <w:t>зависимости от вида топлива</w:t>
      </w:r>
      <w:r>
        <w:t xml:space="preserve">, </w:t>
      </w:r>
      <w:r w:rsidRPr="005E5C86">
        <w:t>его качества</w:t>
      </w:r>
      <w:r>
        <w:t xml:space="preserve">, </w:t>
      </w:r>
      <w:r w:rsidRPr="005E5C86">
        <w:t>режима</w:t>
      </w:r>
      <w:r>
        <w:t xml:space="preserve"> </w:t>
      </w:r>
      <w:r w:rsidRPr="005E5C86">
        <w:t>работы</w:t>
      </w:r>
      <w:r>
        <w:t xml:space="preserve"> </w:t>
      </w:r>
      <w:r w:rsidRPr="005E5C86">
        <w:t>котла</w:t>
      </w:r>
      <w:r>
        <w:t xml:space="preserve">, </w:t>
      </w:r>
      <w:r w:rsidRPr="005E5C86">
        <w:t xml:space="preserve">типа присадок и способа их ввода и т.п.) можно снизить эти выбросы на 10...20%. 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Выбросы серы и очистка от них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Твердое топливо может содержать серу в следующих формах: колчедана Fe2S и пирита FeS2 в составе молекул органической части топлива и в виде сульфатов в минеральной части. Соединения серы в результате горения превращаются в оксиды серы</w:t>
      </w:r>
      <w:r>
        <w:t xml:space="preserve">, </w:t>
      </w:r>
      <w:r w:rsidRPr="005E5C86">
        <w:t>причем около 99% составляет сернистый ангидрид SO2</w:t>
      </w:r>
      <w:r>
        <w:t xml:space="preserve">, </w:t>
      </w:r>
      <w:r w:rsidRPr="005E5C86">
        <w:t>остальная часть выделяется в виде триоксида серы SO3 либо сульфатов СаSO4.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Наиболее распространенными методами сероочистки являются следующие: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а) мокрый известняковый (известковый) способ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б) мокро-сухой способ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 xml:space="preserve">в) магнезитовый циклический способ 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 xml:space="preserve">г) аммиачно-циклический способ 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д) сухой известняковый (аддитивный) способ.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В их основе лежит использование реагента для связывания оксидов серы. В</w:t>
      </w:r>
      <w:r>
        <w:t xml:space="preserve"> </w:t>
      </w:r>
      <w:r w:rsidRPr="005E5C86">
        <w:t>качестве такого вещества чаще всего выступает известняк СаСО3 (карбонат кальция) или известь Са(ОН)2 (гидрат оксида кальция)</w:t>
      </w:r>
      <w:r>
        <w:t xml:space="preserve">, </w:t>
      </w:r>
      <w:r w:rsidRPr="005E5C86">
        <w:t xml:space="preserve">так как они являются наиболее дешевыми щелочными реагентами. КПД сероподавления лежит в пределах 80...90% при разнице в затратах для “мокрых” способов (с учетом эксплуатационных издержек) на уровне 20% . 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При относительно равных возможностях сероподавления и равных затратах на производство и эксплуатацию вид</w:t>
      </w:r>
      <w:r>
        <w:t xml:space="preserve">, </w:t>
      </w:r>
      <w:r w:rsidRPr="005E5C86">
        <w:t>сероочистки должен определяться как свойствами используемого угля</w:t>
      </w:r>
      <w:r>
        <w:t xml:space="preserve">, </w:t>
      </w:r>
      <w:r w:rsidRPr="005E5C86">
        <w:t>так и свойствами его золы. Для КАУ</w:t>
      </w:r>
      <w:r>
        <w:t xml:space="preserve">, </w:t>
      </w:r>
      <w:r w:rsidRPr="005E5C86">
        <w:t>например</w:t>
      </w:r>
      <w:r>
        <w:t xml:space="preserve">, </w:t>
      </w:r>
      <w:r w:rsidRPr="005E5C86">
        <w:t>при высоком содержании Са в золе</w:t>
      </w:r>
      <w:r>
        <w:t xml:space="preserve">, </w:t>
      </w:r>
      <w:r w:rsidRPr="005E5C86">
        <w:t>неприемлемы “мокрые” способы сероподавления из-за образования в аппаратах сероочистки трудноудаляемых отложений гипса. В то же время</w:t>
      </w:r>
      <w:r>
        <w:t xml:space="preserve">, </w:t>
      </w:r>
      <w:r w:rsidRPr="005E5C86">
        <w:t xml:space="preserve">“сухой” известняковый способ является наиболее простым и требует минимальных капиталовложений. 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Сущность способа заключается в добавлении к сжигаемому топливу известняка или доломита в количестве</w:t>
      </w:r>
      <w:r>
        <w:t xml:space="preserve">, </w:t>
      </w:r>
      <w:r w:rsidRPr="005E5C86">
        <w:t>примерно в два раза превышающем стехиометрически содержание серы в исходном топливе. В топке под воздействием температуры известняк диссоциирует на углекислоту и оксид кальция</w:t>
      </w:r>
      <w:r>
        <w:t xml:space="preserve">, </w:t>
      </w:r>
      <w:r w:rsidRPr="005E5C86">
        <w:t xml:space="preserve">а последний взаимодействует с сернистым ангидридом: </w:t>
      </w:r>
    </w:p>
    <w:p w:rsidR="000F1266" w:rsidRPr="005E5C86" w:rsidRDefault="000F1266" w:rsidP="000F1266">
      <w:pPr>
        <w:spacing w:before="120"/>
        <w:ind w:firstLine="567"/>
        <w:jc w:val="both"/>
        <w:rPr>
          <w:lang w:val="en-US"/>
        </w:rPr>
      </w:pPr>
      <w:r w:rsidRPr="005E5C86">
        <w:rPr>
          <w:lang w:val="en-US"/>
        </w:rPr>
        <w:t>CaCO3 t</w:t>
      </w:r>
      <w:r w:rsidRPr="005E5C86">
        <w:sym w:font="Symbol" w:char="F0AE"/>
      </w:r>
      <w:r w:rsidRPr="005E5C86">
        <w:rPr>
          <w:lang w:val="en-US"/>
        </w:rPr>
        <w:t>CaO+CO2</w:t>
      </w:r>
    </w:p>
    <w:p w:rsidR="000F1266" w:rsidRPr="005E5C86" w:rsidRDefault="000F1266" w:rsidP="000F1266">
      <w:pPr>
        <w:spacing w:before="120"/>
        <w:ind w:firstLine="567"/>
        <w:jc w:val="both"/>
        <w:rPr>
          <w:lang w:val="en-US"/>
        </w:rPr>
      </w:pPr>
      <w:r w:rsidRPr="005E5C86">
        <w:rPr>
          <w:lang w:val="en-US"/>
        </w:rPr>
        <w:t xml:space="preserve">CaO+SO2+1/2O2 </w:t>
      </w:r>
      <w:r w:rsidRPr="005E5C86">
        <w:sym w:font="Symbol" w:char="F0AE"/>
      </w:r>
      <w:r w:rsidRPr="005E5C86">
        <w:rPr>
          <w:lang w:val="en-US"/>
        </w:rPr>
        <w:t>CaSO4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В результате образуется сульфат кальция</w:t>
      </w:r>
      <w:r>
        <w:t xml:space="preserve">, </w:t>
      </w:r>
      <w:r w:rsidRPr="005E5C86">
        <w:t xml:space="preserve">который вместе с золой улавливается в золоуловителях. 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Заключение.</w:t>
      </w:r>
      <w:r>
        <w:t xml:space="preserve"> 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В данном реферате рассмотрены некоторые пути уменьшения вредных выбросов: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Окислов азота.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Методы химической очистки: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окислительные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восстановительные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сорбционные.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Золы.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Системы золоулавливания.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3)Серы.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Способы: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мокрый известняковый (известковый) способ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>мокро-сухой способ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 xml:space="preserve">магнезитовый циклический способ </w:t>
      </w:r>
    </w:p>
    <w:p w:rsidR="000F1266" w:rsidRPr="005E5C86" w:rsidRDefault="000F1266" w:rsidP="000F1266">
      <w:pPr>
        <w:spacing w:before="120"/>
        <w:ind w:firstLine="567"/>
        <w:jc w:val="both"/>
      </w:pPr>
      <w:r w:rsidRPr="005E5C86">
        <w:t xml:space="preserve">аммиачно-циклический способ 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сухой известняковый (аддитивный) способ.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Следует иметь в виду</w:t>
      </w:r>
      <w:r>
        <w:t xml:space="preserve">, </w:t>
      </w:r>
      <w:r w:rsidRPr="005E5C86">
        <w:t>что существует большое разнообразие способов и методов очистки</w:t>
      </w:r>
      <w:r>
        <w:t xml:space="preserve">, </w:t>
      </w:r>
      <w:r w:rsidRPr="005E5C86">
        <w:t>здесь рассмотрены далеко не все.</w:t>
      </w:r>
    </w:p>
    <w:p w:rsidR="000F1266" w:rsidRPr="005E5C86" w:rsidRDefault="000F1266" w:rsidP="000F1266">
      <w:pPr>
        <w:spacing w:before="120"/>
        <w:jc w:val="center"/>
        <w:rPr>
          <w:b/>
          <w:sz w:val="28"/>
        </w:rPr>
      </w:pPr>
      <w:r w:rsidRPr="005E5C86">
        <w:rPr>
          <w:b/>
          <w:sz w:val="28"/>
        </w:rPr>
        <w:t>Список литературы</w:t>
      </w:r>
    </w:p>
    <w:p w:rsidR="000F1266" w:rsidRDefault="000F1266" w:rsidP="000F1266">
      <w:pPr>
        <w:spacing w:before="120"/>
        <w:ind w:firstLine="567"/>
        <w:jc w:val="both"/>
      </w:pPr>
      <w:r w:rsidRPr="005E5C86">
        <w:t>Щинников П.А.</w:t>
      </w:r>
      <w:r>
        <w:t xml:space="preserve">, </w:t>
      </w:r>
      <w:r w:rsidRPr="005E5C86">
        <w:t>Особенности природоохранных</w:t>
      </w:r>
      <w:r>
        <w:t xml:space="preserve"> </w:t>
      </w:r>
      <w:r w:rsidRPr="005E5C86">
        <w:t>мероприятий на ТЭС. Курс лекций. http://tes.power.nstu.ru/index.php?id=21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266"/>
    <w:rsid w:val="000F1266"/>
    <w:rsid w:val="001A35F6"/>
    <w:rsid w:val="002646F6"/>
    <w:rsid w:val="00536C0F"/>
    <w:rsid w:val="005E5C86"/>
    <w:rsid w:val="00803792"/>
    <w:rsid w:val="00811DD4"/>
    <w:rsid w:val="00AA5378"/>
    <w:rsid w:val="00BC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BD57C4E2-F67A-440C-8E6B-7D1F8EF9A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2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F12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Пути снижения вредных выбросов ТЭС на органическом топливе»</vt:lpstr>
    </vt:vector>
  </TitlesOfParts>
  <Company>Home</Company>
  <LinksUpToDate>false</LinksUpToDate>
  <CharactersWithSpaces>13283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Пути снижения вредных выбросов ТЭС на органическом топливе»</dc:title>
  <dc:subject/>
  <dc:creator>User</dc:creator>
  <cp:keywords/>
  <dc:description/>
  <cp:lastModifiedBy>admin</cp:lastModifiedBy>
  <cp:revision>2</cp:revision>
  <dcterms:created xsi:type="dcterms:W3CDTF">2014-03-28T16:57:00Z</dcterms:created>
  <dcterms:modified xsi:type="dcterms:W3CDTF">2014-03-28T16:57:00Z</dcterms:modified>
</cp:coreProperties>
</file>