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EA4" w:rsidRPr="00070C23" w:rsidRDefault="00567EA4" w:rsidP="00567EA4">
      <w:pPr>
        <w:pStyle w:val="2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70C23">
        <w:rPr>
          <w:rFonts w:ascii="Times New Roman" w:hAnsi="Times New Roman"/>
          <w:bCs/>
          <w:sz w:val="28"/>
          <w:szCs w:val="28"/>
        </w:rPr>
        <w:t>СОДЕРЖАНИЕ</w:t>
      </w:r>
    </w:p>
    <w:p w:rsidR="000F609D" w:rsidRPr="00070C23" w:rsidRDefault="000F609D" w:rsidP="00567EA4">
      <w:pPr>
        <w:pStyle w:val="2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F609D" w:rsidRPr="00070C23" w:rsidRDefault="000F609D" w:rsidP="00070C23">
      <w:pPr>
        <w:tabs>
          <w:tab w:val="right" w:leader="dot" w:pos="9923"/>
        </w:tabs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1</w:t>
      </w:r>
      <w:r w:rsidR="00D64B55">
        <w:rPr>
          <w:sz w:val="28"/>
          <w:szCs w:val="28"/>
          <w:lang w:val="uk-UA"/>
        </w:rPr>
        <w:t>.</w:t>
      </w:r>
      <w:r w:rsidRPr="00070C23">
        <w:rPr>
          <w:sz w:val="28"/>
          <w:szCs w:val="28"/>
        </w:rPr>
        <w:t xml:space="preserve"> Общая часть</w:t>
      </w:r>
    </w:p>
    <w:p w:rsidR="000F609D" w:rsidRPr="00070C23" w:rsidRDefault="000F609D" w:rsidP="00070C23">
      <w:pPr>
        <w:tabs>
          <w:tab w:val="right" w:leader="dot" w:pos="9923"/>
        </w:tabs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2</w:t>
      </w:r>
      <w:r w:rsidR="00D64B55">
        <w:rPr>
          <w:sz w:val="28"/>
          <w:szCs w:val="28"/>
          <w:lang w:val="uk-UA"/>
        </w:rPr>
        <w:t>.</w:t>
      </w:r>
      <w:r w:rsidRPr="00070C23">
        <w:rPr>
          <w:sz w:val="28"/>
          <w:szCs w:val="28"/>
        </w:rPr>
        <w:t xml:space="preserve"> Основные проектные решения</w:t>
      </w:r>
    </w:p>
    <w:p w:rsidR="000F609D" w:rsidRPr="00070C23" w:rsidRDefault="000F609D" w:rsidP="00070C23">
      <w:pPr>
        <w:tabs>
          <w:tab w:val="right" w:leader="dot" w:pos="9923"/>
        </w:tabs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3</w:t>
      </w:r>
      <w:r w:rsidR="00D64B55">
        <w:rPr>
          <w:sz w:val="28"/>
          <w:szCs w:val="28"/>
          <w:lang w:val="uk-UA"/>
        </w:rPr>
        <w:t>.</w:t>
      </w:r>
      <w:r w:rsidRPr="00070C23">
        <w:rPr>
          <w:sz w:val="28"/>
          <w:szCs w:val="28"/>
        </w:rPr>
        <w:t xml:space="preserve"> Состояние окружающей природной среды в районе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размещения объекта</w:t>
      </w:r>
    </w:p>
    <w:p w:rsidR="000F609D" w:rsidRPr="00070C23" w:rsidRDefault="000F609D" w:rsidP="00070C23">
      <w:pPr>
        <w:tabs>
          <w:tab w:val="right" w:leader="dot" w:pos="9923"/>
        </w:tabs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4</w:t>
      </w:r>
      <w:r w:rsidR="00D64B55">
        <w:rPr>
          <w:sz w:val="28"/>
          <w:szCs w:val="28"/>
          <w:lang w:val="uk-UA"/>
        </w:rPr>
        <w:t>.</w:t>
      </w:r>
      <w:r w:rsidRPr="00070C23">
        <w:rPr>
          <w:sz w:val="28"/>
          <w:szCs w:val="28"/>
        </w:rPr>
        <w:t xml:space="preserve"> Воздействие проектируемого объекта на компоненты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окружающей природной среды</w:t>
      </w:r>
    </w:p>
    <w:p w:rsidR="000F609D" w:rsidRPr="00070C23" w:rsidRDefault="000F609D" w:rsidP="00070C23">
      <w:pPr>
        <w:pStyle w:val="a3"/>
        <w:tabs>
          <w:tab w:val="clear" w:pos="4536"/>
          <w:tab w:val="clear" w:pos="9072"/>
          <w:tab w:val="right" w:leader="dot" w:pos="992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5</w:t>
      </w:r>
      <w:r w:rsidR="00D64B55">
        <w:rPr>
          <w:rFonts w:ascii="Times New Roman" w:hAnsi="Times New Roman"/>
          <w:sz w:val="28"/>
          <w:szCs w:val="28"/>
          <w:lang w:val="uk-UA"/>
        </w:rPr>
        <w:t>.</w:t>
      </w:r>
      <w:r w:rsidRPr="00070C23">
        <w:rPr>
          <w:rFonts w:ascii="Times New Roman" w:hAnsi="Times New Roman"/>
          <w:sz w:val="28"/>
          <w:szCs w:val="28"/>
        </w:rPr>
        <w:t xml:space="preserve"> Мероприятия по снижению (предупреждению) отрицательного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 xml:space="preserve">воздействия </w:t>
      </w:r>
    </w:p>
    <w:p w:rsidR="000F609D" w:rsidRPr="00070C23" w:rsidRDefault="000F609D" w:rsidP="00070C23">
      <w:pPr>
        <w:pStyle w:val="a3"/>
        <w:tabs>
          <w:tab w:val="clear" w:pos="4536"/>
          <w:tab w:val="clear" w:pos="9072"/>
          <w:tab w:val="right" w:leader="dot" w:pos="992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проектируемого объекта на окружающую среду</w:t>
      </w:r>
    </w:p>
    <w:p w:rsidR="000F609D" w:rsidRPr="00070C23" w:rsidRDefault="000F609D" w:rsidP="00070C23">
      <w:pPr>
        <w:tabs>
          <w:tab w:val="right" w:leader="dot" w:pos="9923"/>
        </w:tabs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5.1 Охрана атмосферного воздуха от загрязнения</w:t>
      </w:r>
    </w:p>
    <w:p w:rsidR="000F609D" w:rsidRPr="00070C23" w:rsidRDefault="000F609D" w:rsidP="00070C23">
      <w:pPr>
        <w:tabs>
          <w:tab w:val="right" w:leader="dot" w:pos="9923"/>
        </w:tabs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5.2 Охрана водных ресурсов</w:t>
      </w:r>
    </w:p>
    <w:p w:rsidR="000F609D" w:rsidRPr="00070C23" w:rsidRDefault="000F609D" w:rsidP="00070C23">
      <w:pPr>
        <w:tabs>
          <w:tab w:val="right" w:leader="dot" w:pos="9923"/>
        </w:tabs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5.3 Охрана и рациональное использование земель</w:t>
      </w:r>
    </w:p>
    <w:p w:rsidR="000F609D" w:rsidRPr="00070C23" w:rsidRDefault="000F609D" w:rsidP="00070C23">
      <w:pPr>
        <w:tabs>
          <w:tab w:val="right" w:leader="dot" w:pos="9923"/>
        </w:tabs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6</w:t>
      </w:r>
      <w:r w:rsidR="00D64B55">
        <w:rPr>
          <w:sz w:val="28"/>
          <w:szCs w:val="28"/>
          <w:lang w:val="uk-UA"/>
        </w:rPr>
        <w:t>.</w:t>
      </w:r>
      <w:r w:rsidRPr="00070C23">
        <w:rPr>
          <w:sz w:val="28"/>
          <w:szCs w:val="28"/>
        </w:rPr>
        <w:t xml:space="preserve"> Прогнозирование изменения состояния природной среды</w:t>
      </w:r>
    </w:p>
    <w:p w:rsidR="000F609D" w:rsidRPr="00070C23" w:rsidRDefault="000F609D" w:rsidP="00070C23">
      <w:pPr>
        <w:pStyle w:val="a3"/>
        <w:tabs>
          <w:tab w:val="clear" w:pos="4536"/>
          <w:tab w:val="clear" w:pos="9072"/>
          <w:tab w:val="right" w:leader="dot" w:pos="992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7</w:t>
      </w:r>
      <w:r w:rsidR="00D64B55">
        <w:rPr>
          <w:rFonts w:ascii="Times New Roman" w:hAnsi="Times New Roman"/>
          <w:sz w:val="28"/>
          <w:szCs w:val="28"/>
          <w:lang w:val="uk-UA"/>
        </w:rPr>
        <w:t>.</w:t>
      </w:r>
      <w:r w:rsidRPr="00070C23">
        <w:rPr>
          <w:rFonts w:ascii="Times New Roman" w:hAnsi="Times New Roman"/>
          <w:sz w:val="28"/>
          <w:szCs w:val="28"/>
        </w:rPr>
        <w:t xml:space="preserve"> Заявление об экологических последствиях</w:t>
      </w:r>
    </w:p>
    <w:p w:rsidR="000F609D" w:rsidRPr="00070C23" w:rsidRDefault="000F609D" w:rsidP="00070C23">
      <w:pPr>
        <w:tabs>
          <w:tab w:val="right" w:leader="dot" w:pos="9923"/>
        </w:tabs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Список литературных источников</w:t>
      </w:r>
    </w:p>
    <w:p w:rsidR="000F609D" w:rsidRPr="005D517F" w:rsidRDefault="000F609D" w:rsidP="00567EA4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  <w:r w:rsidRPr="00070C23">
        <w:rPr>
          <w:b/>
          <w:sz w:val="28"/>
          <w:szCs w:val="28"/>
        </w:rPr>
        <w:br w:type="page"/>
      </w:r>
      <w:r w:rsidRPr="005D517F">
        <w:rPr>
          <w:b/>
          <w:caps/>
          <w:sz w:val="28"/>
          <w:szCs w:val="28"/>
        </w:rPr>
        <w:t>1</w:t>
      </w:r>
      <w:r w:rsidR="005D517F">
        <w:rPr>
          <w:b/>
          <w:caps/>
          <w:sz w:val="28"/>
          <w:szCs w:val="28"/>
          <w:lang w:val="uk-UA"/>
        </w:rPr>
        <w:t>.</w:t>
      </w:r>
      <w:r w:rsidR="00567EA4" w:rsidRPr="005D517F">
        <w:rPr>
          <w:b/>
          <w:caps/>
          <w:sz w:val="28"/>
          <w:szCs w:val="28"/>
        </w:rPr>
        <w:t xml:space="preserve"> </w:t>
      </w:r>
      <w:r w:rsidR="008416CC" w:rsidRPr="005D517F">
        <w:rPr>
          <w:b/>
          <w:caps/>
          <w:sz w:val="28"/>
          <w:szCs w:val="28"/>
        </w:rPr>
        <w:t>Общая часть</w:t>
      </w:r>
    </w:p>
    <w:p w:rsidR="005D517F" w:rsidRPr="00C0167D" w:rsidRDefault="005D517F" w:rsidP="00567EA4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C0167D">
        <w:rPr>
          <w:color w:val="FFFFFF"/>
          <w:sz w:val="28"/>
          <w:szCs w:val="28"/>
          <w:lang w:val="uk-UA"/>
        </w:rPr>
        <w:t>экологическая безопасность строительство</w:t>
      </w:r>
      <w:r w:rsidR="00786C1D" w:rsidRPr="00C0167D">
        <w:rPr>
          <w:color w:val="FFFFFF"/>
          <w:sz w:val="28"/>
          <w:szCs w:val="28"/>
          <w:lang w:val="uk-UA"/>
        </w:rPr>
        <w:t xml:space="preserve"> загрязнение</w:t>
      </w:r>
    </w:p>
    <w:p w:rsidR="000F609D" w:rsidRPr="00070C23" w:rsidRDefault="00786C1D" w:rsidP="00567E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Разрабатывается </w:t>
      </w:r>
      <w:r w:rsidR="000F609D" w:rsidRPr="00070C23">
        <w:rPr>
          <w:sz w:val="28"/>
          <w:szCs w:val="28"/>
        </w:rPr>
        <w:t>рабочий проект строительства здания Крымского филиала АО «ЗУКБ» в г. Симферополе по ул. Севастопольской 4.</w:t>
      </w: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В соответствии с законами Украины “Об охране окружающей природной среды”, законом Украины “Об экологической экспертизе”, в составе проекта разработаны материалы по оценке воздействия проектируемого объекта на окружающую среду (ОВОС).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Настоящий раздел разработан на основании “Положения о составе и содержании материалов оценки влияния запроектированной государственной деятельности на состояние окружающей среды и природных ресурсов (ОВОС) на разных стадиях решения задач строительства новых, расширения, реконструкции, технического перевооружения действующих промышленных и других объектов”, утвержденного указом Министерства охраны окружающей природной среды Украины № 59 от 8.07.1992 г. и ДБН А.2.2-1-95 “Состав и содержание материалов оценки воздействия на окружающую среду (ОВОС) при проектировании и строительстве предприятий, зданий и сооружений”.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Целью ОВОС является экологическое обоснование целесообразности строительства и обеспечение требований экологической безопасности, выявление и, соответственно, предупреждение возможных негативных экологических последствий, которые могут возникнуть при строительстве и эксплуатации проектируемого объекта.</w:t>
      </w:r>
    </w:p>
    <w:p w:rsidR="000F609D" w:rsidRDefault="00CC13E6" w:rsidP="00567EA4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</w:rPr>
        <w:br w:type="page"/>
      </w:r>
      <w:r w:rsidR="000F609D" w:rsidRPr="002F3F4B">
        <w:rPr>
          <w:b/>
          <w:caps/>
          <w:sz w:val="28"/>
          <w:szCs w:val="28"/>
        </w:rPr>
        <w:t>2</w:t>
      </w:r>
      <w:r w:rsidR="00567EA4" w:rsidRPr="002F3F4B">
        <w:rPr>
          <w:b/>
          <w:caps/>
          <w:sz w:val="28"/>
          <w:szCs w:val="28"/>
        </w:rPr>
        <w:t xml:space="preserve"> </w:t>
      </w:r>
      <w:r w:rsidR="008416CC" w:rsidRPr="002F3F4B">
        <w:rPr>
          <w:b/>
          <w:caps/>
          <w:sz w:val="28"/>
          <w:szCs w:val="28"/>
        </w:rPr>
        <w:t>Основные проектные решения</w:t>
      </w:r>
    </w:p>
    <w:p w:rsidR="00AD512C" w:rsidRPr="00AD512C" w:rsidRDefault="00AD512C" w:rsidP="00AD512C">
      <w:pPr>
        <w:tabs>
          <w:tab w:val="left" w:pos="0"/>
        </w:tabs>
        <w:spacing w:line="360" w:lineRule="auto"/>
        <w:ind w:left="709"/>
        <w:jc w:val="both"/>
        <w:rPr>
          <w:sz w:val="28"/>
          <w:szCs w:val="28"/>
        </w:rPr>
      </w:pPr>
    </w:p>
    <w:p w:rsidR="000F609D" w:rsidRPr="00070C23" w:rsidRDefault="009C2EBB" w:rsidP="00567EA4">
      <w:pPr>
        <w:numPr>
          <w:ilvl w:val="0"/>
          <w:numId w:val="24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Проектируемое здание является административным</w:t>
      </w:r>
    </w:p>
    <w:p w:rsidR="00B512A5" w:rsidRPr="00070C23" w:rsidRDefault="00B512A5" w:rsidP="00567EA4">
      <w:pPr>
        <w:numPr>
          <w:ilvl w:val="0"/>
          <w:numId w:val="24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 xml:space="preserve">Перечень сооружений указан на генеральном плане </w:t>
      </w:r>
    </w:p>
    <w:p w:rsidR="00AF35DA" w:rsidRPr="00070C23" w:rsidRDefault="00AF35DA" w:rsidP="00567EA4">
      <w:pPr>
        <w:numPr>
          <w:ilvl w:val="0"/>
          <w:numId w:val="24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Режим работы здания нормальный</w:t>
      </w:r>
    </w:p>
    <w:p w:rsidR="000F609D" w:rsidRPr="00070C23" w:rsidRDefault="00AF35DA" w:rsidP="00567EA4">
      <w:pPr>
        <w:numPr>
          <w:ilvl w:val="0"/>
          <w:numId w:val="24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Организованных источников выбросов на территории проектируемого объекта нет</w:t>
      </w:r>
    </w:p>
    <w:p w:rsidR="000F609D" w:rsidRPr="00070C23" w:rsidRDefault="002F0880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Водоснабжение – от существующих водопроводных сетей</w:t>
      </w:r>
      <w:r w:rsidR="000F609D" w:rsidRPr="00070C23">
        <w:rPr>
          <w:sz w:val="28"/>
          <w:szCs w:val="28"/>
        </w:rPr>
        <w:t>.</w:t>
      </w:r>
    </w:p>
    <w:p w:rsidR="000F609D" w:rsidRPr="00070C23" w:rsidRDefault="002F0880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 xml:space="preserve">Водоотведение – </w:t>
      </w:r>
      <w:r w:rsidR="000F609D" w:rsidRPr="00070C23">
        <w:rPr>
          <w:sz w:val="28"/>
          <w:szCs w:val="28"/>
        </w:rPr>
        <w:t>канализационные стоки сбрасываются в канализационную сеть города;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Сброс дождевых вод, собранных вокруг площадки, сбрасыва</w:t>
      </w:r>
      <w:r w:rsidR="002F0880" w:rsidRPr="00070C23">
        <w:rPr>
          <w:sz w:val="28"/>
          <w:szCs w:val="28"/>
        </w:rPr>
        <w:t>ются</w:t>
      </w:r>
      <w:r w:rsidRPr="00070C23">
        <w:rPr>
          <w:sz w:val="28"/>
          <w:szCs w:val="28"/>
        </w:rPr>
        <w:t xml:space="preserve"> в дренажную систему улицы. Категорически запрещается сбрасывать в сточную воду крупные нерастворимые отходы (тряпье, пластиковые пакеты, очистки и др.). Поэтому на территории строительства предусмотрена площадка для сбора крупного мусора, бытовых отходов.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Генеральный план объекта разработан с учетом соблюдения требований ДБН 360-92* “Градостроительство. Планировка и застройка городских и сельских поселений” а также ВБН по проектированию водопроводных сетей, газоснабжения, складов нефтепродуктов и др. промышленных объектов.</w:t>
      </w:r>
    </w:p>
    <w:p w:rsidR="000F609D" w:rsidRPr="002F3F4B" w:rsidRDefault="00CC13E6" w:rsidP="00567EA4">
      <w:pPr>
        <w:pStyle w:val="FR2"/>
        <w:spacing w:line="360" w:lineRule="auto"/>
        <w:ind w:left="0" w:right="0"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  <w:r w:rsidR="000F609D" w:rsidRPr="002F3F4B">
        <w:rPr>
          <w:rFonts w:ascii="Times New Roman" w:hAnsi="Times New Roman" w:cs="Times New Roman"/>
          <w:caps/>
          <w:sz w:val="28"/>
          <w:szCs w:val="28"/>
        </w:rPr>
        <w:t>3</w:t>
      </w:r>
      <w:r w:rsidR="002F3F4B" w:rsidRPr="002F3F4B">
        <w:rPr>
          <w:rFonts w:ascii="Times New Roman" w:hAnsi="Times New Roman" w:cs="Times New Roman"/>
          <w:caps/>
          <w:sz w:val="28"/>
          <w:szCs w:val="28"/>
          <w:lang w:val="uk-UA"/>
        </w:rPr>
        <w:t>.</w:t>
      </w:r>
      <w:r w:rsidR="00567EA4" w:rsidRPr="002F3F4B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786C1D" w:rsidRPr="002F3F4B">
        <w:rPr>
          <w:rFonts w:ascii="Times New Roman" w:hAnsi="Times New Roman" w:cs="Times New Roman"/>
          <w:sz w:val="28"/>
          <w:szCs w:val="28"/>
        </w:rPr>
        <w:t>СОСТОЯНИЕ ОКРУЖАЮЩЕЙ ПРИРОДНОЙ СРЕДЫ</w:t>
      </w:r>
      <w:r w:rsidR="00786C1D" w:rsidRPr="002F3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C1D" w:rsidRPr="002F3F4B">
        <w:rPr>
          <w:rFonts w:ascii="Times New Roman" w:hAnsi="Times New Roman" w:cs="Times New Roman"/>
          <w:sz w:val="28"/>
          <w:szCs w:val="28"/>
        </w:rPr>
        <w:t>В РАЙОНЕ РАЗМЕЩЕНИЯ ОБЪЕКТА</w:t>
      </w:r>
    </w:p>
    <w:p w:rsidR="002F3F4B" w:rsidRDefault="002F3F4B" w:rsidP="00567EA4">
      <w:pPr>
        <w:pStyle w:val="FR1"/>
        <w:spacing w:line="360" w:lineRule="auto"/>
        <w:ind w:firstLine="709"/>
        <w:rPr>
          <w:sz w:val="28"/>
          <w:szCs w:val="28"/>
          <w:lang w:val="uk-UA"/>
        </w:rPr>
      </w:pPr>
    </w:p>
    <w:p w:rsidR="000F609D" w:rsidRPr="00070C23" w:rsidRDefault="000F609D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Территория, предназначенная для размещения проектируемого объекта</w:t>
      </w:r>
      <w:r w:rsidR="005134D8" w:rsidRPr="00070C23">
        <w:rPr>
          <w:sz w:val="28"/>
          <w:szCs w:val="28"/>
        </w:rPr>
        <w:t>,</w:t>
      </w:r>
      <w:r w:rsidRPr="00070C23">
        <w:rPr>
          <w:sz w:val="28"/>
          <w:szCs w:val="28"/>
        </w:rPr>
        <w:t xml:space="preserve"> расположена в </w:t>
      </w:r>
      <w:r w:rsidR="009D186C" w:rsidRPr="00070C23">
        <w:rPr>
          <w:sz w:val="28"/>
          <w:szCs w:val="28"/>
        </w:rPr>
        <w:t>центральной части г. Симферополя</w:t>
      </w:r>
      <w:r w:rsidRPr="00070C23">
        <w:rPr>
          <w:sz w:val="28"/>
          <w:szCs w:val="28"/>
        </w:rPr>
        <w:t>.</w:t>
      </w:r>
    </w:p>
    <w:p w:rsidR="000F609D" w:rsidRPr="00070C23" w:rsidRDefault="000F609D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 xml:space="preserve">Площадь </w:t>
      </w:r>
      <w:r w:rsidR="00221AAC" w:rsidRPr="00070C23">
        <w:rPr>
          <w:sz w:val="28"/>
          <w:szCs w:val="28"/>
        </w:rPr>
        <w:t xml:space="preserve">отведённого </w:t>
      </w:r>
      <w:r w:rsidRPr="00070C23">
        <w:rPr>
          <w:sz w:val="28"/>
          <w:szCs w:val="28"/>
        </w:rPr>
        <w:t xml:space="preserve">участка </w:t>
      </w:r>
      <w:smartTag w:uri="urn:schemas-microsoft-com:office:smarttags" w:element="metricconverter">
        <w:smartTagPr>
          <w:attr w:name="ProductID" w:val="0,1826 га"/>
        </w:smartTagPr>
        <w:r w:rsidR="009D186C" w:rsidRPr="00070C23">
          <w:rPr>
            <w:sz w:val="28"/>
            <w:szCs w:val="28"/>
          </w:rPr>
          <w:t>0,182</w:t>
        </w:r>
        <w:r w:rsidR="007752FA" w:rsidRPr="00070C23">
          <w:rPr>
            <w:sz w:val="28"/>
            <w:szCs w:val="28"/>
          </w:rPr>
          <w:t>6</w:t>
        </w:r>
        <w:r w:rsidR="009D186C" w:rsidRPr="00070C23">
          <w:rPr>
            <w:sz w:val="28"/>
            <w:szCs w:val="28"/>
          </w:rPr>
          <w:t xml:space="preserve"> </w:t>
        </w:r>
        <w:r w:rsidRPr="00070C23">
          <w:rPr>
            <w:sz w:val="28"/>
            <w:szCs w:val="28"/>
          </w:rPr>
          <w:t>га</w:t>
        </w:r>
      </w:smartTag>
      <w:r w:rsidRPr="00070C23">
        <w:rPr>
          <w:sz w:val="28"/>
          <w:szCs w:val="28"/>
        </w:rPr>
        <w:t xml:space="preserve">, </w:t>
      </w:r>
      <w:r w:rsidR="007752FA" w:rsidRPr="00070C23">
        <w:rPr>
          <w:sz w:val="28"/>
          <w:szCs w:val="28"/>
        </w:rPr>
        <w:t>площадь застройки</w:t>
      </w:r>
      <w:r w:rsidRPr="00070C23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0,045 га"/>
        </w:smartTagPr>
        <w:r w:rsidR="007752FA" w:rsidRPr="00070C23">
          <w:rPr>
            <w:sz w:val="28"/>
            <w:szCs w:val="28"/>
          </w:rPr>
          <w:t>0,045</w:t>
        </w:r>
        <w:r w:rsidRPr="00070C23">
          <w:rPr>
            <w:sz w:val="28"/>
            <w:szCs w:val="28"/>
          </w:rPr>
          <w:t xml:space="preserve"> га</w:t>
        </w:r>
      </w:smartTag>
      <w:r w:rsidRPr="00070C23">
        <w:rPr>
          <w:sz w:val="28"/>
          <w:szCs w:val="28"/>
        </w:rPr>
        <w:t>.</w:t>
      </w:r>
    </w:p>
    <w:p w:rsidR="000F609D" w:rsidRPr="00070C23" w:rsidRDefault="005134D8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Рельеф участка спокойный, с плавным понижением на северо-восток. Перепад отметок составляет 0,9 м.</w:t>
      </w:r>
      <w:r w:rsidR="00656168" w:rsidRPr="00070C23">
        <w:rPr>
          <w:sz w:val="28"/>
          <w:szCs w:val="28"/>
        </w:rPr>
        <w:t xml:space="preserve"> За условную отметку 0.000 принят уровень чистого пола 1-го этажа, что соответствует абсолютной отметке 251.400.</w:t>
      </w:r>
    </w:p>
    <w:p w:rsidR="002F3F4B" w:rsidRDefault="003C2396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Основанием подошвы фундаментов приняты грунты слоя ИГЭ-2 — известняк полускальный, низкой прочности, с временным сопротивлением одноосному сжатию</w:t>
      </w:r>
    </w:p>
    <w:p w:rsidR="00CC13E6" w:rsidRDefault="00CC13E6" w:rsidP="00567EA4">
      <w:pPr>
        <w:pStyle w:val="FR1"/>
        <w:spacing w:line="360" w:lineRule="auto"/>
        <w:ind w:firstLine="709"/>
        <w:rPr>
          <w:sz w:val="28"/>
          <w:szCs w:val="28"/>
          <w:lang w:val="uk-UA"/>
        </w:rPr>
      </w:pPr>
    </w:p>
    <w:p w:rsidR="003C2396" w:rsidRPr="00070C23" w:rsidRDefault="008A7345" w:rsidP="00567EA4">
      <w:pPr>
        <w:pStyle w:val="FR1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>
            <v:imagedata r:id="rId7" o:title=""/>
          </v:shape>
        </w:pict>
      </w:r>
    </w:p>
    <w:p w:rsidR="002F3F4B" w:rsidRDefault="002F3F4B" w:rsidP="00567EA4">
      <w:pPr>
        <w:pStyle w:val="FR1"/>
        <w:spacing w:line="360" w:lineRule="auto"/>
        <w:ind w:firstLine="709"/>
        <w:rPr>
          <w:sz w:val="28"/>
          <w:szCs w:val="28"/>
          <w:lang w:val="uk-UA"/>
        </w:rPr>
      </w:pPr>
    </w:p>
    <w:p w:rsidR="000F609D" w:rsidRPr="00070C23" w:rsidRDefault="000F609D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Подземные воды не обнаружены.</w:t>
      </w:r>
    </w:p>
    <w:p w:rsidR="000F609D" w:rsidRPr="00070C23" w:rsidRDefault="000F609D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 xml:space="preserve">Неблагоприятные физико-геологические процессы на участке не имеют развития. Сейсмичность участка – </w:t>
      </w:r>
      <w:r w:rsidR="00915C81" w:rsidRPr="00070C23">
        <w:rPr>
          <w:sz w:val="28"/>
          <w:szCs w:val="28"/>
        </w:rPr>
        <w:t>6</w:t>
      </w:r>
      <w:r w:rsidRPr="00070C23">
        <w:rPr>
          <w:sz w:val="28"/>
          <w:szCs w:val="28"/>
        </w:rPr>
        <w:t xml:space="preserve"> баллов. Расчетное значение сейсмичности (согласно СНиП 11-7-81) с учетом физических свойств грунтов и положения уровня грунтовых вод составляет 6 баллов.</w:t>
      </w:r>
    </w:p>
    <w:p w:rsidR="000F609D" w:rsidRPr="00070C23" w:rsidRDefault="000F609D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Грунты по отношению к железобетону проявляют слабую сульфатную агрессию. К стали грунты проявляют низкую коррозионную активность. Блуждающих токов не обнаружено. Фоновое загрязнение атмосферного воздуха в районе размещения объекта по углеводородам составляет соответственно по 0,1 мг/м</w:t>
      </w:r>
      <w:r w:rsidRPr="00070C23">
        <w:rPr>
          <w:sz w:val="28"/>
          <w:szCs w:val="28"/>
          <w:vertAlign w:val="superscript"/>
        </w:rPr>
        <w:t>3</w:t>
      </w:r>
      <w:r w:rsidR="004D7DDB" w:rsidRPr="00070C23">
        <w:rPr>
          <w:sz w:val="28"/>
          <w:szCs w:val="28"/>
          <w:vertAlign w:val="superscript"/>
        </w:rPr>
        <w:t xml:space="preserve"> </w:t>
      </w:r>
      <w:r w:rsidRPr="00070C23">
        <w:rPr>
          <w:sz w:val="28"/>
          <w:szCs w:val="28"/>
        </w:rPr>
        <w:t>, по СО – 1 мг/ м</w:t>
      </w:r>
      <w:r w:rsidRPr="00070C23">
        <w:rPr>
          <w:sz w:val="28"/>
          <w:szCs w:val="28"/>
          <w:vertAlign w:val="superscript"/>
        </w:rPr>
        <w:t>3</w:t>
      </w:r>
      <w:r w:rsidR="004D7DDB" w:rsidRPr="00070C23">
        <w:rPr>
          <w:sz w:val="28"/>
          <w:szCs w:val="28"/>
          <w:vertAlign w:val="superscript"/>
        </w:rPr>
        <w:t xml:space="preserve"> </w:t>
      </w:r>
      <w:r w:rsidRPr="00070C23">
        <w:rPr>
          <w:sz w:val="28"/>
          <w:szCs w:val="28"/>
        </w:rPr>
        <w:t>.</w:t>
      </w:r>
      <w:r w:rsidR="004D7DDB" w:rsidRPr="00070C23">
        <w:rPr>
          <w:sz w:val="28"/>
          <w:szCs w:val="28"/>
          <w:vertAlign w:val="superscript"/>
        </w:rPr>
        <w:t xml:space="preserve"> </w:t>
      </w:r>
    </w:p>
    <w:p w:rsidR="000F609D" w:rsidRPr="00070C23" w:rsidRDefault="000F609D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 xml:space="preserve">Климат района </w:t>
      </w:r>
      <w:r w:rsidR="00915C81" w:rsidRPr="00070C23">
        <w:rPr>
          <w:sz w:val="28"/>
          <w:szCs w:val="28"/>
        </w:rPr>
        <w:t>умеренный</w:t>
      </w:r>
      <w:r w:rsidRPr="00070C23">
        <w:rPr>
          <w:sz w:val="28"/>
          <w:szCs w:val="28"/>
        </w:rPr>
        <w:t>, жаркий с умеренно теплой влажной зимой.</w:t>
      </w:r>
    </w:p>
    <w:p w:rsidR="000F609D" w:rsidRPr="00070C23" w:rsidRDefault="000F609D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Среднемесячная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температура наиболее теплых месяцев июля и августа колеблется 24,2 – 25,8</w:t>
      </w:r>
      <w:r w:rsidRPr="00070C23">
        <w:rPr>
          <w:sz w:val="28"/>
          <w:szCs w:val="28"/>
          <w:vertAlign w:val="superscript"/>
        </w:rPr>
        <w:t>о</w:t>
      </w:r>
      <w:r w:rsidRPr="00070C23">
        <w:rPr>
          <w:sz w:val="28"/>
          <w:szCs w:val="28"/>
        </w:rPr>
        <w:t xml:space="preserve">С, осадки за лето составляют от 25 – 40 до </w:t>
      </w:r>
      <w:smartTag w:uri="urn:schemas-microsoft-com:office:smarttags" w:element="metricconverter">
        <w:smartTagPr>
          <w:attr w:name="ProductID" w:val="100 мм"/>
        </w:smartTagPr>
        <w:r w:rsidRPr="00070C23">
          <w:rPr>
            <w:sz w:val="28"/>
            <w:szCs w:val="28"/>
          </w:rPr>
          <w:t>100 мм</w:t>
        </w:r>
      </w:smartTag>
      <w:r w:rsidRPr="00070C23">
        <w:rPr>
          <w:sz w:val="28"/>
          <w:szCs w:val="28"/>
        </w:rPr>
        <w:t>, наблюдается наибольшее число солнечных дней и преобладание северо-восточных и юго-</w:t>
      </w:r>
      <w:r w:rsidR="001E15F7" w:rsidRPr="00070C23">
        <w:rPr>
          <w:sz w:val="28"/>
          <w:szCs w:val="28"/>
        </w:rPr>
        <w:t>восточных</w:t>
      </w:r>
      <w:r w:rsidRPr="00070C23">
        <w:rPr>
          <w:sz w:val="28"/>
          <w:szCs w:val="28"/>
        </w:rPr>
        <w:t xml:space="preserve"> ветров.</w:t>
      </w:r>
    </w:p>
    <w:p w:rsidR="000F609D" w:rsidRPr="00070C23" w:rsidRDefault="000F609D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Максимальные суммы осадков приходятся на зимний период (ноябрь – март).</w:t>
      </w:r>
    </w:p>
    <w:p w:rsidR="000F609D" w:rsidRPr="002F3F4B" w:rsidRDefault="00CC13E6" w:rsidP="00567EA4">
      <w:pPr>
        <w:pStyle w:val="FR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  <w:r w:rsidR="000F609D" w:rsidRPr="002F3F4B">
        <w:rPr>
          <w:rFonts w:ascii="Times New Roman" w:hAnsi="Times New Roman" w:cs="Times New Roman"/>
          <w:b/>
          <w:bCs/>
          <w:caps/>
          <w:sz w:val="28"/>
          <w:szCs w:val="28"/>
        </w:rPr>
        <w:t>4</w:t>
      </w:r>
      <w:r w:rsidR="002F3F4B" w:rsidRPr="002F3F4B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>.</w:t>
      </w:r>
      <w:r w:rsidR="00567EA4" w:rsidRPr="002F3F4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FA3F56" w:rsidRPr="002F3F4B">
        <w:rPr>
          <w:rFonts w:ascii="Times New Roman" w:hAnsi="Times New Roman" w:cs="Times New Roman"/>
          <w:b/>
          <w:bCs/>
          <w:caps/>
          <w:sz w:val="28"/>
          <w:szCs w:val="28"/>
        </w:rPr>
        <w:t>Воздействие проектируемого объекта</w:t>
      </w:r>
      <w:r w:rsidR="000F609D" w:rsidRPr="002F3F4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FA3F56" w:rsidRPr="002F3F4B">
        <w:rPr>
          <w:rFonts w:ascii="Times New Roman" w:hAnsi="Times New Roman" w:cs="Times New Roman"/>
          <w:b/>
          <w:bCs/>
          <w:caps/>
          <w:sz w:val="28"/>
          <w:szCs w:val="28"/>
        </w:rPr>
        <w:t>на компоненты</w:t>
      </w:r>
      <w:r w:rsidR="002F3F4B" w:rsidRPr="002F3F4B"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  <w:t xml:space="preserve"> </w:t>
      </w:r>
      <w:r w:rsidR="00FA3F56" w:rsidRPr="002F3F4B">
        <w:rPr>
          <w:rFonts w:ascii="Times New Roman" w:hAnsi="Times New Roman" w:cs="Times New Roman"/>
          <w:b/>
          <w:bCs/>
          <w:caps/>
          <w:sz w:val="28"/>
          <w:szCs w:val="28"/>
        </w:rPr>
        <w:t>окружающей среды</w:t>
      </w:r>
    </w:p>
    <w:p w:rsid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В процессе строительства и эксплуатации проектируемого объекта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>возможно воздействие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>на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>следующие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>компоненты окружающей среды:</w:t>
      </w:r>
    </w:p>
    <w:p w:rsidR="000F609D" w:rsidRPr="00070C23" w:rsidRDefault="000F609D" w:rsidP="00567EA4">
      <w:pPr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почвенно-растительный комплекс;</w:t>
      </w:r>
    </w:p>
    <w:p w:rsidR="000F609D" w:rsidRPr="00070C23" w:rsidRDefault="00F10934" w:rsidP="00567EA4">
      <w:pPr>
        <w:numPr>
          <w:ilvl w:val="0"/>
          <w:numId w:val="2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приземный слой атмосферы.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Следствием этого воздействия могут быть изменения (нарушения) в компонентах природной среды.</w:t>
      </w:r>
    </w:p>
    <w:p w:rsidR="000F609D" w:rsidRPr="00070C23" w:rsidRDefault="000F609D" w:rsidP="00567EA4">
      <w:pPr>
        <w:pStyle w:val="2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0C23">
        <w:rPr>
          <w:rFonts w:ascii="Times New Roman" w:hAnsi="Times New Roman" w:cs="Times New Roman"/>
          <w:sz w:val="28"/>
          <w:szCs w:val="28"/>
        </w:rPr>
        <w:t>Воздействия на почвенно-растительный комплекс проявляются в виде нарушений дневной поверхности земли в полосе отчуждения вокруг объекта строительства. При этом возможны следующие формы нарушений: уплотнение или разрыхление грунта, траншейные выемки, колеи</w:t>
      </w:r>
      <w:r w:rsidR="004D7DDB" w:rsidRPr="00070C23">
        <w:rPr>
          <w:rFonts w:ascii="Times New Roman" w:hAnsi="Times New Roman" w:cs="Times New Roman"/>
          <w:sz w:val="28"/>
          <w:szCs w:val="28"/>
        </w:rPr>
        <w:t xml:space="preserve"> </w:t>
      </w:r>
      <w:r w:rsidRPr="00070C23">
        <w:rPr>
          <w:rFonts w:ascii="Times New Roman" w:hAnsi="Times New Roman" w:cs="Times New Roman"/>
          <w:sz w:val="28"/>
          <w:szCs w:val="28"/>
        </w:rPr>
        <w:t xml:space="preserve">временных дорог, корчевание и пересадка деревьев. 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Источником воздействия на компоненты окружающей среды могут быть строительные механизмы и техника.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При производстве строительно-монтажных работ возможно загрязнение грунтов, подземных вод строительными и бытовыми отходами, мусором, ГСМ.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 xml:space="preserve">Эксплуатация проектируемого объекта связана с образованием </w:t>
      </w:r>
      <w:r w:rsidR="006876DC" w:rsidRPr="00070C23">
        <w:rPr>
          <w:sz w:val="28"/>
          <w:szCs w:val="28"/>
        </w:rPr>
        <w:t>хозяйственно-бытовых</w:t>
      </w:r>
      <w:r w:rsidRPr="00070C23">
        <w:rPr>
          <w:sz w:val="28"/>
          <w:szCs w:val="28"/>
        </w:rPr>
        <w:t xml:space="preserve"> и производственных сточных вод.</w:t>
      </w:r>
    </w:p>
    <w:p w:rsidR="000F609D" w:rsidRPr="002F3F4B" w:rsidRDefault="002F3F4B" w:rsidP="002F3F4B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  <w:r>
        <w:br w:type="page"/>
      </w:r>
      <w:r w:rsidR="000F609D" w:rsidRPr="002F3F4B">
        <w:rPr>
          <w:b/>
          <w:caps/>
          <w:sz w:val="28"/>
          <w:szCs w:val="28"/>
        </w:rPr>
        <w:t>5</w:t>
      </w:r>
      <w:r w:rsidRPr="002F3F4B">
        <w:rPr>
          <w:b/>
          <w:caps/>
          <w:sz w:val="28"/>
          <w:szCs w:val="28"/>
          <w:lang w:val="uk-UA"/>
        </w:rPr>
        <w:t>.</w:t>
      </w:r>
      <w:r w:rsidR="00567EA4" w:rsidRPr="002F3F4B">
        <w:rPr>
          <w:b/>
          <w:caps/>
          <w:sz w:val="28"/>
          <w:szCs w:val="28"/>
        </w:rPr>
        <w:t xml:space="preserve"> </w:t>
      </w:r>
      <w:r w:rsidR="00AA60CA" w:rsidRPr="002F3F4B">
        <w:rPr>
          <w:b/>
          <w:caps/>
          <w:sz w:val="28"/>
          <w:szCs w:val="28"/>
        </w:rPr>
        <w:t>Мероприятия по снижению</w:t>
      </w:r>
      <w:r w:rsidR="000F609D" w:rsidRPr="002F3F4B">
        <w:rPr>
          <w:b/>
          <w:caps/>
          <w:sz w:val="28"/>
          <w:szCs w:val="28"/>
        </w:rPr>
        <w:t xml:space="preserve"> (</w:t>
      </w:r>
      <w:r w:rsidR="00AA60CA" w:rsidRPr="002F3F4B">
        <w:rPr>
          <w:b/>
          <w:caps/>
          <w:sz w:val="28"/>
          <w:szCs w:val="28"/>
        </w:rPr>
        <w:t>предупреждению</w:t>
      </w:r>
      <w:r w:rsidR="000F609D" w:rsidRPr="002F3F4B">
        <w:rPr>
          <w:b/>
          <w:caps/>
          <w:sz w:val="28"/>
          <w:szCs w:val="28"/>
        </w:rPr>
        <w:t xml:space="preserve">) </w:t>
      </w:r>
      <w:r w:rsidR="00AA60CA" w:rsidRPr="002F3F4B">
        <w:rPr>
          <w:b/>
          <w:caps/>
          <w:sz w:val="28"/>
          <w:szCs w:val="28"/>
        </w:rPr>
        <w:t>отрицательного</w:t>
      </w:r>
      <w:r w:rsidRPr="002F3F4B">
        <w:rPr>
          <w:b/>
          <w:caps/>
          <w:sz w:val="28"/>
          <w:szCs w:val="28"/>
          <w:lang w:val="uk-UA"/>
        </w:rPr>
        <w:t xml:space="preserve"> </w:t>
      </w:r>
      <w:r w:rsidR="00AA60CA" w:rsidRPr="002F3F4B">
        <w:rPr>
          <w:b/>
          <w:caps/>
          <w:sz w:val="28"/>
          <w:szCs w:val="28"/>
        </w:rPr>
        <w:t>воздействия проектируемого объекта на окружающую среду</w:t>
      </w:r>
    </w:p>
    <w:p w:rsidR="002F3F4B" w:rsidRPr="002F3F4B" w:rsidRDefault="002F3F4B" w:rsidP="00567EA4">
      <w:pPr>
        <w:spacing w:line="360" w:lineRule="auto"/>
        <w:ind w:firstLine="709"/>
        <w:jc w:val="both"/>
        <w:rPr>
          <w:b/>
          <w:caps/>
          <w:sz w:val="28"/>
          <w:szCs w:val="28"/>
          <w:lang w:val="uk-UA"/>
        </w:rPr>
      </w:pPr>
    </w:p>
    <w:p w:rsidR="000F609D" w:rsidRPr="00070C23" w:rsidRDefault="000F609D" w:rsidP="00567EA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70C23">
        <w:rPr>
          <w:b/>
          <w:sz w:val="28"/>
          <w:szCs w:val="28"/>
        </w:rPr>
        <w:t>5.1</w:t>
      </w:r>
      <w:r w:rsidR="00567EA4" w:rsidRPr="00070C23">
        <w:rPr>
          <w:b/>
          <w:sz w:val="28"/>
          <w:szCs w:val="28"/>
        </w:rPr>
        <w:t xml:space="preserve"> </w:t>
      </w:r>
      <w:r w:rsidRPr="00070C23">
        <w:rPr>
          <w:b/>
          <w:sz w:val="28"/>
          <w:szCs w:val="28"/>
        </w:rPr>
        <w:t>Охрана атмосферного воздуха от загрязнений</w:t>
      </w:r>
    </w:p>
    <w:p w:rsidR="002F3F4B" w:rsidRDefault="002F3F4B" w:rsidP="00567EA4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0F609D" w:rsidRPr="00070C23" w:rsidRDefault="000F609D" w:rsidP="00567EA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70C23">
        <w:rPr>
          <w:bCs/>
          <w:sz w:val="28"/>
          <w:szCs w:val="28"/>
        </w:rPr>
        <w:t xml:space="preserve">В процессе строительства и эксплуатации объекта происходит загрязнение атмосферного воздуха в результате работы автомобильного транспорта выбросы СО, </w:t>
      </w:r>
      <w:r w:rsidRPr="00070C23">
        <w:rPr>
          <w:bCs/>
          <w:sz w:val="28"/>
          <w:szCs w:val="28"/>
          <w:lang w:val="en-US"/>
        </w:rPr>
        <w:t>NO</w:t>
      </w:r>
      <w:r w:rsidRPr="00070C23">
        <w:rPr>
          <w:bCs/>
          <w:sz w:val="28"/>
          <w:szCs w:val="28"/>
          <w:vertAlign w:val="subscript"/>
          <w:lang w:val="en-US"/>
        </w:rPr>
        <w:t>x</w:t>
      </w:r>
      <w:r w:rsidRPr="00070C23">
        <w:rPr>
          <w:bCs/>
          <w:sz w:val="28"/>
          <w:szCs w:val="28"/>
        </w:rPr>
        <w:t xml:space="preserve">, </w:t>
      </w:r>
      <w:r w:rsidRPr="00070C23">
        <w:rPr>
          <w:bCs/>
          <w:sz w:val="28"/>
          <w:szCs w:val="28"/>
          <w:lang w:val="en-US"/>
        </w:rPr>
        <w:t>SO</w:t>
      </w:r>
      <w:r w:rsidRPr="00070C23">
        <w:rPr>
          <w:bCs/>
          <w:sz w:val="28"/>
          <w:szCs w:val="28"/>
          <w:vertAlign w:val="subscript"/>
        </w:rPr>
        <w:t>2</w:t>
      </w:r>
      <w:r w:rsidRPr="00070C23">
        <w:rPr>
          <w:bCs/>
          <w:sz w:val="28"/>
          <w:szCs w:val="28"/>
        </w:rPr>
        <w:t xml:space="preserve">, </w:t>
      </w:r>
      <w:r w:rsidRPr="00070C23">
        <w:rPr>
          <w:bCs/>
          <w:sz w:val="28"/>
          <w:szCs w:val="28"/>
          <w:lang w:val="en-US"/>
        </w:rPr>
        <w:t>C</w:t>
      </w:r>
      <w:r w:rsidRPr="00070C23">
        <w:rPr>
          <w:bCs/>
          <w:sz w:val="28"/>
          <w:szCs w:val="28"/>
        </w:rPr>
        <w:t xml:space="preserve"> </w:t>
      </w:r>
      <w:r w:rsidRPr="00070C23">
        <w:rPr>
          <w:bCs/>
          <w:sz w:val="28"/>
          <w:szCs w:val="28"/>
          <w:vertAlign w:val="subscript"/>
          <w:lang w:val="en-US"/>
        </w:rPr>
        <w:t>n</w:t>
      </w:r>
      <w:r w:rsidRPr="00070C23">
        <w:rPr>
          <w:bCs/>
          <w:sz w:val="28"/>
          <w:szCs w:val="28"/>
          <w:lang w:val="en-US"/>
        </w:rPr>
        <w:t>H</w:t>
      </w:r>
      <w:r w:rsidRPr="00070C23">
        <w:rPr>
          <w:bCs/>
          <w:sz w:val="28"/>
          <w:szCs w:val="28"/>
          <w:vertAlign w:val="subscript"/>
          <w:lang w:val="en-US"/>
        </w:rPr>
        <w:t>m</w:t>
      </w:r>
      <w:r w:rsidR="00536952" w:rsidRPr="00070C23">
        <w:rPr>
          <w:bCs/>
          <w:sz w:val="28"/>
          <w:szCs w:val="28"/>
        </w:rPr>
        <w:t>, сажа.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0F609D" w:rsidRPr="00070C23" w:rsidRDefault="000F609D" w:rsidP="00567EA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70C23">
        <w:rPr>
          <w:b/>
          <w:bCs/>
          <w:sz w:val="28"/>
          <w:szCs w:val="28"/>
        </w:rPr>
        <w:t>Расчет выбросов вредных веществ от автомобильных двигателей,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70C23">
        <w:rPr>
          <w:b/>
          <w:bCs/>
          <w:sz w:val="28"/>
          <w:szCs w:val="28"/>
        </w:rPr>
        <w:t>работающих на строительной площадке</w:t>
      </w:r>
    </w:p>
    <w:p w:rsidR="000F609D" w:rsidRDefault="000F609D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070C23">
        <w:rPr>
          <w:rFonts w:ascii="Times New Roman" w:hAnsi="Times New Roman"/>
          <w:sz w:val="28"/>
          <w:szCs w:val="28"/>
        </w:rPr>
        <w:t>Автомобильные двигатели работают при строительстве зданий и сооружений на различных видах топлива: бензин (4 марки) и дизельное топли</w:t>
      </w:r>
      <w:r w:rsidR="002F3F4B">
        <w:rPr>
          <w:rFonts w:ascii="Times New Roman" w:hAnsi="Times New Roman"/>
          <w:sz w:val="28"/>
          <w:szCs w:val="28"/>
        </w:rPr>
        <w:t>во.</w:t>
      </w:r>
    </w:p>
    <w:p w:rsidR="002F3F4B" w:rsidRP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F3F4B" w:rsidRPr="00070C23" w:rsidRDefault="00622398" w:rsidP="002F3F4B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4"/>
        </w:rPr>
        <w:t>Таблица 1</w:t>
      </w:r>
      <w:r w:rsidR="002F3F4B">
        <w:rPr>
          <w:rFonts w:ascii="Times New Roman" w:hAnsi="Times New Roman"/>
          <w:sz w:val="28"/>
          <w:szCs w:val="24"/>
          <w:lang w:val="uk-UA"/>
        </w:rPr>
        <w:t xml:space="preserve">. </w:t>
      </w:r>
      <w:r w:rsidR="002F3F4B" w:rsidRPr="00070C23">
        <w:rPr>
          <w:rFonts w:ascii="Times New Roman" w:hAnsi="Times New Roman"/>
          <w:sz w:val="28"/>
          <w:szCs w:val="28"/>
        </w:rPr>
        <w:t>Основные машины и механизмы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4452"/>
        <w:gridCol w:w="1501"/>
        <w:gridCol w:w="1211"/>
        <w:gridCol w:w="1382"/>
      </w:tblGrid>
      <w:tr w:rsidR="00AC20CF" w:rsidRPr="00C0167D" w:rsidTr="00C0167D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AC20CF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№</w:t>
            </w:r>
          </w:p>
          <w:p w:rsidR="00AC20CF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w="4664" w:type="dxa"/>
            <w:shd w:val="clear" w:color="auto" w:fill="auto"/>
            <w:vAlign w:val="center"/>
          </w:tcPr>
          <w:p w:rsidR="00AC20CF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Наименование машин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AC20CF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Количество машин, шт..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2371C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 xml:space="preserve">Вид </w:t>
            </w:r>
          </w:p>
          <w:p w:rsidR="00AC20CF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топлива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2371C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Количество</w:t>
            </w:r>
          </w:p>
          <w:p w:rsidR="00B2371C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топлива</w:t>
            </w:r>
            <w:r w:rsidR="00B2371C" w:rsidRPr="00C0167D">
              <w:rPr>
                <w:rFonts w:ascii="Times New Roman" w:hAnsi="Times New Roman"/>
                <w:sz w:val="20"/>
              </w:rPr>
              <w:t xml:space="preserve"> </w:t>
            </w:r>
            <w:r w:rsidRPr="00C0167D">
              <w:rPr>
                <w:rFonts w:ascii="Times New Roman" w:hAnsi="Times New Roman"/>
                <w:sz w:val="20"/>
              </w:rPr>
              <w:t>на</w:t>
            </w:r>
          </w:p>
          <w:p w:rsidR="00AC20CF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C0167D">
                <w:rPr>
                  <w:rFonts w:ascii="Times New Roman" w:hAnsi="Times New Roman"/>
                  <w:sz w:val="20"/>
                </w:rPr>
                <w:t>1 км</w:t>
              </w:r>
            </w:smartTag>
            <w:r w:rsidRPr="00C0167D">
              <w:rPr>
                <w:rFonts w:ascii="Times New Roman" w:hAnsi="Times New Roman"/>
                <w:sz w:val="20"/>
              </w:rPr>
              <w:t>., 1 час</w:t>
            </w:r>
          </w:p>
        </w:tc>
      </w:tr>
      <w:tr w:rsidR="00AC20CF" w:rsidRPr="00C0167D" w:rsidTr="00C0167D">
        <w:trPr>
          <w:trHeight w:hRule="exact" w:val="454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AC20CF" w:rsidRPr="00C0167D" w:rsidRDefault="00757A0E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664" w:type="dxa"/>
            <w:shd w:val="clear" w:color="auto" w:fill="auto"/>
            <w:vAlign w:val="center"/>
          </w:tcPr>
          <w:p w:rsidR="00AC20CF" w:rsidRPr="00C0167D" w:rsidRDefault="00757A0E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Гусеничный кран МКГ-25БР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AC20CF" w:rsidRPr="00C0167D" w:rsidRDefault="00A423A2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C20CF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ДТ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C20CF" w:rsidRPr="00C0167D" w:rsidRDefault="00AC20CF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1944A1" w:rsidRPr="00C0167D" w:rsidTr="00C0167D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664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  <w:vertAlign w:val="superscript"/>
              </w:rPr>
            </w:pPr>
            <w:r w:rsidRPr="00C0167D">
              <w:rPr>
                <w:rFonts w:ascii="Times New Roman" w:hAnsi="Times New Roman"/>
                <w:sz w:val="20"/>
              </w:rPr>
              <w:t xml:space="preserve">Экскаватор одноковшовый на гусеничном ходу, </w:t>
            </w:r>
            <w:smartTag w:uri="urn:schemas-microsoft-com:office:smarttags" w:element="metricconverter">
              <w:smartTagPr>
                <w:attr w:name="ProductID" w:val="0,65 м3"/>
              </w:smartTagPr>
              <w:r w:rsidRPr="00C0167D">
                <w:rPr>
                  <w:rFonts w:ascii="Times New Roman" w:hAnsi="Times New Roman"/>
                  <w:sz w:val="20"/>
                </w:rPr>
                <w:t>0,65 м</w:t>
              </w:r>
              <w:r w:rsidRPr="00C0167D">
                <w:rPr>
                  <w:rFonts w:ascii="Times New Roman" w:hAnsi="Times New Roman"/>
                  <w:sz w:val="20"/>
                  <w:vertAlign w:val="superscript"/>
                </w:rPr>
                <w:t>3</w:t>
              </w:r>
            </w:smartTag>
          </w:p>
        </w:tc>
        <w:tc>
          <w:tcPr>
            <w:tcW w:w="1564" w:type="dxa"/>
            <w:shd w:val="clear" w:color="auto" w:fill="auto"/>
            <w:vAlign w:val="center"/>
          </w:tcPr>
          <w:p w:rsidR="001944A1" w:rsidRPr="00C0167D" w:rsidRDefault="00A423A2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44A1" w:rsidRPr="00C0167D" w:rsidRDefault="001944A1" w:rsidP="00C016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0167D">
              <w:rPr>
                <w:sz w:val="20"/>
                <w:szCs w:val="20"/>
              </w:rPr>
              <w:t>ДТ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1944A1" w:rsidRPr="00C0167D" w:rsidTr="00C0167D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664" w:type="dxa"/>
            <w:shd w:val="clear" w:color="auto" w:fill="auto"/>
            <w:vAlign w:val="center"/>
          </w:tcPr>
          <w:p w:rsidR="00B2371C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 xml:space="preserve">Бульдозер на гусеничном ходу ДЗ-28 </w:t>
            </w:r>
          </w:p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(Т-130)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944A1" w:rsidRPr="00C0167D" w:rsidRDefault="00A423A2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44A1" w:rsidRPr="00C0167D" w:rsidRDefault="001944A1" w:rsidP="00C016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0167D">
              <w:rPr>
                <w:sz w:val="20"/>
                <w:szCs w:val="20"/>
              </w:rPr>
              <w:t>ДТ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1944A1" w:rsidRPr="00C0167D" w:rsidTr="00C0167D">
        <w:trPr>
          <w:trHeight w:hRule="exact" w:val="454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664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Автосамосвалы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944A1" w:rsidRPr="00C0167D" w:rsidRDefault="00E049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44A1" w:rsidRPr="00C0167D" w:rsidRDefault="001944A1" w:rsidP="00C016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0167D">
              <w:rPr>
                <w:sz w:val="20"/>
                <w:szCs w:val="20"/>
              </w:rPr>
              <w:t>ДТ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1944A1" w:rsidRPr="00C0167D" w:rsidTr="00C0167D">
        <w:trPr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664" w:type="dxa"/>
            <w:shd w:val="clear" w:color="auto" w:fill="auto"/>
            <w:vAlign w:val="center"/>
          </w:tcPr>
          <w:p w:rsidR="00B2371C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 xml:space="preserve">Автомобили грузовые для </w:t>
            </w:r>
          </w:p>
          <w:p w:rsidR="00B2371C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 xml:space="preserve">транспортировки строительных </w:t>
            </w:r>
          </w:p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материалов и конструкций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944A1" w:rsidRPr="00C0167D" w:rsidRDefault="00E049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44A1" w:rsidRPr="00C0167D" w:rsidRDefault="001944A1" w:rsidP="00C0167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0167D">
              <w:rPr>
                <w:sz w:val="20"/>
                <w:szCs w:val="20"/>
              </w:rPr>
              <w:t>ДТ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1944A1" w:rsidRPr="00C0167D" w:rsidTr="00C0167D">
        <w:trPr>
          <w:trHeight w:hRule="exact" w:val="454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4664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Легковые автомобили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944A1" w:rsidRPr="00C0167D" w:rsidRDefault="00E049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  <w:r w:rsidRPr="00C0167D">
              <w:rPr>
                <w:rFonts w:ascii="Times New Roman" w:hAnsi="Times New Roman"/>
                <w:sz w:val="20"/>
              </w:rPr>
              <w:t>АИ-95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944A1" w:rsidRPr="00C0167D" w:rsidRDefault="001944A1" w:rsidP="00C0167D">
            <w:pPr>
              <w:pStyle w:val="a5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AC20CF" w:rsidRPr="00070C23" w:rsidRDefault="00AC20CF" w:rsidP="00567EA4">
      <w:pPr>
        <w:pStyle w:val="a5"/>
        <w:rPr>
          <w:rFonts w:ascii="Times New Roman" w:hAnsi="Times New Roman"/>
          <w:sz w:val="28"/>
          <w:szCs w:val="28"/>
        </w:rPr>
      </w:pPr>
    </w:p>
    <w:p w:rsidR="005C6BE6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При работе автомобильного транспорта с выхлопными газами в ОС выбрасываются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>загрязняющие вещества, приведенные в таблице 2</w:t>
      </w: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4"/>
        </w:rPr>
      </w:pPr>
      <w:r w:rsidRPr="00070C23">
        <w:rPr>
          <w:rFonts w:ascii="Times New Roman" w:hAnsi="Times New Roman"/>
          <w:sz w:val="28"/>
          <w:szCs w:val="24"/>
        </w:rPr>
        <w:t xml:space="preserve">Таблица </w:t>
      </w:r>
      <w:r w:rsidR="001F2B23" w:rsidRPr="00070C23">
        <w:rPr>
          <w:rFonts w:ascii="Times New Roman" w:hAnsi="Times New Roman"/>
          <w:sz w:val="28"/>
          <w:szCs w:val="24"/>
        </w:rPr>
        <w:t>2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4"/>
        <w:gridCol w:w="1362"/>
        <w:gridCol w:w="1363"/>
        <w:gridCol w:w="1505"/>
        <w:gridCol w:w="1502"/>
        <w:gridCol w:w="1516"/>
      </w:tblGrid>
      <w:tr w:rsidR="000F609D" w:rsidRPr="00070C23" w:rsidTr="002F3F4B">
        <w:trPr>
          <w:jc w:val="center"/>
        </w:trPr>
        <w:tc>
          <w:tcPr>
            <w:tcW w:w="1908" w:type="dxa"/>
            <w:vAlign w:val="center"/>
          </w:tcPr>
          <w:p w:rsidR="000F609D" w:rsidRPr="00070C23" w:rsidRDefault="000F609D" w:rsidP="002F3F4B">
            <w:pPr>
              <w:pStyle w:val="11"/>
            </w:pPr>
            <w:r w:rsidRPr="00070C23">
              <w:t>Вид топлива</w:t>
            </w:r>
          </w:p>
        </w:tc>
        <w:tc>
          <w:tcPr>
            <w:tcW w:w="7663" w:type="dxa"/>
            <w:gridSpan w:val="5"/>
            <w:vAlign w:val="center"/>
          </w:tcPr>
          <w:p w:rsidR="000F609D" w:rsidRPr="00070C23" w:rsidRDefault="000F609D" w:rsidP="002F3F4B">
            <w:pPr>
              <w:pStyle w:val="11"/>
            </w:pPr>
            <w:r w:rsidRPr="00070C23">
              <w:t>Загрязняющие вещества</w:t>
            </w:r>
          </w:p>
        </w:tc>
      </w:tr>
      <w:tr w:rsidR="000F609D" w:rsidRPr="00070C23" w:rsidTr="002F3F4B">
        <w:trPr>
          <w:jc w:val="center"/>
        </w:trPr>
        <w:tc>
          <w:tcPr>
            <w:tcW w:w="1908" w:type="dxa"/>
            <w:vAlign w:val="center"/>
          </w:tcPr>
          <w:p w:rsidR="000F609D" w:rsidRPr="00070C23" w:rsidRDefault="000F609D" w:rsidP="002F3F4B">
            <w:pPr>
              <w:pStyle w:val="11"/>
            </w:pPr>
            <w:r w:rsidRPr="00070C23">
              <w:t>Бензин</w:t>
            </w:r>
          </w:p>
        </w:tc>
        <w:tc>
          <w:tcPr>
            <w:tcW w:w="1440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rPr>
                <w:lang w:val="en-US"/>
              </w:rPr>
              <w:t>CO</w:t>
            </w:r>
          </w:p>
        </w:tc>
        <w:tc>
          <w:tcPr>
            <w:tcW w:w="1437" w:type="dxa"/>
            <w:vAlign w:val="center"/>
          </w:tcPr>
          <w:p w:rsidR="000F609D" w:rsidRPr="00070C23" w:rsidRDefault="000F609D" w:rsidP="002F3F4B">
            <w:pPr>
              <w:pStyle w:val="11"/>
              <w:rPr>
                <w:vertAlign w:val="subscript"/>
                <w:lang w:val="en-US"/>
              </w:rPr>
            </w:pPr>
            <w:r w:rsidRPr="00070C23">
              <w:rPr>
                <w:lang w:val="en-US"/>
              </w:rPr>
              <w:t>SO</w:t>
            </w:r>
            <w:r w:rsidRPr="00070C23">
              <w:rPr>
                <w:vertAlign w:val="subscript"/>
                <w:lang w:val="en-US"/>
              </w:rPr>
              <w:t>2</w:t>
            </w:r>
          </w:p>
        </w:tc>
        <w:tc>
          <w:tcPr>
            <w:tcW w:w="1595" w:type="dxa"/>
            <w:vAlign w:val="center"/>
          </w:tcPr>
          <w:p w:rsidR="000F609D" w:rsidRPr="00070C23" w:rsidRDefault="000F609D" w:rsidP="002F3F4B">
            <w:pPr>
              <w:pStyle w:val="11"/>
              <w:rPr>
                <w:vertAlign w:val="subscript"/>
                <w:lang w:val="en-US"/>
              </w:rPr>
            </w:pPr>
            <w:r w:rsidRPr="00070C23">
              <w:rPr>
                <w:lang w:val="en-US"/>
              </w:rPr>
              <w:t xml:space="preserve">NO </w:t>
            </w:r>
            <w:r w:rsidRPr="00070C23">
              <w:rPr>
                <w:vertAlign w:val="subscript"/>
                <w:lang w:val="en-US"/>
              </w:rPr>
              <w:t>x</w:t>
            </w:r>
          </w:p>
        </w:tc>
        <w:tc>
          <w:tcPr>
            <w:tcW w:w="1595" w:type="dxa"/>
            <w:vAlign w:val="center"/>
          </w:tcPr>
          <w:p w:rsidR="000F609D" w:rsidRPr="00070C23" w:rsidRDefault="000F609D" w:rsidP="002F3F4B">
            <w:pPr>
              <w:pStyle w:val="11"/>
              <w:rPr>
                <w:vertAlign w:val="subscript"/>
                <w:lang w:val="en-US"/>
              </w:rPr>
            </w:pPr>
            <w:r w:rsidRPr="00070C23">
              <w:rPr>
                <w:lang w:val="en-US"/>
              </w:rPr>
              <w:t>C</w:t>
            </w:r>
            <w:r w:rsidRPr="00070C23">
              <w:rPr>
                <w:vertAlign w:val="subscript"/>
                <w:lang w:val="en-US"/>
              </w:rPr>
              <w:t>n</w:t>
            </w:r>
            <w:r w:rsidR="006133DC" w:rsidRPr="00070C23">
              <w:rPr>
                <w:vertAlign w:val="subscript"/>
              </w:rPr>
              <w:t xml:space="preserve"> </w:t>
            </w:r>
            <w:r w:rsidRPr="00070C23">
              <w:rPr>
                <w:lang w:val="en-US"/>
              </w:rPr>
              <w:t>H</w:t>
            </w:r>
            <w:r w:rsidRPr="00070C23">
              <w:rPr>
                <w:vertAlign w:val="subscript"/>
                <w:lang w:val="en-US"/>
              </w:rPr>
              <w:t>m</w:t>
            </w:r>
          </w:p>
        </w:tc>
        <w:tc>
          <w:tcPr>
            <w:tcW w:w="1596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rPr>
                <w:lang w:val="en-US"/>
              </w:rPr>
              <w:t>-</w:t>
            </w:r>
          </w:p>
        </w:tc>
      </w:tr>
      <w:tr w:rsidR="000F609D" w:rsidRPr="00070C23" w:rsidTr="002F3F4B">
        <w:trPr>
          <w:jc w:val="center"/>
        </w:trPr>
        <w:tc>
          <w:tcPr>
            <w:tcW w:w="1908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t>ДТ</w:t>
            </w:r>
          </w:p>
        </w:tc>
        <w:tc>
          <w:tcPr>
            <w:tcW w:w="1440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rPr>
                <w:lang w:val="en-US"/>
              </w:rPr>
              <w:t>CO</w:t>
            </w:r>
          </w:p>
        </w:tc>
        <w:tc>
          <w:tcPr>
            <w:tcW w:w="1437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rPr>
                <w:lang w:val="en-US"/>
              </w:rPr>
              <w:t>SO</w:t>
            </w:r>
            <w:r w:rsidRPr="00070C23">
              <w:rPr>
                <w:vertAlign w:val="subscript"/>
                <w:lang w:val="en-US"/>
              </w:rPr>
              <w:t>2</w:t>
            </w:r>
          </w:p>
        </w:tc>
        <w:tc>
          <w:tcPr>
            <w:tcW w:w="1595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rPr>
                <w:lang w:val="en-US"/>
              </w:rPr>
              <w:t xml:space="preserve">NO </w:t>
            </w:r>
            <w:r w:rsidRPr="00070C23">
              <w:rPr>
                <w:vertAlign w:val="subscript"/>
                <w:lang w:val="en-US"/>
              </w:rPr>
              <w:t>x</w:t>
            </w:r>
          </w:p>
        </w:tc>
        <w:tc>
          <w:tcPr>
            <w:tcW w:w="1595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rPr>
                <w:lang w:val="en-US"/>
              </w:rPr>
              <w:t>C</w:t>
            </w:r>
            <w:r w:rsidRPr="00070C23">
              <w:rPr>
                <w:vertAlign w:val="subscript"/>
                <w:lang w:val="en-US"/>
              </w:rPr>
              <w:t>n</w:t>
            </w:r>
            <w:r w:rsidRPr="00070C23">
              <w:rPr>
                <w:lang w:val="en-US"/>
              </w:rPr>
              <w:t xml:space="preserve"> H</w:t>
            </w:r>
            <w:r w:rsidRPr="00070C23">
              <w:rPr>
                <w:vertAlign w:val="subscript"/>
                <w:lang w:val="en-US"/>
              </w:rPr>
              <w:t>m</w:t>
            </w:r>
          </w:p>
        </w:tc>
        <w:tc>
          <w:tcPr>
            <w:tcW w:w="1596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t>сажа</w:t>
            </w:r>
          </w:p>
        </w:tc>
      </w:tr>
      <w:tr w:rsidR="000F609D" w:rsidRPr="00070C23" w:rsidTr="002F3F4B">
        <w:trPr>
          <w:jc w:val="center"/>
        </w:trPr>
        <w:tc>
          <w:tcPr>
            <w:tcW w:w="1908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t>Газ</w:t>
            </w:r>
          </w:p>
        </w:tc>
        <w:tc>
          <w:tcPr>
            <w:tcW w:w="1440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rPr>
                <w:lang w:val="en-US"/>
              </w:rPr>
              <w:t>CO</w:t>
            </w:r>
          </w:p>
        </w:tc>
        <w:tc>
          <w:tcPr>
            <w:tcW w:w="1437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rPr>
                <w:lang w:val="en-US"/>
              </w:rPr>
              <w:t>-</w:t>
            </w:r>
          </w:p>
        </w:tc>
        <w:tc>
          <w:tcPr>
            <w:tcW w:w="1595" w:type="dxa"/>
            <w:vAlign w:val="center"/>
          </w:tcPr>
          <w:p w:rsidR="000F609D" w:rsidRPr="00070C23" w:rsidRDefault="000F609D" w:rsidP="002F3F4B">
            <w:pPr>
              <w:pStyle w:val="11"/>
              <w:rPr>
                <w:lang w:val="en-US"/>
              </w:rPr>
            </w:pPr>
            <w:r w:rsidRPr="00070C23">
              <w:rPr>
                <w:lang w:val="en-US"/>
              </w:rPr>
              <w:t xml:space="preserve">NO </w:t>
            </w:r>
            <w:r w:rsidRPr="00070C23">
              <w:rPr>
                <w:vertAlign w:val="subscript"/>
                <w:lang w:val="en-US"/>
              </w:rPr>
              <w:t>x</w:t>
            </w:r>
          </w:p>
        </w:tc>
        <w:tc>
          <w:tcPr>
            <w:tcW w:w="1595" w:type="dxa"/>
            <w:vAlign w:val="center"/>
          </w:tcPr>
          <w:p w:rsidR="000F609D" w:rsidRPr="00070C23" w:rsidRDefault="000F609D" w:rsidP="002F3F4B">
            <w:pPr>
              <w:pStyle w:val="11"/>
            </w:pPr>
            <w:r w:rsidRPr="00070C23">
              <w:t>-</w:t>
            </w:r>
          </w:p>
        </w:tc>
        <w:tc>
          <w:tcPr>
            <w:tcW w:w="1596" w:type="dxa"/>
            <w:vAlign w:val="center"/>
          </w:tcPr>
          <w:p w:rsidR="000F609D" w:rsidRPr="00070C23" w:rsidRDefault="000F609D" w:rsidP="002F3F4B">
            <w:pPr>
              <w:pStyle w:val="11"/>
            </w:pPr>
            <w:r w:rsidRPr="00070C23">
              <w:t>-</w:t>
            </w:r>
          </w:p>
        </w:tc>
      </w:tr>
    </w:tbl>
    <w:p w:rsid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Расчеты годовых выбросов вредных веществ автомобильным транспортом необходимы для осуществления государственного или муниципального учета выбросов с целью изымания платежей за загрязнение ОС и разработки мероприятий по их снижению.</w:t>
      </w: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В основу методики расчета выбросов вредных веществ автомобильным транспортом заложен средний удельный выброс по автомобилям отдельных групп (грузовые, автобусы, легковые). При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>этом выброс вредных веществ корректируется в зависимости от технического состояния автомобилей, их среднего возраста, влияния природно-климатических условий.</w:t>
      </w: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 xml:space="preserve">Масса выброшенного за расчетный период </w:t>
      </w:r>
      <w:r w:rsidRPr="00070C23">
        <w:rPr>
          <w:rFonts w:ascii="Times New Roman" w:hAnsi="Times New Roman"/>
          <w:sz w:val="28"/>
          <w:szCs w:val="28"/>
          <w:lang w:val="en-US"/>
        </w:rPr>
        <w:t>i</w:t>
      </w:r>
      <w:r w:rsidRPr="00070C23">
        <w:rPr>
          <w:rFonts w:ascii="Times New Roman" w:hAnsi="Times New Roman"/>
          <w:sz w:val="28"/>
          <w:szCs w:val="28"/>
        </w:rPr>
        <w:t xml:space="preserve"> – того вредного вещества (М</w:t>
      </w:r>
      <w:r w:rsidRPr="00070C23">
        <w:rPr>
          <w:rFonts w:ascii="Times New Roman" w:hAnsi="Times New Roman"/>
          <w:sz w:val="28"/>
          <w:szCs w:val="28"/>
          <w:lang w:val="en-US"/>
        </w:rPr>
        <w:t>i</w:t>
      </w:r>
      <w:r w:rsidRPr="00070C23">
        <w:rPr>
          <w:rFonts w:ascii="Times New Roman" w:hAnsi="Times New Roman"/>
          <w:sz w:val="28"/>
          <w:szCs w:val="28"/>
        </w:rPr>
        <w:t>) в тоннах при наличии в группе автомобилей с различными типами двигателей внутреннего сгорания (бензиновыми, дизельными, газовыми и др.) определяется по формуле:</w:t>
      </w:r>
    </w:p>
    <w:p w:rsidR="002F3F4B" w:rsidRDefault="002F3F4B" w:rsidP="00567EA4">
      <w:pPr>
        <w:pStyle w:val="a5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F609D" w:rsidRPr="00070C23" w:rsidRDefault="000F609D" w:rsidP="00567EA4">
      <w:pPr>
        <w:pStyle w:val="a5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070C23">
        <w:rPr>
          <w:rFonts w:ascii="Times New Roman" w:hAnsi="Times New Roman"/>
          <w:b/>
          <w:bCs/>
          <w:sz w:val="28"/>
          <w:szCs w:val="28"/>
          <w:lang w:val="en-US"/>
        </w:rPr>
        <w:t>Mi = Σ m</w:t>
      </w:r>
      <w:r w:rsidRPr="00070C23">
        <w:rPr>
          <w:rFonts w:ascii="Times New Roman" w:hAnsi="Times New Roman"/>
          <w:b/>
          <w:bCs/>
          <w:sz w:val="28"/>
          <w:szCs w:val="28"/>
          <w:vertAlign w:val="subscript"/>
          <w:lang w:val="en-US"/>
        </w:rPr>
        <w:t>i</w:t>
      </w:r>
      <w:r w:rsidR="004D7DDB" w:rsidRPr="00070C23">
        <w:rPr>
          <w:rFonts w:ascii="Times New Roman" w:hAnsi="Times New Roman"/>
          <w:b/>
          <w:bCs/>
          <w:sz w:val="28"/>
          <w:szCs w:val="28"/>
          <w:vertAlign w:val="subscript"/>
          <w:lang w:val="en-US"/>
        </w:rPr>
        <w:t xml:space="preserve"> </w:t>
      </w:r>
      <w:r w:rsidRPr="00070C23">
        <w:rPr>
          <w:rFonts w:ascii="Times New Roman" w:hAnsi="Times New Roman"/>
          <w:b/>
          <w:bCs/>
          <w:sz w:val="28"/>
          <w:szCs w:val="28"/>
          <w:lang w:val="en-US"/>
        </w:rPr>
        <w:t>r</w:t>
      </w:r>
      <w:r w:rsidRPr="00070C23">
        <w:rPr>
          <w:rFonts w:ascii="Times New Roman" w:hAnsi="Times New Roman"/>
          <w:b/>
          <w:bCs/>
          <w:sz w:val="28"/>
          <w:szCs w:val="28"/>
          <w:vertAlign w:val="subscript"/>
          <w:lang w:val="en-US"/>
        </w:rPr>
        <w:t>i</w:t>
      </w:r>
      <w:r w:rsidRPr="00070C23">
        <w:rPr>
          <w:rFonts w:ascii="Times New Roman" w:hAnsi="Times New Roman"/>
          <w:b/>
          <w:bCs/>
          <w:sz w:val="28"/>
          <w:szCs w:val="28"/>
          <w:lang w:val="en-US"/>
        </w:rPr>
        <w:t xml:space="preserve"> n</w:t>
      </w:r>
      <w:r w:rsidRPr="00070C23">
        <w:rPr>
          <w:rFonts w:ascii="Times New Roman" w:hAnsi="Times New Roman"/>
          <w:b/>
          <w:bCs/>
          <w:sz w:val="28"/>
          <w:szCs w:val="28"/>
          <w:vertAlign w:val="subscript"/>
          <w:lang w:val="en-US"/>
        </w:rPr>
        <w:t xml:space="preserve">i </w:t>
      </w:r>
      <w:r w:rsidRPr="00070C23">
        <w:rPr>
          <w:rFonts w:ascii="Times New Roman" w:hAnsi="Times New Roman"/>
          <w:b/>
          <w:bCs/>
          <w:sz w:val="28"/>
          <w:szCs w:val="28"/>
          <w:lang w:val="en-US"/>
        </w:rPr>
        <w:t>R</w:t>
      </w:r>
      <w:r w:rsidRPr="00070C23">
        <w:rPr>
          <w:rFonts w:ascii="Times New Roman" w:hAnsi="Times New Roman"/>
          <w:b/>
          <w:bCs/>
          <w:sz w:val="28"/>
          <w:szCs w:val="28"/>
          <w:vertAlign w:val="subscript"/>
          <w:lang w:val="en-US"/>
        </w:rPr>
        <w:t xml:space="preserve">i </w:t>
      </w:r>
      <w:r w:rsidRPr="00070C23">
        <w:rPr>
          <w:rFonts w:ascii="Times New Roman" w:hAnsi="Times New Roman"/>
          <w:b/>
          <w:bCs/>
          <w:sz w:val="28"/>
          <w:szCs w:val="28"/>
          <w:lang w:val="en-US"/>
        </w:rPr>
        <w:t>10</w:t>
      </w:r>
      <w:r w:rsidRPr="00070C23">
        <w:rPr>
          <w:rFonts w:ascii="Times New Roman" w:hAnsi="Times New Roman"/>
          <w:b/>
          <w:bCs/>
          <w:sz w:val="28"/>
          <w:szCs w:val="28"/>
          <w:vertAlign w:val="superscript"/>
          <w:lang w:val="en-US"/>
        </w:rPr>
        <w:t>-6</w:t>
      </w:r>
      <w:r w:rsidR="00567EA4" w:rsidRPr="00070C23">
        <w:rPr>
          <w:rFonts w:ascii="Times New Roman" w:hAnsi="Times New Roman"/>
          <w:b/>
          <w:bCs/>
          <w:sz w:val="28"/>
          <w:szCs w:val="28"/>
          <w:vertAlign w:val="superscript"/>
          <w:lang w:val="en-US"/>
        </w:rPr>
        <w:t xml:space="preserve"> </w:t>
      </w:r>
      <w:r w:rsidR="007C6401" w:rsidRPr="00070C23">
        <w:rPr>
          <w:rFonts w:ascii="Times New Roman" w:hAnsi="Times New Roman"/>
          <w:b/>
          <w:bCs/>
          <w:sz w:val="28"/>
          <w:szCs w:val="28"/>
          <w:lang w:val="en-US"/>
        </w:rPr>
        <w:t>(5.1)</w:t>
      </w:r>
    </w:p>
    <w:p w:rsid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Где: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  <w:lang w:val="en-US"/>
        </w:rPr>
        <w:t>m</w:t>
      </w:r>
      <w:r w:rsidRPr="00070C2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70C23">
        <w:rPr>
          <w:rFonts w:ascii="Times New Roman" w:hAnsi="Times New Roman"/>
          <w:sz w:val="28"/>
          <w:szCs w:val="28"/>
        </w:rPr>
        <w:t xml:space="preserve"> – удельный выброс вредного вещества автомобилем за расчетный период (включает в себя выброс с учетом испарения топлива), г/км;</w:t>
      </w: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  <w:lang w:val="en-US"/>
        </w:rPr>
        <w:t>r</w:t>
      </w:r>
      <w:r w:rsidRPr="00070C2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70C23">
        <w:rPr>
          <w:rFonts w:ascii="Times New Roman" w:hAnsi="Times New Roman"/>
          <w:sz w:val="28"/>
          <w:szCs w:val="28"/>
        </w:rPr>
        <w:t xml:space="preserve"> – пробег автомобиля за расчетный период, км;</w:t>
      </w: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  <w:lang w:val="en-US"/>
        </w:rPr>
        <w:t>n</w:t>
      </w:r>
      <w:r w:rsidRPr="00070C2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70C23">
        <w:rPr>
          <w:rFonts w:ascii="Times New Roman" w:hAnsi="Times New Roman"/>
          <w:sz w:val="28"/>
          <w:szCs w:val="28"/>
        </w:rPr>
        <w:t xml:space="preserve"> – коэффициент влияния среднего возраста парка на выброс вредного вещества автомобилем;</w:t>
      </w: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  <w:lang w:val="en-US"/>
        </w:rPr>
        <w:t>R</w:t>
      </w:r>
      <w:r w:rsidRPr="00070C2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070C23">
        <w:rPr>
          <w:rFonts w:ascii="Times New Roman" w:hAnsi="Times New Roman"/>
          <w:sz w:val="28"/>
          <w:szCs w:val="28"/>
        </w:rPr>
        <w:t xml:space="preserve"> – коэффициент влияния технического состояния автомобиля на выброс вредных веществ.</w:t>
      </w:r>
    </w:p>
    <w:p w:rsidR="000F609D" w:rsidRPr="00070C23" w:rsidRDefault="000F609D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Удельные выбросы вредных веществ (оксида углерода, углеводородов, оксида азота) для всех групп автомобилей и коэффициенты влияния факторов на выбросы вредных веществ автомобилем приняты постоянными и приведены в таблице 3</w:t>
      </w:r>
    </w:p>
    <w:p w:rsidR="0044753E" w:rsidRPr="00070C23" w:rsidRDefault="0044753E" w:rsidP="00567EA4">
      <w:pPr>
        <w:pStyle w:val="a5"/>
        <w:rPr>
          <w:rFonts w:ascii="Times New Roman" w:hAnsi="Times New Roman"/>
          <w:sz w:val="28"/>
          <w:szCs w:val="28"/>
        </w:rPr>
      </w:pPr>
    </w:p>
    <w:p w:rsidR="002F3F4B" w:rsidRPr="00070C23" w:rsidRDefault="00F040BD" w:rsidP="002F3F4B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4"/>
        </w:rPr>
        <w:t xml:space="preserve">Таблица </w:t>
      </w:r>
      <w:r w:rsidR="0044753E" w:rsidRPr="00070C23">
        <w:rPr>
          <w:rFonts w:ascii="Times New Roman" w:hAnsi="Times New Roman"/>
          <w:sz w:val="28"/>
          <w:szCs w:val="24"/>
        </w:rPr>
        <w:t>3</w:t>
      </w:r>
      <w:r w:rsidR="002F3F4B">
        <w:rPr>
          <w:rFonts w:ascii="Times New Roman" w:hAnsi="Times New Roman"/>
          <w:sz w:val="28"/>
          <w:szCs w:val="24"/>
          <w:lang w:val="uk-UA"/>
        </w:rPr>
        <w:t xml:space="preserve">. </w:t>
      </w:r>
      <w:r w:rsidR="002F3F4B" w:rsidRPr="00070C23">
        <w:rPr>
          <w:rFonts w:ascii="Times New Roman" w:hAnsi="Times New Roman"/>
          <w:sz w:val="28"/>
          <w:szCs w:val="28"/>
        </w:rPr>
        <w:t>Значения удельных выбросов вредных веществ автомобильным</w:t>
      </w:r>
      <w:r w:rsidR="002F3F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3F4B" w:rsidRPr="00070C23">
        <w:rPr>
          <w:rFonts w:ascii="Times New Roman" w:hAnsi="Times New Roman"/>
          <w:sz w:val="28"/>
          <w:szCs w:val="28"/>
        </w:rPr>
        <w:t>транспортом и коэффициентов влияния факторов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2"/>
        <w:gridCol w:w="1168"/>
        <w:gridCol w:w="1332"/>
        <w:gridCol w:w="1004"/>
        <w:gridCol w:w="1168"/>
        <w:gridCol w:w="1168"/>
      </w:tblGrid>
      <w:tr w:rsidR="0044753E" w:rsidRPr="00070C23" w:rsidTr="002F3F4B">
        <w:trPr>
          <w:jc w:val="center"/>
        </w:trPr>
        <w:tc>
          <w:tcPr>
            <w:tcW w:w="3528" w:type="dxa"/>
            <w:vMerge w:val="restart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Группы автомобилей</w:t>
            </w:r>
          </w:p>
        </w:tc>
        <w:tc>
          <w:tcPr>
            <w:tcW w:w="3780" w:type="dxa"/>
            <w:gridSpan w:val="3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Удельный выброс вредных веществ, г/км</w:t>
            </w:r>
          </w:p>
        </w:tc>
        <w:tc>
          <w:tcPr>
            <w:tcW w:w="2520" w:type="dxa"/>
            <w:gridSpan w:val="2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Коэффициент влияния</w:t>
            </w:r>
          </w:p>
        </w:tc>
      </w:tr>
      <w:tr w:rsidR="0044753E" w:rsidRPr="00070C23" w:rsidTr="002F3F4B">
        <w:trPr>
          <w:jc w:val="center"/>
        </w:trPr>
        <w:tc>
          <w:tcPr>
            <w:tcW w:w="3528" w:type="dxa"/>
            <w:vMerge/>
            <w:vAlign w:val="center"/>
          </w:tcPr>
          <w:p w:rsidR="0044753E" w:rsidRPr="00070C23" w:rsidRDefault="0044753E" w:rsidP="002F3F4B">
            <w:pPr>
              <w:pStyle w:val="11"/>
            </w:pPr>
          </w:p>
        </w:tc>
        <w:tc>
          <w:tcPr>
            <w:tcW w:w="126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оксида углерода</w:t>
            </w:r>
          </w:p>
        </w:tc>
        <w:tc>
          <w:tcPr>
            <w:tcW w:w="144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углеводородов</w:t>
            </w:r>
          </w:p>
        </w:tc>
        <w:tc>
          <w:tcPr>
            <w:tcW w:w="108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оксида азота</w:t>
            </w:r>
          </w:p>
        </w:tc>
        <w:tc>
          <w:tcPr>
            <w:tcW w:w="126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среднего возраста парка</w:t>
            </w:r>
          </w:p>
        </w:tc>
        <w:tc>
          <w:tcPr>
            <w:tcW w:w="126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уровня технического состояния</w:t>
            </w:r>
          </w:p>
        </w:tc>
      </w:tr>
      <w:tr w:rsidR="0044753E" w:rsidRPr="00070C23" w:rsidTr="002F3F4B">
        <w:trPr>
          <w:jc w:val="center"/>
        </w:trPr>
        <w:tc>
          <w:tcPr>
            <w:tcW w:w="3528" w:type="dxa"/>
          </w:tcPr>
          <w:p w:rsidR="0044753E" w:rsidRPr="00070C23" w:rsidRDefault="0044753E" w:rsidP="002F3F4B">
            <w:pPr>
              <w:pStyle w:val="11"/>
            </w:pPr>
            <w:r w:rsidRPr="00070C23">
              <w:t>Грузовые и специальные грузовые дизельные</w:t>
            </w:r>
          </w:p>
        </w:tc>
        <w:tc>
          <w:tcPr>
            <w:tcW w:w="126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15,0</w:t>
            </w:r>
          </w:p>
        </w:tc>
        <w:tc>
          <w:tcPr>
            <w:tcW w:w="144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6,4</w:t>
            </w:r>
          </w:p>
        </w:tc>
        <w:tc>
          <w:tcPr>
            <w:tcW w:w="108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8,5</w:t>
            </w:r>
          </w:p>
        </w:tc>
        <w:tc>
          <w:tcPr>
            <w:tcW w:w="126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1,33</w:t>
            </w:r>
          </w:p>
        </w:tc>
        <w:tc>
          <w:tcPr>
            <w:tcW w:w="126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1,80</w:t>
            </w:r>
          </w:p>
        </w:tc>
      </w:tr>
      <w:tr w:rsidR="0044753E" w:rsidRPr="00070C23" w:rsidTr="002F3F4B">
        <w:trPr>
          <w:jc w:val="center"/>
        </w:trPr>
        <w:tc>
          <w:tcPr>
            <w:tcW w:w="3528" w:type="dxa"/>
          </w:tcPr>
          <w:p w:rsidR="0044753E" w:rsidRPr="00070C23" w:rsidRDefault="0044753E" w:rsidP="002F3F4B">
            <w:pPr>
              <w:pStyle w:val="11"/>
            </w:pPr>
            <w:r w:rsidRPr="00070C23">
              <w:t>Легковые служебные и специальные</w:t>
            </w:r>
          </w:p>
        </w:tc>
        <w:tc>
          <w:tcPr>
            <w:tcW w:w="126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17,7</w:t>
            </w:r>
          </w:p>
        </w:tc>
        <w:tc>
          <w:tcPr>
            <w:tcW w:w="144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1,93</w:t>
            </w:r>
          </w:p>
        </w:tc>
        <w:tc>
          <w:tcPr>
            <w:tcW w:w="108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2,47</w:t>
            </w:r>
          </w:p>
        </w:tc>
        <w:tc>
          <w:tcPr>
            <w:tcW w:w="126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1,28</w:t>
            </w:r>
          </w:p>
        </w:tc>
        <w:tc>
          <w:tcPr>
            <w:tcW w:w="1260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1,63</w:t>
            </w:r>
          </w:p>
        </w:tc>
      </w:tr>
    </w:tbl>
    <w:p w:rsidR="0044753E" w:rsidRPr="00070C23" w:rsidRDefault="0044753E" w:rsidP="00567EA4">
      <w:pPr>
        <w:pStyle w:val="a5"/>
        <w:rPr>
          <w:rFonts w:ascii="Times New Roman" w:hAnsi="Times New Roman"/>
          <w:sz w:val="28"/>
          <w:szCs w:val="28"/>
        </w:rPr>
      </w:pPr>
    </w:p>
    <w:p w:rsidR="002F3F4B" w:rsidRPr="00070C23" w:rsidRDefault="0044753E" w:rsidP="002F3F4B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4"/>
        </w:rPr>
        <w:t>Таблица 4</w:t>
      </w:r>
      <w:r w:rsidR="002F3F4B">
        <w:rPr>
          <w:rFonts w:ascii="Times New Roman" w:hAnsi="Times New Roman"/>
          <w:sz w:val="28"/>
          <w:szCs w:val="24"/>
          <w:lang w:val="uk-UA"/>
        </w:rPr>
        <w:t xml:space="preserve">. </w:t>
      </w:r>
      <w:r w:rsidR="002F3F4B" w:rsidRPr="00070C23">
        <w:rPr>
          <w:rFonts w:ascii="Times New Roman" w:hAnsi="Times New Roman"/>
          <w:sz w:val="28"/>
          <w:szCs w:val="28"/>
        </w:rPr>
        <w:t>Исходные данные для расчетов выбросов вредных веществ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4"/>
        <w:gridCol w:w="2647"/>
        <w:gridCol w:w="3941"/>
      </w:tblGrid>
      <w:tr w:rsidR="0044753E" w:rsidRPr="00070C23" w:rsidTr="002F3F4B">
        <w:trPr>
          <w:jc w:val="center"/>
        </w:trPr>
        <w:tc>
          <w:tcPr>
            <w:tcW w:w="2584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Автомобили с двигателями внутреннего сгорания</w:t>
            </w:r>
          </w:p>
        </w:tc>
        <w:tc>
          <w:tcPr>
            <w:tcW w:w="2771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Количество, шт.</w:t>
            </w:r>
          </w:p>
        </w:tc>
        <w:tc>
          <w:tcPr>
            <w:tcW w:w="4216" w:type="dxa"/>
            <w:vAlign w:val="center"/>
          </w:tcPr>
          <w:p w:rsidR="0044753E" w:rsidRPr="00070C23" w:rsidRDefault="0044753E" w:rsidP="002F3F4B">
            <w:pPr>
              <w:pStyle w:val="11"/>
            </w:pPr>
            <w:r w:rsidRPr="00070C23">
              <w:t>Пробег, км.</w:t>
            </w:r>
          </w:p>
        </w:tc>
      </w:tr>
      <w:tr w:rsidR="0044753E" w:rsidRPr="00070C23" w:rsidTr="002F3F4B">
        <w:trPr>
          <w:jc w:val="center"/>
        </w:trPr>
        <w:tc>
          <w:tcPr>
            <w:tcW w:w="2584" w:type="dxa"/>
          </w:tcPr>
          <w:p w:rsidR="0044753E" w:rsidRPr="00070C23" w:rsidRDefault="0044753E" w:rsidP="002F3F4B">
            <w:pPr>
              <w:pStyle w:val="11"/>
            </w:pPr>
            <w:r w:rsidRPr="00070C23">
              <w:t>Грузовые</w:t>
            </w:r>
          </w:p>
          <w:p w:rsidR="0044753E" w:rsidRPr="00070C23" w:rsidRDefault="0044753E" w:rsidP="002F3F4B">
            <w:pPr>
              <w:pStyle w:val="11"/>
            </w:pPr>
            <w:r w:rsidRPr="00070C23">
              <w:t>Легковые</w:t>
            </w:r>
          </w:p>
          <w:p w:rsidR="0044753E" w:rsidRPr="00070C23" w:rsidRDefault="0044753E" w:rsidP="002F3F4B">
            <w:pPr>
              <w:pStyle w:val="11"/>
            </w:pPr>
            <w:r w:rsidRPr="00070C23">
              <w:t>Специальные грузовые</w:t>
            </w:r>
          </w:p>
        </w:tc>
        <w:tc>
          <w:tcPr>
            <w:tcW w:w="2771" w:type="dxa"/>
          </w:tcPr>
          <w:p w:rsidR="0044753E" w:rsidRPr="00070C23" w:rsidRDefault="00B23909" w:rsidP="002F3F4B">
            <w:pPr>
              <w:pStyle w:val="11"/>
            </w:pPr>
            <w:r w:rsidRPr="00070C23">
              <w:t>7</w:t>
            </w:r>
          </w:p>
          <w:p w:rsidR="0044753E" w:rsidRPr="00070C23" w:rsidRDefault="00B23909" w:rsidP="002F3F4B">
            <w:pPr>
              <w:pStyle w:val="11"/>
            </w:pPr>
            <w:r w:rsidRPr="00070C23">
              <w:t>6</w:t>
            </w:r>
          </w:p>
          <w:p w:rsidR="0044753E" w:rsidRPr="00070C23" w:rsidRDefault="00B23909" w:rsidP="002F3F4B">
            <w:pPr>
              <w:pStyle w:val="11"/>
            </w:pPr>
            <w:r w:rsidRPr="00070C23">
              <w:t>3</w:t>
            </w:r>
          </w:p>
        </w:tc>
        <w:tc>
          <w:tcPr>
            <w:tcW w:w="4216" w:type="dxa"/>
          </w:tcPr>
          <w:p w:rsidR="0044753E" w:rsidRPr="00070C23" w:rsidRDefault="00B23909" w:rsidP="002F3F4B">
            <w:pPr>
              <w:pStyle w:val="11"/>
            </w:pPr>
            <w:r w:rsidRPr="00070C23">
              <w:t>30</w:t>
            </w:r>
          </w:p>
          <w:p w:rsidR="0044753E" w:rsidRPr="00070C23" w:rsidRDefault="00B23909" w:rsidP="002F3F4B">
            <w:pPr>
              <w:pStyle w:val="11"/>
            </w:pPr>
            <w:r w:rsidRPr="00070C23">
              <w:t>5</w:t>
            </w:r>
          </w:p>
          <w:p w:rsidR="0044753E" w:rsidRPr="00070C23" w:rsidRDefault="00B23909" w:rsidP="002F3F4B">
            <w:pPr>
              <w:pStyle w:val="11"/>
            </w:pPr>
            <w:r w:rsidRPr="00070C23">
              <w:t>20</w:t>
            </w:r>
          </w:p>
        </w:tc>
      </w:tr>
    </w:tbl>
    <w:p w:rsidR="0044753E" w:rsidRPr="00070C23" w:rsidRDefault="0044753E" w:rsidP="00567EA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A30F2" w:rsidRPr="00070C23" w:rsidRDefault="00EA30F2" w:rsidP="00567EA4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070C23">
        <w:rPr>
          <w:rFonts w:ascii="Times New Roman" w:hAnsi="Times New Roman"/>
          <w:b/>
          <w:bCs/>
          <w:sz w:val="28"/>
          <w:szCs w:val="28"/>
        </w:rPr>
        <w:t>Расчет</w:t>
      </w:r>
    </w:p>
    <w:p w:rsidR="00EA30F2" w:rsidRPr="00070C23" w:rsidRDefault="00EA30F2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Рассчитать выбросы вредных веществ автомобильным транспортом на строительной площадке,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>обеспеченных</w:t>
      </w:r>
      <w:r w:rsidR="004D7DDB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>нефтепродуктами по данным, приведенным в табл.</w:t>
      </w:r>
      <w:r w:rsidR="00F040BD" w:rsidRPr="00070C23">
        <w:rPr>
          <w:rFonts w:ascii="Times New Roman" w:hAnsi="Times New Roman"/>
          <w:sz w:val="28"/>
          <w:szCs w:val="28"/>
        </w:rPr>
        <w:t xml:space="preserve"> </w:t>
      </w:r>
      <w:r w:rsidRPr="00070C23">
        <w:rPr>
          <w:rFonts w:ascii="Times New Roman" w:hAnsi="Times New Roman"/>
          <w:sz w:val="28"/>
          <w:szCs w:val="28"/>
        </w:rPr>
        <w:t>4</w:t>
      </w:r>
    </w:p>
    <w:p w:rsidR="00EA30F2" w:rsidRPr="00070C23" w:rsidRDefault="00EA30F2" w:rsidP="00567EA4">
      <w:pPr>
        <w:pStyle w:val="a5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70C23">
        <w:rPr>
          <w:rFonts w:ascii="Times New Roman" w:hAnsi="Times New Roman"/>
          <w:b/>
          <w:bCs/>
          <w:i/>
          <w:iCs/>
          <w:sz w:val="28"/>
          <w:szCs w:val="28"/>
        </w:rPr>
        <w:t>Решение.</w:t>
      </w:r>
    </w:p>
    <w:p w:rsidR="00EA30F2" w:rsidRPr="00070C23" w:rsidRDefault="00EA30F2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Выбросы вредных веществ рассчитываются по формуле (</w:t>
      </w:r>
      <w:r w:rsidR="007C6401" w:rsidRPr="00070C23">
        <w:rPr>
          <w:rFonts w:ascii="Times New Roman" w:hAnsi="Times New Roman"/>
          <w:sz w:val="28"/>
          <w:szCs w:val="28"/>
        </w:rPr>
        <w:t>5.</w:t>
      </w:r>
      <w:r w:rsidRPr="00070C23">
        <w:rPr>
          <w:rFonts w:ascii="Times New Roman" w:hAnsi="Times New Roman"/>
          <w:sz w:val="28"/>
          <w:szCs w:val="28"/>
        </w:rPr>
        <w:t>1) и составляют:</w:t>
      </w:r>
    </w:p>
    <w:p w:rsidR="00EA30F2" w:rsidRPr="00070C23" w:rsidRDefault="00EA30F2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Оксидов углерода</w:t>
      </w:r>
    </w:p>
    <w:p w:rsidR="00325FE5" w:rsidRPr="00070C23" w:rsidRDefault="008A7345" w:rsidP="00567EA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321.75pt;height:15pt">
            <v:imagedata r:id="rId8" o:title=""/>
          </v:shape>
        </w:pict>
      </w:r>
    </w:p>
    <w:p w:rsid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EA30F2" w:rsidRPr="00070C23" w:rsidRDefault="00EA30F2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Углеводородов</w:t>
      </w:r>
    </w:p>
    <w:p w:rsid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F3F4B" w:rsidRDefault="008A7345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327.75pt;height:15pt">
            <v:imagedata r:id="rId9" o:title=""/>
          </v:shape>
        </w:pict>
      </w:r>
    </w:p>
    <w:p w:rsid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EA30F2" w:rsidRPr="00070C23" w:rsidRDefault="00EA30F2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Оксидов азота</w:t>
      </w:r>
    </w:p>
    <w:p w:rsid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2F3F4B" w:rsidRDefault="008A7345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411.75pt;height:20.25pt">
            <v:imagedata r:id="rId10" o:title=""/>
          </v:shape>
        </w:pict>
      </w:r>
    </w:p>
    <w:p w:rsid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EA30F2" w:rsidRPr="00070C23" w:rsidRDefault="00EA30F2" w:rsidP="00567EA4">
      <w:pPr>
        <w:pStyle w:val="a5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Общий годовой выброс вредных веществ составляет:</w:t>
      </w:r>
    </w:p>
    <w:p w:rsidR="002F3F4B" w:rsidRDefault="002F3F4B" w:rsidP="00567EA4">
      <w:pPr>
        <w:pStyle w:val="a5"/>
        <w:rPr>
          <w:rFonts w:ascii="Times New Roman" w:hAnsi="Times New Roman"/>
          <w:sz w:val="28"/>
          <w:szCs w:val="28"/>
          <w:lang w:val="uk-UA"/>
        </w:rPr>
      </w:pPr>
    </w:p>
    <w:p w:rsidR="00CB78D4" w:rsidRPr="00070C23" w:rsidRDefault="008A7345" w:rsidP="00567EA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9" type="#_x0000_t75" style="width:272.25pt;height:20.25pt">
            <v:imagedata r:id="rId11" o:title=""/>
          </v:shape>
        </w:pict>
      </w:r>
    </w:p>
    <w:p w:rsidR="002F3F4B" w:rsidRDefault="002F3F4B" w:rsidP="00567EA4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b/>
          <w:bCs/>
          <w:sz w:val="28"/>
          <w:szCs w:val="28"/>
        </w:rPr>
        <w:t>5.2</w:t>
      </w:r>
      <w:r w:rsidR="00567EA4" w:rsidRPr="00070C23">
        <w:rPr>
          <w:b/>
          <w:bCs/>
          <w:sz w:val="28"/>
          <w:szCs w:val="28"/>
        </w:rPr>
        <w:t xml:space="preserve"> </w:t>
      </w:r>
      <w:r w:rsidRPr="00070C23">
        <w:rPr>
          <w:b/>
          <w:bCs/>
          <w:sz w:val="28"/>
          <w:szCs w:val="28"/>
        </w:rPr>
        <w:t>Охрана водных ресурсов при производстве строительных работ</w:t>
      </w:r>
    </w:p>
    <w:p w:rsidR="002F3F4B" w:rsidRDefault="002F3F4B" w:rsidP="00567EA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Предусмотрено твердое покрытие площади размещения объекта с установкой бордюрных камней по периметру,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вертикальная планировка обеспечивает необходимый сток. Ливневые воды с возможным загрязнением нефтепродуктами от работающего автотранспорта собираются и сбрасываются в канализационную систему города.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Для предотвращения загрязнения земель и подземных вод при выполнении строительно-монтажных запрещается слив техногенных вод на территории строительной площадки.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Проектом предусматриваются следующие мероприятия при производстве строительных работ:</w:t>
      </w:r>
    </w:p>
    <w:p w:rsidR="000F609D" w:rsidRPr="00070C23" w:rsidRDefault="000F609D" w:rsidP="00567EA4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вертикальную планировку участка выполнить с учетом отвода поверхностного стока с уклоном в сторону ливневой канализации;</w:t>
      </w:r>
    </w:p>
    <w:p w:rsidR="00613F09" w:rsidRPr="00070C23" w:rsidRDefault="00613F09" w:rsidP="00567EA4">
      <w:pPr>
        <w:numPr>
          <w:ilvl w:val="0"/>
          <w:numId w:val="26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организовать отвод поверхностных вод, не допуская утечек техногенных вод и нефтепродуктов в водопоглщающие слои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b/>
          <w:bCs/>
          <w:sz w:val="28"/>
          <w:szCs w:val="28"/>
        </w:rPr>
        <w:t>5.3</w:t>
      </w:r>
      <w:r w:rsidR="00567EA4" w:rsidRPr="00070C23">
        <w:rPr>
          <w:b/>
          <w:bCs/>
          <w:sz w:val="28"/>
          <w:szCs w:val="28"/>
        </w:rPr>
        <w:t xml:space="preserve"> </w:t>
      </w:r>
      <w:r w:rsidRPr="00070C23">
        <w:rPr>
          <w:b/>
          <w:bCs/>
          <w:sz w:val="28"/>
          <w:szCs w:val="28"/>
        </w:rPr>
        <w:t>Охрана и рациональное использование земель</w:t>
      </w:r>
    </w:p>
    <w:p w:rsidR="00CC13E6" w:rsidRDefault="00CC13E6" w:rsidP="00567EA4">
      <w:pPr>
        <w:pStyle w:val="FR1"/>
        <w:spacing w:line="360" w:lineRule="auto"/>
        <w:ind w:firstLine="709"/>
        <w:rPr>
          <w:sz w:val="28"/>
          <w:szCs w:val="28"/>
          <w:lang w:val="uk-UA"/>
        </w:rPr>
      </w:pPr>
    </w:p>
    <w:p w:rsidR="00DE15B3" w:rsidRPr="00070C23" w:rsidRDefault="00DE15B3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Территория, предназначенная для размещения проектируемого объекта, расположена в центральной части г. Симферополя.</w:t>
      </w:r>
    </w:p>
    <w:p w:rsidR="00DE15B3" w:rsidRPr="00070C23" w:rsidRDefault="00DE15B3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Площадь участка 0,1826 га, площадь застройки – 0,045 га.</w:t>
      </w:r>
    </w:p>
    <w:p w:rsidR="00DE15B3" w:rsidRPr="00070C23" w:rsidRDefault="00DE15B3" w:rsidP="00567EA4">
      <w:pPr>
        <w:pStyle w:val="FR1"/>
        <w:spacing w:line="360" w:lineRule="auto"/>
        <w:ind w:firstLine="709"/>
        <w:rPr>
          <w:sz w:val="28"/>
          <w:szCs w:val="28"/>
        </w:rPr>
      </w:pPr>
      <w:r w:rsidRPr="00070C23">
        <w:rPr>
          <w:sz w:val="28"/>
          <w:szCs w:val="28"/>
        </w:rPr>
        <w:t>Рельеф участка спокойный, с плавным понижением на северо-восток. Перепад отметок составляет 0,9 м. За условную отметку 0.000 принят уровень чистого пола 1-го этажа, что соответствует абсолютной отметке 251.400.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Плодородный слой почвы мощностью 0,20 м будет использован для благоустройства территории после окончания строительства.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Перед началом строительных работ на проектируемой площадке необходимо провести подготовительные работы:</w:t>
      </w:r>
    </w:p>
    <w:p w:rsidR="000F609D" w:rsidRPr="00070C23" w:rsidRDefault="000F609D" w:rsidP="00567EA4">
      <w:pPr>
        <w:numPr>
          <w:ilvl w:val="0"/>
          <w:numId w:val="2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снятие плодородного слоя почвы и захоронение его на время строительства;</w:t>
      </w:r>
    </w:p>
    <w:p w:rsidR="004A67DF" w:rsidRPr="00070C23" w:rsidRDefault="004A67DF" w:rsidP="00567EA4">
      <w:pPr>
        <w:numPr>
          <w:ilvl w:val="0"/>
          <w:numId w:val="2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демонтаж определенного проектом существующего покрытия;</w:t>
      </w:r>
    </w:p>
    <w:p w:rsidR="004A67DF" w:rsidRPr="00070C23" w:rsidRDefault="004A67DF" w:rsidP="00567EA4">
      <w:pPr>
        <w:numPr>
          <w:ilvl w:val="0"/>
          <w:numId w:val="2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демонтаж определенных проектом существующих зданий и сооружений;</w:t>
      </w:r>
    </w:p>
    <w:p w:rsidR="004A67DF" w:rsidRPr="00070C23" w:rsidRDefault="004A67DF" w:rsidP="00567EA4">
      <w:pPr>
        <w:numPr>
          <w:ilvl w:val="0"/>
          <w:numId w:val="2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изъятие грунтов при сооружении котлована или фундаментов и использование грунтов для планирования строительной площадки;</w:t>
      </w:r>
    </w:p>
    <w:p w:rsidR="004A67DF" w:rsidRPr="00070C23" w:rsidRDefault="004A67DF" w:rsidP="00567EA4">
      <w:pPr>
        <w:numPr>
          <w:ilvl w:val="0"/>
          <w:numId w:val="2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организация временных дорог и сооружений;</w:t>
      </w:r>
    </w:p>
    <w:p w:rsidR="004A67DF" w:rsidRPr="00070C23" w:rsidRDefault="004A67DF" w:rsidP="00567EA4">
      <w:pPr>
        <w:numPr>
          <w:ilvl w:val="0"/>
          <w:numId w:val="2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корчевание определенных существующих зеленых насаждений;</w:t>
      </w:r>
    </w:p>
    <w:p w:rsidR="004A67DF" w:rsidRPr="00070C23" w:rsidRDefault="004A67DF" w:rsidP="00567EA4">
      <w:pPr>
        <w:numPr>
          <w:ilvl w:val="0"/>
          <w:numId w:val="27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вывоз строительного мусора.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Производство строительно-монтажных работ, движение машин и механизмов, складирование материалов в местах, не предусмотренных проектом, запрещается. После окончания строительства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производится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уборка территории от мусора и прочих отходов. Строительный мусор и отходы вывозятся на свалку, согласованную с землеустроителем. Для сбора бытового мусора устанавливаются мусороконтейнеры.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 xml:space="preserve">Площадь твердых покрытий на территории строительства составляет </w:t>
      </w:r>
      <w:r w:rsidR="002258D0" w:rsidRPr="00070C23">
        <w:rPr>
          <w:sz w:val="28"/>
          <w:szCs w:val="28"/>
        </w:rPr>
        <w:t>0,12 га</w:t>
      </w:r>
      <w:r w:rsidRPr="00070C23">
        <w:rPr>
          <w:sz w:val="28"/>
          <w:szCs w:val="28"/>
        </w:rPr>
        <w:t>, которые комбинируются из асфальтобетонных покрытий, фигурной плитки, лотков, ограждений, с предварительной подготовкой земляного полотна. Остальная часть выравнивается для устройства газона с заменой растительного грунта мощностью 0,15 м, на которой будут высеяны травы – райграс, мятлик луговой, овсяница в границах землепользования.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Разрушение растительного покрова вокруг объекта будет компенсировано при благоустройстве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территории озеленением – посадкой деревьев, кустарников, организацией клумб, как на территории объекта, так и вокруг него согласно проекту.</w:t>
      </w:r>
    </w:p>
    <w:p w:rsidR="000F609D" w:rsidRPr="00CC13E6" w:rsidRDefault="00CC13E6" w:rsidP="00567EA4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F609D" w:rsidRPr="00CC13E6">
        <w:rPr>
          <w:b/>
          <w:bCs/>
          <w:caps/>
          <w:sz w:val="28"/>
          <w:szCs w:val="28"/>
        </w:rPr>
        <w:t>6</w:t>
      </w:r>
      <w:r w:rsidRPr="00CC13E6">
        <w:rPr>
          <w:b/>
          <w:bCs/>
          <w:caps/>
          <w:sz w:val="28"/>
          <w:szCs w:val="28"/>
          <w:lang w:val="uk-UA"/>
        </w:rPr>
        <w:t>.</w:t>
      </w:r>
      <w:r w:rsidR="00567EA4" w:rsidRPr="00CC13E6">
        <w:rPr>
          <w:b/>
          <w:bCs/>
          <w:caps/>
          <w:sz w:val="28"/>
          <w:szCs w:val="28"/>
        </w:rPr>
        <w:t xml:space="preserve"> </w:t>
      </w:r>
      <w:r w:rsidR="00F30DCB" w:rsidRPr="00CC13E6">
        <w:rPr>
          <w:b/>
          <w:bCs/>
          <w:caps/>
          <w:sz w:val="28"/>
          <w:szCs w:val="28"/>
        </w:rPr>
        <w:t>Прогнозирование изменения состояния природной среды</w:t>
      </w:r>
    </w:p>
    <w:p w:rsidR="00CC13E6" w:rsidRDefault="00CC13E6" w:rsidP="00567EA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Технология строительства и эксплуатация объекта исключает преднамеренное складирование отходов и выбросы загрязняющих веществ в окружающую среду.</w:t>
      </w:r>
    </w:p>
    <w:p w:rsidR="004D7DDB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Образующийся в процессе строительства мусор вывозится на согласованную свалку.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Отработанные ГСМ собираются в выгреб-отстойник</w:t>
      </w:r>
      <w:r w:rsidRPr="00070C23">
        <w:rPr>
          <w:b/>
          <w:bCs/>
          <w:sz w:val="28"/>
          <w:szCs w:val="28"/>
        </w:rPr>
        <w:t>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Загрязнение водного бассейна не производится ввиду того,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 xml:space="preserve">что сброс хозбытовых и ливневых стоков </w:t>
      </w:r>
      <w:r w:rsidR="004D7DDB" w:rsidRPr="00070C23">
        <w:rPr>
          <w:sz w:val="28"/>
          <w:szCs w:val="28"/>
        </w:rPr>
        <w:t>осуществляется</w:t>
      </w:r>
      <w:r w:rsidRPr="00070C23">
        <w:rPr>
          <w:sz w:val="28"/>
          <w:szCs w:val="28"/>
        </w:rPr>
        <w:t xml:space="preserve"> в городскую или ливневую канализацию.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Принятые проектные решения, а также комплекс природоохранных мероприятий, позволяет предотвратить загрязнение окружающей природной среды. В целях защиты окружающей природной среды от загрязнения проектом предусматриваются следующие мероприятия:</w:t>
      </w:r>
    </w:p>
    <w:p w:rsidR="000F609D" w:rsidRPr="00070C23" w:rsidRDefault="000F609D" w:rsidP="00567EA4">
      <w:pPr>
        <w:numPr>
          <w:ilvl w:val="0"/>
          <w:numId w:val="2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На территории проектируемого объекта предусмотрено устройство бетонного покрытия с бордюрами, что исключает прямое проникновение загрязненных сточных вод в почву.</w:t>
      </w:r>
    </w:p>
    <w:p w:rsidR="00F30DCB" w:rsidRPr="00070C23" w:rsidRDefault="00F30DCB" w:rsidP="00567EA4">
      <w:pPr>
        <w:numPr>
          <w:ilvl w:val="0"/>
          <w:numId w:val="2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Вертикальная планировка участка с учетом отвода поверхностного стока защитит территорию строительства от ливневого подтопления.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Исходя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из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выполненных расчетов и оценки воздействия процесса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эксплуатации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объекта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на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атмосферный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воздух,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 xml:space="preserve">можно сделать вывод о том, что изменения состояния природной </w:t>
      </w:r>
      <w:r w:rsidR="00241013" w:rsidRPr="00070C23">
        <w:rPr>
          <w:sz w:val="28"/>
          <w:szCs w:val="28"/>
        </w:rPr>
        <w:t>с</w:t>
      </w:r>
      <w:r w:rsidRPr="00070C23">
        <w:rPr>
          <w:sz w:val="28"/>
          <w:szCs w:val="28"/>
        </w:rPr>
        <w:t>реды в районе строительства не произойдет. Учитывая, что на проектируемом объекте предусмотрена современная технология производства строительных работ, используются современные отделочные материалы, применена индивидуальная система отопления здания изменения окружающей среды не произойдет.</w:t>
      </w:r>
    </w:p>
    <w:p w:rsidR="000F609D" w:rsidRPr="00CC13E6" w:rsidRDefault="00CC13E6" w:rsidP="00567EA4">
      <w:pPr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F609D" w:rsidRPr="00CC13E6">
        <w:rPr>
          <w:b/>
          <w:bCs/>
          <w:caps/>
          <w:sz w:val="28"/>
          <w:szCs w:val="28"/>
        </w:rPr>
        <w:t>7</w:t>
      </w:r>
      <w:r w:rsidRPr="00CC13E6">
        <w:rPr>
          <w:b/>
          <w:bCs/>
          <w:caps/>
          <w:sz w:val="28"/>
          <w:szCs w:val="28"/>
          <w:lang w:val="uk-UA"/>
        </w:rPr>
        <w:t>.</w:t>
      </w:r>
      <w:r w:rsidR="00567EA4" w:rsidRPr="00CC13E6">
        <w:rPr>
          <w:b/>
          <w:bCs/>
          <w:caps/>
          <w:sz w:val="28"/>
          <w:szCs w:val="28"/>
        </w:rPr>
        <w:t xml:space="preserve"> </w:t>
      </w:r>
      <w:r w:rsidR="00241013" w:rsidRPr="00CC13E6">
        <w:rPr>
          <w:b/>
          <w:bCs/>
          <w:caps/>
          <w:sz w:val="28"/>
          <w:szCs w:val="28"/>
        </w:rPr>
        <w:t>Заявление об экологических последствиях</w:t>
      </w:r>
    </w:p>
    <w:p w:rsidR="00CC13E6" w:rsidRDefault="00CC13E6" w:rsidP="00567EA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Раздел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проекта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«Оценка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воздействия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на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окружающую природную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среду»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выполнен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соответствии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с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требованиями действующего законодательства.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Площадка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 xml:space="preserve">расположена </w:t>
      </w:r>
      <w:r w:rsidR="003A3595" w:rsidRPr="00070C23">
        <w:rPr>
          <w:sz w:val="28"/>
          <w:szCs w:val="28"/>
        </w:rPr>
        <w:t>в г. Симферополь</w:t>
      </w:r>
      <w:r w:rsidRPr="00070C23">
        <w:rPr>
          <w:sz w:val="28"/>
          <w:szCs w:val="28"/>
        </w:rPr>
        <w:t>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Площадь участка - 0,</w:t>
      </w:r>
      <w:r w:rsidR="003A3595" w:rsidRPr="00070C23">
        <w:rPr>
          <w:sz w:val="28"/>
          <w:szCs w:val="28"/>
        </w:rPr>
        <w:t>1826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га.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Целью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ОВОС является определение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экологической безопасности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проектируемого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объекта,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разработки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мероприятий, предотвращающих загрязнение окружающей природной среды.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Плодородный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слой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почвы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незначителен, гумусовый слой будет использован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для благоустройства территории объекта.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Исходя из выполненной оценки воздействия проектируемого объекта на окружающую природную среду, можно сделать вывод, что изменения ее состояния в районе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расположения объекта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не произойдет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при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условии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выполнения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всех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природоохранных мероприятий, заложенных в проекте.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Заказчик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берет на себя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обязательства осуществлять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 процессе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эксплуатации</w:t>
      </w:r>
      <w:r w:rsidR="004D7DDB" w:rsidRPr="00070C23">
        <w:rPr>
          <w:b/>
          <w:bCs/>
          <w:sz w:val="28"/>
          <w:szCs w:val="28"/>
        </w:rPr>
        <w:t xml:space="preserve"> </w:t>
      </w:r>
      <w:r w:rsidRPr="00070C23">
        <w:rPr>
          <w:sz w:val="28"/>
          <w:szCs w:val="28"/>
        </w:rPr>
        <w:t>объекта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все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предусмотренные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в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ОВОС природоохранные мероприятия.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70C23">
        <w:rPr>
          <w:b/>
          <w:sz w:val="28"/>
          <w:szCs w:val="28"/>
        </w:rPr>
        <w:br w:type="page"/>
        <w:t>СПИСОК ЛИТЕРАТУРНЫХ ИСТОЧНИКОВ</w:t>
      </w:r>
    </w:p>
    <w:p w:rsidR="000F609D" w:rsidRPr="00070C23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1. Об охране окружающей природной среды. Закон Украины.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2. Об охране атмосферного воздуха. Закон Украины от 16.10.92 г.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 xml:space="preserve">3. ДБН А.2.2-1-95. Состава и содержание материалов оценки воздействия на окружающую среду (ОВОС) при проектировании и строительстве предприятий, зданий и сооружений. Госкомградостроительства, Минэкобезопасности.- Киев,1996 г. 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4.ГОСТ 17.2.3.02-78. Охрана природы. Атмосфера. Правила установления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допустимых выбросов вредных веществ промышленными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предприятиями.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5.ВБН В.2.2-58.1-94. Проектирование складов нефти и нефтепродуктов с давлением насыщенных паров не выше 93,3 кПа. Укрнефтепродукт, Киев, 1994 г.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6. РД 238 УССР 84001-106-89. Инструкция. Установление допустимых выбросов вредных веществ в атмосферу предприятиями Минтранса УССР. - Минтранс УССР, 1989 г.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7. Перечень и коды веществ, загрязняющих атмосферный воздух. - Л.,1991г.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8. Сборник методик по расчету выбросов в атмосферу загрязняющих веществ различными производствами.- Л.: Гидрометеоиздат, 1986 г.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9. Временная инструкция о порядке проведения оценки влияния на окружающую среду при разработке технико-экономических обоснований (расчетов) и проектов строительства народнохозяйственных объектов и комплексов.</w:t>
      </w:r>
    </w:p>
    <w:p w:rsidR="000F609D" w:rsidRPr="00070C23" w:rsidRDefault="000F609D" w:rsidP="00CC13E6">
      <w:pPr>
        <w:pStyle w:val="a7"/>
        <w:spacing w:line="360" w:lineRule="auto"/>
        <w:rPr>
          <w:rFonts w:ascii="Times New Roman" w:hAnsi="Times New Roman"/>
          <w:sz w:val="28"/>
          <w:szCs w:val="28"/>
        </w:rPr>
      </w:pPr>
      <w:r w:rsidRPr="00070C23">
        <w:rPr>
          <w:rFonts w:ascii="Times New Roman" w:hAnsi="Times New Roman"/>
          <w:sz w:val="28"/>
          <w:szCs w:val="28"/>
        </w:rPr>
        <w:t>10. СНиП 2.04.02-84 Водоснабжение. Наружные сети и сооружения.- М.,1985г.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 xml:space="preserve">11. СНиП 2.04.03-84 Канализация. Наружные сети и сооружения. - М., 986г. 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12.Линейные нормы расхода топлива для автомобильного транспорта.-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Киев,1990 г.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13. Оценка экологического состояния территорий расположения АЗС в в г. Симферопле и определение зоны их влияния на окружающую природную среду / Авторы: Сапронова З.Д., Тарасенко В.С., Садыкова Г.Э.Отчет НПК КАПКС, г.Симферополь, 1999г. (по заданию Управления Архитектуры и градостроительства Симферопольского горисполкома).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14. Опекунов А.Ю. Экологическое нормирование. – СПб, ВНИИОкеанология, 2001. С.154-167.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15. ДБН</w:t>
      </w:r>
      <w:r w:rsidR="004D7DDB" w:rsidRPr="00070C23">
        <w:rPr>
          <w:sz w:val="28"/>
          <w:szCs w:val="28"/>
        </w:rPr>
        <w:t xml:space="preserve"> </w:t>
      </w:r>
      <w:r w:rsidRPr="00070C23">
        <w:rPr>
          <w:sz w:val="28"/>
          <w:szCs w:val="28"/>
        </w:rPr>
        <w:t>Газоснабжение.</w:t>
      </w:r>
    </w:p>
    <w:p w:rsidR="000F609D" w:rsidRPr="00070C23" w:rsidRDefault="000F609D" w:rsidP="00CC13E6">
      <w:pPr>
        <w:spacing w:line="360" w:lineRule="auto"/>
        <w:jc w:val="both"/>
        <w:rPr>
          <w:sz w:val="28"/>
          <w:szCs w:val="28"/>
        </w:rPr>
      </w:pPr>
      <w:r w:rsidRPr="00070C23">
        <w:rPr>
          <w:sz w:val="28"/>
          <w:szCs w:val="28"/>
        </w:rPr>
        <w:t>16. СНиП 2.06.05 – 84.</w:t>
      </w:r>
    </w:p>
    <w:p w:rsidR="00820EBE" w:rsidRPr="00C81DB8" w:rsidRDefault="00820EBE" w:rsidP="00820EBE">
      <w:pPr>
        <w:spacing w:line="360" w:lineRule="auto"/>
        <w:rPr>
          <w:rStyle w:val="FontStyle16"/>
          <w:sz w:val="28"/>
          <w:szCs w:val="28"/>
          <w:lang w:val="uk-UA"/>
        </w:rPr>
      </w:pPr>
    </w:p>
    <w:p w:rsidR="000F609D" w:rsidRPr="00567EA4" w:rsidRDefault="000F609D" w:rsidP="00567EA4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0F609D" w:rsidRPr="00567EA4" w:rsidSect="005D517F">
      <w:headerReference w:type="even" r:id="rId12"/>
      <w:headerReference w:type="default" r:id="rId13"/>
      <w:type w:val="nextColumn"/>
      <w:pgSz w:w="11907" w:h="16840" w:code="9"/>
      <w:pgMar w:top="1134" w:right="851" w:bottom="1134" w:left="1701" w:header="454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67D" w:rsidRDefault="00C0167D">
      <w:r>
        <w:separator/>
      </w:r>
    </w:p>
  </w:endnote>
  <w:endnote w:type="continuationSeparator" w:id="0">
    <w:p w:rsidR="00C0167D" w:rsidRDefault="00C0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67D" w:rsidRDefault="00C0167D">
      <w:r>
        <w:separator/>
      </w:r>
    </w:p>
  </w:footnote>
  <w:footnote w:type="continuationSeparator" w:id="0">
    <w:p w:rsidR="00C0167D" w:rsidRDefault="00C01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F0A" w:rsidRDefault="00E360DB" w:rsidP="0045778D">
    <w:pPr>
      <w:pStyle w:val="a3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9F5F0A" w:rsidRPr="00E00C1A" w:rsidRDefault="009F5F0A" w:rsidP="00820EBE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F0A" w:rsidRPr="00E00C1A" w:rsidRDefault="009F5F0A" w:rsidP="00820EBE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14109"/>
    <w:multiLevelType w:val="hybridMultilevel"/>
    <w:tmpl w:val="961C1AE6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DF520CB"/>
    <w:multiLevelType w:val="hybridMultilevel"/>
    <w:tmpl w:val="1B02986C"/>
    <w:lvl w:ilvl="0" w:tplc="A330D9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13E30AB"/>
    <w:multiLevelType w:val="hybridMultilevel"/>
    <w:tmpl w:val="91CA984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1477D7"/>
    <w:multiLevelType w:val="hybridMultilevel"/>
    <w:tmpl w:val="9D72C19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137CD0"/>
    <w:multiLevelType w:val="hybridMultilevel"/>
    <w:tmpl w:val="5914DB6C"/>
    <w:lvl w:ilvl="0" w:tplc="DA325474">
      <w:start w:val="1"/>
      <w:numFmt w:val="decimal"/>
      <w:lvlText w:val="%1."/>
      <w:lvlJc w:val="left"/>
      <w:pPr>
        <w:tabs>
          <w:tab w:val="num" w:pos="6394"/>
        </w:tabs>
        <w:ind w:left="6394" w:hanging="56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1CA6BD3"/>
    <w:multiLevelType w:val="hybridMultilevel"/>
    <w:tmpl w:val="BE78AA9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25933DDF"/>
    <w:multiLevelType w:val="hybridMultilevel"/>
    <w:tmpl w:val="FC7A8AB2"/>
    <w:lvl w:ilvl="0" w:tplc="18049A46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70C3448"/>
    <w:multiLevelType w:val="hybridMultilevel"/>
    <w:tmpl w:val="C4301F26"/>
    <w:lvl w:ilvl="0" w:tplc="7C380D4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28BB4382"/>
    <w:multiLevelType w:val="hybridMultilevel"/>
    <w:tmpl w:val="80105E30"/>
    <w:lvl w:ilvl="0" w:tplc="6B96FB7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2B603868"/>
    <w:multiLevelType w:val="hybridMultilevel"/>
    <w:tmpl w:val="AF3282E6"/>
    <w:lvl w:ilvl="0" w:tplc="04190005">
      <w:start w:val="1"/>
      <w:numFmt w:val="bullet"/>
      <w:lvlText w:val=""/>
      <w:lvlJc w:val="left"/>
      <w:pPr>
        <w:tabs>
          <w:tab w:val="num" w:pos="1864"/>
        </w:tabs>
        <w:ind w:left="18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E9C4F9B"/>
    <w:multiLevelType w:val="singleLevel"/>
    <w:tmpl w:val="55900778"/>
    <w:lvl w:ilvl="0">
      <w:start w:val="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>
    <w:nsid w:val="2F5F07B8"/>
    <w:multiLevelType w:val="hybridMultilevel"/>
    <w:tmpl w:val="AF3282E6"/>
    <w:lvl w:ilvl="0" w:tplc="C2CEF9BE">
      <w:start w:val="1"/>
      <w:numFmt w:val="bullet"/>
      <w:lvlText w:val=""/>
      <w:lvlJc w:val="left"/>
      <w:pPr>
        <w:tabs>
          <w:tab w:val="num" w:pos="2203"/>
        </w:tabs>
        <w:ind w:left="2183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39A49FB"/>
    <w:multiLevelType w:val="hybridMultilevel"/>
    <w:tmpl w:val="CA803952"/>
    <w:lvl w:ilvl="0" w:tplc="6F0C820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DA1515"/>
    <w:multiLevelType w:val="hybridMultilevel"/>
    <w:tmpl w:val="1308A0B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CC613B"/>
    <w:multiLevelType w:val="hybridMultilevel"/>
    <w:tmpl w:val="A96AD8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5A065C"/>
    <w:multiLevelType w:val="hybridMultilevel"/>
    <w:tmpl w:val="61E2B6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750687"/>
    <w:multiLevelType w:val="hybridMultilevel"/>
    <w:tmpl w:val="4FF4C050"/>
    <w:lvl w:ilvl="0" w:tplc="409C1108">
      <w:start w:val="15"/>
      <w:numFmt w:val="bullet"/>
      <w:lvlText w:val="-"/>
      <w:lvlJc w:val="left"/>
      <w:pPr>
        <w:tabs>
          <w:tab w:val="num" w:pos="1466"/>
        </w:tabs>
        <w:ind w:left="1449" w:hanging="343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E5A4836"/>
    <w:multiLevelType w:val="hybridMultilevel"/>
    <w:tmpl w:val="09FA2E6E"/>
    <w:lvl w:ilvl="0" w:tplc="04190005">
      <w:start w:val="1"/>
      <w:numFmt w:val="bullet"/>
      <w:lvlText w:val=""/>
      <w:lvlJc w:val="left"/>
      <w:pPr>
        <w:tabs>
          <w:tab w:val="num" w:pos="1864"/>
        </w:tabs>
        <w:ind w:left="18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4"/>
        </w:tabs>
        <w:ind w:left="25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18">
    <w:nsid w:val="403E5989"/>
    <w:multiLevelType w:val="hybridMultilevel"/>
    <w:tmpl w:val="F56E0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A46060"/>
    <w:multiLevelType w:val="singleLevel"/>
    <w:tmpl w:val="0966D5F8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0">
    <w:nsid w:val="43B77445"/>
    <w:multiLevelType w:val="hybridMultilevel"/>
    <w:tmpl w:val="09FA2E6E"/>
    <w:lvl w:ilvl="0" w:tplc="409C1108">
      <w:start w:val="15"/>
      <w:numFmt w:val="bullet"/>
      <w:lvlText w:val="-"/>
      <w:lvlJc w:val="left"/>
      <w:pPr>
        <w:tabs>
          <w:tab w:val="num" w:pos="1864"/>
        </w:tabs>
        <w:ind w:left="1847" w:hanging="34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4"/>
        </w:tabs>
        <w:ind w:left="25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1">
    <w:nsid w:val="55347A89"/>
    <w:multiLevelType w:val="multilevel"/>
    <w:tmpl w:val="524482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651354AD"/>
    <w:multiLevelType w:val="hybridMultilevel"/>
    <w:tmpl w:val="715A153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FF226E"/>
    <w:multiLevelType w:val="hybridMultilevel"/>
    <w:tmpl w:val="25FECB0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5436E01"/>
    <w:multiLevelType w:val="hybridMultilevel"/>
    <w:tmpl w:val="44A02E22"/>
    <w:lvl w:ilvl="0" w:tplc="A50C5D56">
      <w:start w:val="9"/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25">
    <w:nsid w:val="76A02CE4"/>
    <w:multiLevelType w:val="multilevel"/>
    <w:tmpl w:val="A1F0234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6">
    <w:nsid w:val="776C3C10"/>
    <w:multiLevelType w:val="hybridMultilevel"/>
    <w:tmpl w:val="4FF4C050"/>
    <w:lvl w:ilvl="0" w:tplc="4BF201E4">
      <w:start w:val="15"/>
      <w:numFmt w:val="bullet"/>
      <w:lvlText w:val="-"/>
      <w:lvlJc w:val="left"/>
      <w:pPr>
        <w:tabs>
          <w:tab w:val="num" w:pos="1474"/>
        </w:tabs>
        <w:ind w:left="1474" w:hanging="368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77AE14FE"/>
    <w:multiLevelType w:val="hybridMultilevel"/>
    <w:tmpl w:val="175EBFC4"/>
    <w:lvl w:ilvl="0" w:tplc="C2CEF9BE">
      <w:start w:val="1"/>
      <w:numFmt w:val="bullet"/>
      <w:lvlText w:val=""/>
      <w:lvlJc w:val="left"/>
      <w:pPr>
        <w:tabs>
          <w:tab w:val="num" w:pos="2203"/>
        </w:tabs>
        <w:ind w:left="2183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24"/>
  </w:num>
  <w:num w:numId="4">
    <w:abstractNumId w:val="4"/>
  </w:num>
  <w:num w:numId="5">
    <w:abstractNumId w:val="8"/>
  </w:num>
  <w:num w:numId="6">
    <w:abstractNumId w:val="21"/>
  </w:num>
  <w:num w:numId="7">
    <w:abstractNumId w:val="25"/>
  </w:num>
  <w:num w:numId="8">
    <w:abstractNumId w:val="12"/>
  </w:num>
  <w:num w:numId="9">
    <w:abstractNumId w:val="17"/>
  </w:num>
  <w:num w:numId="10">
    <w:abstractNumId w:val="18"/>
  </w:num>
  <w:num w:numId="11">
    <w:abstractNumId w:val="20"/>
  </w:num>
  <w:num w:numId="12">
    <w:abstractNumId w:val="16"/>
  </w:num>
  <w:num w:numId="13">
    <w:abstractNumId w:val="26"/>
  </w:num>
  <w:num w:numId="14">
    <w:abstractNumId w:val="27"/>
  </w:num>
  <w:num w:numId="15">
    <w:abstractNumId w:val="11"/>
  </w:num>
  <w:num w:numId="16">
    <w:abstractNumId w:val="9"/>
  </w:num>
  <w:num w:numId="17">
    <w:abstractNumId w:val="23"/>
  </w:num>
  <w:num w:numId="18">
    <w:abstractNumId w:val="14"/>
  </w:num>
  <w:num w:numId="19">
    <w:abstractNumId w:val="6"/>
  </w:num>
  <w:num w:numId="20">
    <w:abstractNumId w:val="7"/>
  </w:num>
  <w:num w:numId="21">
    <w:abstractNumId w:val="0"/>
  </w:num>
  <w:num w:numId="22">
    <w:abstractNumId w:val="5"/>
  </w:num>
  <w:num w:numId="23">
    <w:abstractNumId w:val="1"/>
  </w:num>
  <w:num w:numId="24">
    <w:abstractNumId w:val="2"/>
  </w:num>
  <w:num w:numId="25">
    <w:abstractNumId w:val="15"/>
  </w:num>
  <w:num w:numId="26">
    <w:abstractNumId w:val="13"/>
  </w:num>
  <w:num w:numId="27">
    <w:abstractNumId w:val="3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FB3"/>
    <w:rsid w:val="00042B10"/>
    <w:rsid w:val="00070C23"/>
    <w:rsid w:val="00076261"/>
    <w:rsid w:val="000A77D9"/>
    <w:rsid w:val="000B4A78"/>
    <w:rsid w:val="000B60E1"/>
    <w:rsid w:val="000E3EB8"/>
    <w:rsid w:val="000F1E1C"/>
    <w:rsid w:val="000F609D"/>
    <w:rsid w:val="001774B9"/>
    <w:rsid w:val="001944A1"/>
    <w:rsid w:val="001C03B3"/>
    <w:rsid w:val="001D10B1"/>
    <w:rsid w:val="001E15F7"/>
    <w:rsid w:val="001F0F1B"/>
    <w:rsid w:val="001F2B23"/>
    <w:rsid w:val="00221AAC"/>
    <w:rsid w:val="002233EC"/>
    <w:rsid w:val="002258D0"/>
    <w:rsid w:val="002346FC"/>
    <w:rsid w:val="00241013"/>
    <w:rsid w:val="002439C0"/>
    <w:rsid w:val="002743F9"/>
    <w:rsid w:val="002B0B5D"/>
    <w:rsid w:val="002B52D1"/>
    <w:rsid w:val="002E16F8"/>
    <w:rsid w:val="002E5059"/>
    <w:rsid w:val="002F0880"/>
    <w:rsid w:val="002F3F4B"/>
    <w:rsid w:val="002F7788"/>
    <w:rsid w:val="00303BDB"/>
    <w:rsid w:val="00325FE5"/>
    <w:rsid w:val="00337ED4"/>
    <w:rsid w:val="003409A9"/>
    <w:rsid w:val="003A182B"/>
    <w:rsid w:val="003A3595"/>
    <w:rsid w:val="003C2396"/>
    <w:rsid w:val="00421B72"/>
    <w:rsid w:val="0044753E"/>
    <w:rsid w:val="0045778D"/>
    <w:rsid w:val="004A67DF"/>
    <w:rsid w:val="004D7DDB"/>
    <w:rsid w:val="005134D8"/>
    <w:rsid w:val="00522500"/>
    <w:rsid w:val="00524CC0"/>
    <w:rsid w:val="00536952"/>
    <w:rsid w:val="005437A9"/>
    <w:rsid w:val="0055378E"/>
    <w:rsid w:val="00565057"/>
    <w:rsid w:val="00567EA4"/>
    <w:rsid w:val="005A312D"/>
    <w:rsid w:val="005C6BE6"/>
    <w:rsid w:val="005D004E"/>
    <w:rsid w:val="005D517F"/>
    <w:rsid w:val="005F4FAB"/>
    <w:rsid w:val="006133DC"/>
    <w:rsid w:val="00613F09"/>
    <w:rsid w:val="00622398"/>
    <w:rsid w:val="00624EA0"/>
    <w:rsid w:val="0063663E"/>
    <w:rsid w:val="0063784A"/>
    <w:rsid w:val="0065271A"/>
    <w:rsid w:val="00656168"/>
    <w:rsid w:val="006644AA"/>
    <w:rsid w:val="006832C3"/>
    <w:rsid w:val="006876DC"/>
    <w:rsid w:val="006D04EB"/>
    <w:rsid w:val="006D30E4"/>
    <w:rsid w:val="00706A60"/>
    <w:rsid w:val="00757A0E"/>
    <w:rsid w:val="007752FA"/>
    <w:rsid w:val="00786C1D"/>
    <w:rsid w:val="00796AA2"/>
    <w:rsid w:val="007C6401"/>
    <w:rsid w:val="007E0128"/>
    <w:rsid w:val="007E3F76"/>
    <w:rsid w:val="00814948"/>
    <w:rsid w:val="00820EBE"/>
    <w:rsid w:val="008245D0"/>
    <w:rsid w:val="008324B4"/>
    <w:rsid w:val="008416CC"/>
    <w:rsid w:val="0084492B"/>
    <w:rsid w:val="00872A95"/>
    <w:rsid w:val="00881208"/>
    <w:rsid w:val="008A7345"/>
    <w:rsid w:val="008E6B8B"/>
    <w:rsid w:val="008F28E4"/>
    <w:rsid w:val="008F56DD"/>
    <w:rsid w:val="008F579B"/>
    <w:rsid w:val="00915C81"/>
    <w:rsid w:val="00930BCA"/>
    <w:rsid w:val="009A24BE"/>
    <w:rsid w:val="009A4D4C"/>
    <w:rsid w:val="009C2EBB"/>
    <w:rsid w:val="009C4402"/>
    <w:rsid w:val="009D186C"/>
    <w:rsid w:val="009D4E8D"/>
    <w:rsid w:val="009F5F0A"/>
    <w:rsid w:val="00A036AA"/>
    <w:rsid w:val="00A423A2"/>
    <w:rsid w:val="00A745DA"/>
    <w:rsid w:val="00AA60CA"/>
    <w:rsid w:val="00AB7AE5"/>
    <w:rsid w:val="00AC0917"/>
    <w:rsid w:val="00AC20CF"/>
    <w:rsid w:val="00AD512C"/>
    <w:rsid w:val="00AE1691"/>
    <w:rsid w:val="00AF35DA"/>
    <w:rsid w:val="00B2371C"/>
    <w:rsid w:val="00B2387B"/>
    <w:rsid w:val="00B23909"/>
    <w:rsid w:val="00B512A5"/>
    <w:rsid w:val="00B87DCA"/>
    <w:rsid w:val="00B95BEC"/>
    <w:rsid w:val="00BC5046"/>
    <w:rsid w:val="00BE58F7"/>
    <w:rsid w:val="00C0167D"/>
    <w:rsid w:val="00C13B24"/>
    <w:rsid w:val="00C2008C"/>
    <w:rsid w:val="00C54415"/>
    <w:rsid w:val="00C81DB8"/>
    <w:rsid w:val="00C901AA"/>
    <w:rsid w:val="00CB1946"/>
    <w:rsid w:val="00CB258E"/>
    <w:rsid w:val="00CB2BFA"/>
    <w:rsid w:val="00CB78D4"/>
    <w:rsid w:val="00CC13E6"/>
    <w:rsid w:val="00CE3DEE"/>
    <w:rsid w:val="00D414B3"/>
    <w:rsid w:val="00D64B55"/>
    <w:rsid w:val="00D771C9"/>
    <w:rsid w:val="00D90068"/>
    <w:rsid w:val="00D9437D"/>
    <w:rsid w:val="00DE15B3"/>
    <w:rsid w:val="00DF5A31"/>
    <w:rsid w:val="00E00C1A"/>
    <w:rsid w:val="00E049A1"/>
    <w:rsid w:val="00E360DB"/>
    <w:rsid w:val="00E40679"/>
    <w:rsid w:val="00E713F2"/>
    <w:rsid w:val="00E93F14"/>
    <w:rsid w:val="00EA147E"/>
    <w:rsid w:val="00EA30F2"/>
    <w:rsid w:val="00EC53B7"/>
    <w:rsid w:val="00ED3556"/>
    <w:rsid w:val="00ED7B94"/>
    <w:rsid w:val="00F040BD"/>
    <w:rsid w:val="00F10934"/>
    <w:rsid w:val="00F10FB3"/>
    <w:rsid w:val="00F30DCB"/>
    <w:rsid w:val="00F44485"/>
    <w:rsid w:val="00FA3F56"/>
    <w:rsid w:val="00FB59A0"/>
    <w:rsid w:val="00FB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A864B348-E0BA-42C4-9A3E-5532AB72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rFonts w:ascii="Courier New" w:hAnsi="Courier New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rFonts w:ascii="Courier New" w:hAnsi="Courier New"/>
      <w:b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ind w:firstLine="709"/>
      <w:jc w:val="center"/>
      <w:outlineLvl w:val="2"/>
    </w:pPr>
    <w:rPr>
      <w:rFonts w:ascii="Courier New" w:hAnsi="Courier New"/>
      <w:b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right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hadow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  <w:rPr>
      <w:rFonts w:ascii="Courier New" w:hAnsi="Courier New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820EBE"/>
    <w:rPr>
      <w:rFonts w:ascii="Courier New" w:hAnsi="Courier New" w:cs="Times New Roman"/>
      <w:sz w:val="24"/>
      <w:lang w:val="ru-RU" w:eastAsia="ru-RU" w:bidi="ar-SA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  <w:jc w:val="right"/>
    </w:pPr>
    <w:rPr>
      <w:rFonts w:ascii="Courier New" w:hAnsi="Courier New"/>
      <w:szCs w:val="20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709"/>
      <w:jc w:val="both"/>
    </w:pPr>
    <w:rPr>
      <w:rFonts w:ascii="Courier New" w:hAnsi="Courier New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line="320" w:lineRule="auto"/>
      <w:ind w:left="760" w:right="1600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line="440" w:lineRule="auto"/>
      <w:ind w:firstLine="680"/>
      <w:jc w:val="both"/>
    </w:pPr>
    <w:rPr>
      <w:sz w:val="22"/>
      <w:szCs w:val="22"/>
    </w:rPr>
  </w:style>
  <w:style w:type="paragraph" w:customStyle="1" w:styleId="FR4">
    <w:name w:val="FR4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sz w:val="12"/>
      <w:szCs w:val="12"/>
    </w:rPr>
  </w:style>
  <w:style w:type="paragraph" w:styleId="21">
    <w:name w:val="Body Text Indent 2"/>
    <w:basedOn w:val="a"/>
    <w:link w:val="22"/>
    <w:uiPriority w:val="99"/>
    <w:pPr>
      <w:widowControl w:val="0"/>
      <w:autoSpaceDE w:val="0"/>
      <w:autoSpaceDN w:val="0"/>
      <w:adjustRightInd w:val="0"/>
      <w:spacing w:line="460" w:lineRule="auto"/>
      <w:ind w:firstLine="260"/>
      <w:jc w:val="both"/>
    </w:pPr>
    <w:rPr>
      <w:rFonts w:ascii="Courier New" w:hAnsi="Courier New" w:cs="Courier New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pPr>
      <w:jc w:val="both"/>
    </w:pPr>
    <w:rPr>
      <w:rFonts w:ascii="Courier New" w:hAnsi="Courier New"/>
      <w:szCs w:val="20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table" w:styleId="ac">
    <w:name w:val="Table Grid"/>
    <w:basedOn w:val="a1"/>
    <w:uiPriority w:val="99"/>
    <w:rsid w:val="00AC20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"/>
    <w:basedOn w:val="a5"/>
    <w:uiPriority w:val="99"/>
    <w:rsid w:val="002F3F4B"/>
    <w:pPr>
      <w:ind w:firstLine="0"/>
    </w:pPr>
    <w:rPr>
      <w:rFonts w:ascii="Times New Roman" w:hAnsi="Times New Roman"/>
      <w:sz w:val="20"/>
    </w:rPr>
  </w:style>
  <w:style w:type="character" w:customStyle="1" w:styleId="FontStyle16">
    <w:name w:val="Font Style16"/>
    <w:uiPriority w:val="99"/>
    <w:rsid w:val="00820EBE"/>
    <w:rPr>
      <w:rFonts w:ascii="Times New Roman" w:hAnsi="Times New Roman"/>
      <w:sz w:val="20"/>
    </w:rPr>
  </w:style>
  <w:style w:type="character" w:styleId="ad">
    <w:name w:val="Hyperlink"/>
    <w:uiPriority w:val="99"/>
    <w:rsid w:val="00820EB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2440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НАУЧНОЕ ТВОРЧЕСКОЕ ПРОИЗВОДСТВЕННОЕ ОБЪЕДИНЕНИЕ “КРЫМ”</vt:lpstr>
    </vt:vector>
  </TitlesOfParts>
  <Company>Дом</Company>
  <LinksUpToDate>false</LinksUpToDate>
  <CharactersWithSpaces>16320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НАУЧНОЕ ТВОРЧЕСКОЕ ПРОИЗВОДСТВЕННОЕ ОБЪЕДИНЕНИЕ “КРЫМ”</dc:title>
  <dc:subject/>
  <dc:creator>Эльдар</dc:creator>
  <cp:keywords/>
  <dc:description/>
  <cp:lastModifiedBy>admin</cp:lastModifiedBy>
  <cp:revision>2</cp:revision>
  <cp:lastPrinted>2005-05-19T09:59:00Z</cp:lastPrinted>
  <dcterms:created xsi:type="dcterms:W3CDTF">2014-03-25T01:29:00Z</dcterms:created>
  <dcterms:modified xsi:type="dcterms:W3CDTF">2014-03-25T01:29:00Z</dcterms:modified>
</cp:coreProperties>
</file>