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888" w:rsidRPr="008F4787" w:rsidRDefault="00B52888" w:rsidP="00B52888">
      <w:pPr>
        <w:spacing w:before="120"/>
        <w:jc w:val="center"/>
        <w:rPr>
          <w:b/>
          <w:bCs/>
          <w:sz w:val="32"/>
          <w:szCs w:val="32"/>
        </w:rPr>
      </w:pPr>
      <w:r w:rsidRPr="008F4787">
        <w:rPr>
          <w:b/>
          <w:bCs/>
          <w:sz w:val="32"/>
          <w:szCs w:val="32"/>
        </w:rPr>
        <w:t>Экология человека: современные проблемы и пути их решения</w:t>
      </w:r>
    </w:p>
    <w:p w:rsidR="00B52888" w:rsidRPr="008F4787" w:rsidRDefault="00B52888" w:rsidP="00B52888">
      <w:pPr>
        <w:spacing w:before="120"/>
        <w:jc w:val="center"/>
        <w:rPr>
          <w:sz w:val="28"/>
          <w:szCs w:val="28"/>
        </w:rPr>
      </w:pPr>
      <w:r w:rsidRPr="008F4787">
        <w:rPr>
          <w:sz w:val="28"/>
          <w:szCs w:val="28"/>
        </w:rPr>
        <w:t>Рахманин Ю.А., Директор Института экологии человека и гигиены окружающей среды имени А.И. Сысина РАМН, вице-президент РАМН, академик РАЕН, профессор.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Экология человека - часть экологии, ставящая своей целью изучение закономерностей взаимодействия факторов окружающей среды и организма человека, в то время как Гигиена окружающей среды - отрасль науки, занимающаяся обоснованием профилактических и оздоровительных мероприятий по улучшению условий жизни населения. (Сидоренко Г.И. и др., 1998).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Основные факторы, определяющие состояние здоровья - генетические, образ жизни, трудовая деятельность, качество жизни и окружающая среда. В настоящее время экологические проблемы обозначены в числе приоритетных направлений развития науки, они утверждены Президентом России (Приоритетные направления развития науки, технологий и техники Российской Федерации, утвержденные Президентом Российской Федерации В.В.Путиным 30.03.2002 года, Пр-577):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Приоритетные направления: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* Экология и рациональное природопользование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* Технологии живых систем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Приоритетные технологии: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* Системы жизнеобеспечения и защиты человека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* Мониторинг окружающей среды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* Генодиагностика и генотерапия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* Природоохранные технологии, переработка и утилизация техногенных образований и отходов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* Снижение риска и уменьшение последствий природных и техногенных катастроф</w:t>
      </w:r>
      <w:r>
        <w:t xml:space="preserve"> </w:t>
      </w:r>
    </w:p>
    <w:p w:rsidR="00B52888" w:rsidRPr="00FE13B6" w:rsidRDefault="00B52888" w:rsidP="00B52888">
      <w:pPr>
        <w:spacing w:before="120"/>
        <w:ind w:firstLine="567"/>
        <w:jc w:val="both"/>
      </w:pPr>
      <w:r w:rsidRPr="00FE13B6">
        <w:t>Основой оценки влияния факторов окружающей среды на здоровье являются предельно допустимые концентрации.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Критерии обоснования гигиенических нормативов различны для различных сред, основаны на предельно допустимых концентрациях (ПДК, ПДК м.р. - максимально разовых, ПДК с.с. - среднесуточных), на отношениях пороговых концентраций (ПК) или пороговых доз (ПД) к коэффициентам запаса (К зап.), на максимально недействующих дозах (МНД) и концентрациях (МНК) и на допустимых суточных дозах (ДСД) для отдельных веществ. Гигиенические нормативы достаточно хорошо обоснованы, как и рыбохозяйственные. По лесным нормативам и по общим экологическим существуют большие вопросы в смысле обоснования, установления критериев, и наличия самих нормативов.</w:t>
      </w:r>
      <w:r>
        <w:t xml:space="preserve"> </w:t>
      </w:r>
    </w:p>
    <w:p w:rsidR="00B52888" w:rsidRPr="00FE13B6" w:rsidRDefault="00B52888" w:rsidP="00B52888">
      <w:pPr>
        <w:spacing w:before="120"/>
        <w:ind w:firstLine="567"/>
        <w:jc w:val="both"/>
      </w:pPr>
      <w:r w:rsidRPr="00FE13B6">
        <w:t>Если говорить о гигиенических регламентах (табл. 2), о том, какой нормативной базой сегодня мы располагаем, то это порядка четырех с половиной тысяч предельно допустимых концентраций для различных химических веществ и около половины из них приходится на загрязнители атмосферного воздуха. Они представлены как предельно допустимыми концентрациями, так и ориентировочными безопасными уровнями воздействия (ОБУВ) или ориентировочными допустимыми уровнями (ОДУ) концентрации веществ.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Если говорить о микробиологических и паразитологических показателях, то сегодня они обоснованы для большой группы патогенных, условно патогенных бактерий, вирусов, простейших и грибов. В связи с тем, что это очень трудоемкие исследования и оценка, как правило, бывает очень сложной, то разработаны санитарно-показательные индикаторы, по которым можно судить о возможности эпидемической безопасности окружающей среды.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Сегодня в список 40 городов с максимальными концентрациями загрязняющих веществ в атмосферном воздухе (выше 10 предельно допустимых концентраций) входят многие известные крупные города. Если говорить вообще о превышении предельно допустимых концентрациях, то, по существу, сегодня оно отмечается в большинстве наших городов.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Для примера. Были проанализированы заявленные выбросы от 1304 предприятий г. Москвы. Осуществлена идентификация опасности 891 компонента. Проранжирована канцерогенная и неканцерогенная опасность выбросов 542 химических веществ. Общее число контролируемых в Москве веществ -27. На маршрутных постах-21. На постах ОАО "Прима" -10. На постах МосЦГМС -17. На подфакельных постах -12. Были обозначены приоритетные загрязнители: среди канцерогенов - хром шестивалентный, бензол, бутадиен, никель, тетрахлорметан, мышьяк, формальдегид, трихлорэтилен; среди неканцерогенов: диоксиды азота и серы, ванадий, марганец, цинк, медь, взвешенные вещества и сероводород.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Одно из важнейших мероприятий - введение новых технологий по очистке от загрязнения окружающей среды. И нужно сказать, что эта тенденция, несмотря на очень сложные экономические условия, все-таки имеет место быть. За последние годы именно в связи с введением новых технологий были пересмотрены размеры санитарно-защитных зон в сторону их значительного уменьшения для 125 объектов, и к ним, в первую очередь, относятся химические предприятия, металлургические и металлоперерабатывающие, нефтебазы, обработка пищевых веществ и строительные организации, то есть те организации, которые сегодня обеспечены финансами.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Рассмотрим картину, сложившуюся с питьевым водоснабжением. Данные 1991-1997 годов говорят о том, что в среднем требованиям по санитарно-химическим показателям не отвечала каждая четвертая - пятая проба. Сегодня положение несколько стабилизировалось. Тем не менее, в ведомственных системах положение хуже, чем в коммунальных. Еще хуже ситуация обстоит дело с местными источниками водоснабжения, а ведь в России около миллиона колодцев. Если говорить по регионам, то наиболее неблагоприятные - Северный, Дальневосточный, Калининградский и Западно-Сибирский.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Для того чтобы посмотреть историю вопроса и то, в какую сторону мы движемся, возьмем 1983 год, когда еще был Советский Союз. Тогда по Российской Федерации 19 % проб воды не соответствовало по санитарно-химическим и 7 - по бактериологическим показателям. Таким образом, можно сказать, что за годы великой перестройки где-то это положение ухудшилось в полтора-два раза.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Но если мы посмотрим по отдельным субъектам России, то увидим еще более неблагоприятные цифры по таким субъектам Федерации, как Калмыкия, автономным округам Ханты-Мансийскому, Таймырскому, Усть-Ордынскому и Бурятскому, где более 70% проб воды не отвечают нормам, в частности, как по санитарно-химическим, так и по бактериологическим показателям.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Выборочная оценка суммарной мутагенной активности водоисточников показала, что выше водозаборов практически 100% воды поверхностных водоисточников загрязнены мутагенно-активными веществами, оказывающими среднюю и высокую мутагенную активность, умеренно загрязнены (42%) - в местах водозаборов, т.е. уровень мутагенной активности положительных проб там несколько ниже. Мутагенная активность отмечается и в ряде подземных водоисточников (до 10%).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Изучение барьерной роли водоочистных сооружений примерно в 75 городах по 115 показателям позволило разработать классификацию показателей качества воды по эффективности ее очистки на водопроводных станциях. При таких градациях, как "высокое - умеренное - отсутствие" для России сегодня представляют серьезную проблему загрязнения ооцистами криптоспоридий, вирусами тяжелыми металлами, а также периодически отмечаются повышенные показатели цветности, мутности, содержания реагентов (например, алюминия) и тригалометанов. Есть интересные данные, говорящие о том, что общепринятое хлорирование воды в стране ведет к образованию целого ряда соединений, обладающих неблагоприятными отдаленными эффектами, такими как канцерогенный и мутагенный.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Отмечается тенденция ориентации на озонирование воды, но при этом из такого соединения как толуол образуется 5 соединений, обладающих канцерогенным или мутагенным эффектом, а всего до 11 новых соединений, то есть образование идет на уровне десятков соединений, которые не безразличны, в том числе, с точки зрения отдаленных эффектов для здоровья.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Общая концепция сегодня выглядит следующим образом: из поверхностных водоисточников только один процент соответствует первому классу, на который традиционно рассчитаны наши системы водообработки (коагуляция, отстаивание, фильтрация и обеззараживание хлором). Вместе с тем 70% населения используют воду именно из этих водоисточников. Подземными водоисточниками пользуется около 30% населения, однако при этом также существуют достаточно серьезные проблемы, в частности, по биогенным элементам и тяжелым металлам. Такая картина отмечается потому, что мы имеем всего 4-11 % нормативно очищенных стоков. А исследования последних лет показали, что загрязнение недостаточно очищенными сточными водами может составлять всего лишь 20-50% от общего загрязнения, а остальное приходится на диффузные источники, такие как выбросы в атмосферу и смывы удобрений и ядохимикатов с сельскохозяйственных угодий. Важно отметить и возрастающую возможность вторичного загрязнения воды в водоразводящих сетях, около 50% которых нуждаются в замене вследствие их изношенности.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Что же делать? Существуют новые технологии водообработки: сорбционная, озоно-сорбционная очистка, физические методы: высоко- и низковольтная разрядка, электрохимическая обработка, мощное импульсное лазерное излучение, различные методы опреснения и все они достаточно эффективны по различным группам соединений (органическим, неорганическим, радиоактивным, биологическим). Важно развивать работы в области модернизации технологии очистки наряду с тем, что нужно не загрязнять водоисточники.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Должен сказать о еще одном направлении работы. Это - совершенствование нормативной базы для того, чтобы мы могли более полно судить о качестве питьевой воды. В этой области сейчас идет гармонизация с международными требованиями, нормативы становятся более строгими, что-то признается как более, чем было принято, опасное соединение, изменяется класс опасности и т.д.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Что же это дает? Более строгий и объективный анализ реального положения дел. Так, скажем, при анализе 16 населенных мест Калмыкии по старым нормативным требованиям отмечаются отклонения по 7 показателям, и соответствующие биологические риски выражаются, в основном, в виде отклонений функций желудочно-кишечного тракта, мочевыделительной системы. В то же время, если эти же воды анализируются по более широкому спектру, то выявляется еще целый ряд более опасных для организма соединений, и речь уже идет о дополнительных рисках для здоровья по таким заболеваниям, как кариес, онкологическая и генетическая патология, отклонение функций сердечно-сосудистой и кроветворной систем, репродуктивной функции у мужчин и женщин.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Необходимо остановиться еще на одном очень важном значении биогенных элементов. Например, водоснабжение города Москвы происходит от Москворецкой и Волжской систем и, отчасти, от Черепковских очистных сооружений, где вода в течение 18 лет фторировалась. Разница в интенсивности и частоте поражения кариесом постоянных зубов у детей г. Москвы достигает трех-четырех, а по некоторым возрастным категориям и шести раз, и вместе с тем на Черепковских очистных сооружениях сегодня фторирование прекращено. В то же время опыт Соединенных Штатов Америки, где 74% населения получают фторированную воду, показывает, что экономический эффект от фторирования воды по отношению к одному вылеченному больному зубу достигает 100 раз. Стоимость фторирования воды в Соединенных Штатах находится на уровне 1-2 доллара на человека в год, а на крупных водопроводах даже 10-20 центов на человека в год. Таким образом, здесь совершенно очевидны экономические выгоды.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Нельзя не коснуться такого понятия, как структура воды. В этой области в России зарегистрированы научные открытия. Когда воду удается перевести в плотно упакованную структуру, она становится антенной, у нее усиливается акцепторно-донорная функция по переносу электронов, меняются биологические свойства в сторону значительного улучшения.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Сегодня изучено уже более ста разновидностей вод, делаются попытки определенной систематизации, ведется поиск наиболее оптимальной зоны, структуризации.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Коротко остановлюсь на загрязнении почв по России. Накоплено более 80 млрд. тонн твердых отходов, из них около 1,5 млрд. тонн высокотоксичных. Ежегодно образуется приблизительно 30млн. тонн бытовых отходов (&gt; 200 кг/чел.) и " 120 млн. тонн промышленных отходов (&gt; 800 кг/чел.). Только в г. Москве от животных (около 1 млн. собак) образуется ежедневно до 270 тонн экскрементов.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Доля проб почвы, не отвечающих гигиеническим нормативам по санитарно-химическим показателям, составляет 13%, по микробиологическим - 17%, по гельминтологическим - более 20%. Число инвазированных паразитами больных находится на уровне 20 млн. человек. Особую обеспокоенность вызывают медицинские отходы, которые характеризуются 3-мя факторами опасности: биологическим, химическим и физическим.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Еще одна очень сложная проблема и отдельная тема - питание. Я хотел бы выделить в ней тему биогенных элементах и, в частности, йодной недостаточности. Ее опасность гораздо более серьезная, чем обычно представляется. Я приведу основные биологические эффекты при йодной недостаточности: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1. Кретинизм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• Необратимые изменения мозга плода и новорожденных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• Замедленное умственное развитие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2. Нарушение репродуктивной функции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• Мужское бесплодие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• Выкидыши, мертворождения, преждевременные роды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3. Глухонемота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4. Зоб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5. Снижение иммунореактивности организма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6. Замедление роста и развития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Причем наиболее поражаемой группой являются именно подростки, и эта проблема в наибольшей степени угрожает именно этой категории детей. При этом массовая йодная профилактика позволит уменьшить заболеваемость раком щитовидной железы - в 3 раза, распространенность хронических болезней - на 30%, число детей дошкольного возраста с дисгармоничным развитием - на 10-20%, число детей с риском асоциальных форм поведения - на 15 %.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Дефицит биогенных элементов сегодня уже обнаруживается и по таким соединениям, как кальций, фосфор, магний. Это связано с тем, что меняется и структура питания, и пищевая ценность самих продуктов.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Вот поэтому при разработке нормативов на расфасованные воды впервые в мировой практике нами использованы категории качества: первая и высшая. При этом к высшей категории качества относятся те воды, которые содержат в определенных количествах важные биогенные элементы, ибо самая чистая вода - дистиллированная - непригодна для питьевых целей.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Коротко хочу остановиться на проблеме жилых и общественных зданий, как создающих риск для здоровья. Если мы сопоставим лесопарковую зону, жилой район и центр города, мы увидим, как загрязнение по комплексному показателю нарастает соответственно: это сумма частей ПДК от основных загрязнений. Но если в этих же районах мы оцениваем среду в жилых и общественных зданиях, то уровни увеличиваются в полтора-четыре раза. В детской сказке Наф-Наф построил кирпичный дом, и он был самый прочный, а вот Нуф-Нуф и Ниф-Ниф построили менее прочные, но более экологичные дома, и выражение "Мой дом - моя крепость" в ряде случаев превращается в иное - "Мой дом - моя затравочная камера".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ДСП, ДВП, ФРП, мастики, герлен, пластификаторы, шпаклевка, смазки для бетонных форм, теплоизоляционные материалы, отделочные материалы на основе полистиролов, клеи, линолеумы, цемент и бетон с добавлением отходов, смазка для бетонных форм и многие другие строительные материалы являются источниками поступления в воздушную среду жилых помещений соединений, причем не только органических, но и неорганических.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Исследования в жилом районе, в транспорте и в общественных зданиях показывают, что сегодня канцерогенные риски в жилищах достигают 90% по сравнению с остальными средами.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Одним из методических приемов уменьшения влияния неблагоприятных факторов на здоровье является разработка допустимых суточных доз для наиболее опасных соединений. *Допустимая суточная доза (ДСД) - максимальная безвредная суточная доза химического вещества (мг/кг веса тела), которая при ежедневном раздельном или комплексном поступлении в организм в течение всей жизни не должна оказывать прямого или опосредованного влияния на здоровье человека в настоящем и последующих поколениях, в том числе в отдаленные сроки жизни.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И на этом основании решаются сегодня актуальные вопросы регионального нормирования, т.е. установления безопасных уровней содержания химических веществ в объектах окружающей среды на основе ДСД с учетом реальной химической обстановки, сложившейся в результате хозяйственной деятельности (отрасли промышленности, применяемых в сельском хозяйстве ядохимикатов и т.п.), и других особенностей данного региона (например, характера питания).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Исследования, проведенные в Самарской области и Башкирии, показали, что суммарная суточная доза поступлений канцерогенных соединений может от 8 до 12 раз перекрывать допустимую суточную дозу, что говорит об их возможном неблагоприятном действии на организм. На основе допустимой суточной дозы для Башкирии были рассчитаны соответствующие региональные нормативы в различных средах.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Традиционная система изучения зависимости смертности и заболеваемости от отдельных неблагоприятных факторов сегодня дополнена исследованиями влияний реального загрязнения окружающей среды, в том числе, и на отдельные функциональные изменения организма. В Институте разработана система неинвазивных методов обследования человека.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Сегодня две системы являются особенно показательными: это состояние иммунного статуса и генетически обусловленные эффекты. В дополнение к системе, учитывающей генные, хромосомные и геномные типы мутаций и их последствия в Институте впервые разработан органоспецифический микроядерный тест. Он выгодно отличается по основным параметрам и позволяет дифференцированно оценивать мутагенную активность не вообще, а по отношению к различным органам.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Еще она серьезная проблема. Исследования показали на примере лишь только одних летучих органических соединений, что в воздухе, воде, жилых помещениях, почве во многих населенных местах выявляется сотни химических соединений. Важным является то, что от 66 до 90% этих соединений вообще еще не имеют нормативной базы, и поэтому сложно сказать об их влиянии на организм.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В настоящее время важнейшим инструментом современной экологии человека и гигиены окружающей среды, а также доказательной медицины, позволяющим решать многочисленные научные и практические задачи, является методология анализа риска и один из ее важнейших разделов - оценка риска для здоровья человека.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Риск для здоровья человека - это вероятность развития угрозы жизни или здоровью человека либо угрозы жизни или здоровья будущих поколений, обусловленная воздействием факторов среды обитания. Он отличается от экологического риска (экологический риск - вероятность наступления события, имеющего неблагоприятные последствия для природной среды и вызванного негативным воздействием хозяйственной и иной деятельности, чрезвычайными ситуациями природного и техногенного характера (Федеральный закон Российской Федерации от 10 января 2002 г. N 7-Ф3 "Об охране окружающей среды "), который, согласно федеральному закону, определяется только относительно природной среды.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Методология оценки риска, основанная на многочисленных токсикологических, эпидемиологических, медико-биологических и клинических исследованиях, представляет собой интегрирующее звено и методическую основу социально-гигиенического мониторинга, гигиенического нормирования и гигиенической диагностики.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Получение и анализ обширной информации для оценки риска требует специальных углубленных научных исследований с обязательным применением современных компьютерных технологий.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В созданной в Институте системе компьютерных программ и баз данных сосредоточена информация о 9900 химических веществах, включая такие параметры, как физико-химические свойства, эпидемиологические данные, канцерогены, поведение в окружающей среде, токсичность, критические органы и системы, референтные уровни и системы расчета и прогноза.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В созданном банке данных имеются: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- сведения для 1437 химических веществ: референтные дозы - для 967 химических веществ, референтные концентрации - для 473 химических веществ;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- эпидемиологические параметры для 25 химических веществ и более 70 исходов их воздействия на здоровье;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- параметры для оценки канцерогенного риска: при ингаляции - для 350 химических веществ, при пероральном поступлении - для 401 химических веществ.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Разработано 10 компьютерных программ по оценке риска: для многосредовых рисков, канцерогенных, накожного действия и т.д.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Например, по заданию Правительства г. Москвы с использованием системы TERA проведены исследования по сравнительной оценке различных методов моделирования рассеивания загрязняющих химических веществ ведущих ТЭЦ Москвы, а также оценке риска для здоровья населения от 15 приоритетных предприятий теплоэнергетики, что позволило решить ряд важных вопросов.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Программа DOSE&amp;RISK предназначена для оценки риска при многосредовом воздействии химических веществ, апробирована в работах по оценке риска в Самарской области и в г. Москве в 1999-2003 гг. Содержит более 9000 веществ.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Система HAZEXPO - программа оценки рисков влияния аварийно опасных химических веществ на здоровье населения, работающих и военнослужащих. Эта программа, совместно с программой оценки риска по эпидемиологическим критериям EpiCalc, апробирована при сравнительной оценке риска атмосферных загрязнений 1999-2000 гг. для здоровья населения АО г. Москвы, а также при оценке риска задымления атмосферы при горении торфяников летом 2002 г. Содержит более 5000 веществ.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Как вы помните, в прошлом году в Москве был сильный смог, и сравнительный анализ, сделанный с помощью этих программ позволил выявить, что основные риски связаны не с химическими загрязнениями, а с пылевым фактором и с величиной частиц, при этом наибольшие риски представляла запыленность воздуха частицами размером меньше 2,5 микрометров.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Очень важно оценивать стоимость жизни. Экономический анализ ущерба от воздействия факторов окружающей среды, основанный на пропорциональной зависимости экономического ущерба от величины годового валового продукта на 1 человека (проект EC ExternE) показал: в США (GDP = 27600$) стоимость потерянной жизни составляет 4 800 000 $, в странах ЕС (GDP = 17900 $) стоимость потерянной жизни - 3 110 400 $, в РФ (GDP = 8320 $) стоимость потерянной жизни - 1 444 800 $.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Примеры ориентировочной стоимости некоторых исходов неблагоприятных воздействий (РФ): злокачественное новообразование - 209 700$, один потерянный год жизни - 39 298$, хронический бронхит - 48 930$, обострение астмы - 10$.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Оценка риска является не только краеугольным камнем современной системы обоснования управленческих решений в области охраны здоровья человека и управления качеством окружающей среды, но и важнейшим методологическим элементом экологии человека и гигиены окружающей среды.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Внедрение методологии оценки риска отражает объективную потребность органов управления в добротной и научно-обоснованной информации о прямых эффектах факторов среды обитания человека на состояние здоровья конкретных групп населения, а также о характере и степени выраженности возможного ущерба.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Необходимо правовое закрепление оценки риска как важнейшего метода оценки ущерба здоровью человека, ибо, когда мы научимся считать ущерб, тогда мы сумеем предпринимать какие-то действия.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Любой риск, который можно легко устранить, не создавая при этом дополнительных или новых рисков, является неприемлемым. Если риск устранить нельзя - то его надо оценить и разработать эффективные способы его снижения и контроля.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Профилактика эффективна только тогда, когда она основана на взаимосвязях "причина - эффект" и затраты научно обоснованы с учетом ущерба для здоровья.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Управление экологической безопасностью по своей сути является междисциплинарной областью деятельности, и включает в себя количественную оценку промышленного риска, экологического риска и риска ущерба здоровью населения.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>Управление экологической безопасностью имеет свои технологии нормативную базу и форму реализации.</w:t>
      </w:r>
      <w:r>
        <w:t xml:space="preserve"> </w:t>
      </w:r>
    </w:p>
    <w:p w:rsidR="00B52888" w:rsidRDefault="00B52888" w:rsidP="00B52888">
      <w:pPr>
        <w:spacing w:before="120"/>
        <w:ind w:firstLine="567"/>
        <w:jc w:val="both"/>
      </w:pPr>
      <w:r w:rsidRPr="00FE13B6">
        <w:t xml:space="preserve">Цель управления экологической безопасности - увеличение продолжительности жизни населения, профессионального долголетии и дееспособности, снижение заболеваемости и смертности. </w:t>
      </w:r>
    </w:p>
    <w:p w:rsidR="00E12572" w:rsidRDefault="00E12572" w:rsidP="00B52888">
      <w:pPr>
        <w:spacing w:before="120"/>
        <w:jc w:val="center"/>
      </w:pPr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888"/>
    <w:rsid w:val="00095BA6"/>
    <w:rsid w:val="0031418A"/>
    <w:rsid w:val="00381DA3"/>
    <w:rsid w:val="005A2562"/>
    <w:rsid w:val="008F4787"/>
    <w:rsid w:val="00A44D32"/>
    <w:rsid w:val="00A76348"/>
    <w:rsid w:val="00B52888"/>
    <w:rsid w:val="00E12572"/>
    <w:rsid w:val="00FE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4CB4977-2709-45A5-BF96-3A8E0EF5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88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528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3525</Words>
  <Characters>20094</Characters>
  <Application>Microsoft Office Word</Application>
  <DocSecurity>0</DocSecurity>
  <Lines>167</Lines>
  <Paragraphs>47</Paragraphs>
  <ScaleCrop>false</ScaleCrop>
  <Company>Home</Company>
  <LinksUpToDate>false</LinksUpToDate>
  <CharactersWithSpaces>23572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Экология человека: современные проблемы и пути их решения</dc:title>
  <dc:subject/>
  <dc:creator>Alena</dc:creator>
  <cp:keywords/>
  <dc:description/>
  <cp:lastModifiedBy>admin</cp:lastModifiedBy>
  <cp:revision>2</cp:revision>
  <dcterms:created xsi:type="dcterms:W3CDTF">2014-02-16T09:56:00Z</dcterms:created>
  <dcterms:modified xsi:type="dcterms:W3CDTF">2014-02-16T09:56:00Z</dcterms:modified>
</cp:coreProperties>
</file>