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C41" w:rsidRDefault="00174C41">
      <w:pPr>
        <w:pStyle w:val="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Устойчивое управление лесами - что это такое?</w:t>
      </w:r>
    </w:p>
    <w:p w:rsidR="00174C41" w:rsidRDefault="00174C41">
      <w:pPr>
        <w:jc w:val="both"/>
        <w:rPr>
          <w:color w:val="000000"/>
        </w:rPr>
      </w:pPr>
      <w:r>
        <w:rPr>
          <w:color w:val="000000"/>
        </w:rPr>
        <w:t> </w:t>
      </w:r>
    </w:p>
    <w:p w:rsidR="00174C41" w:rsidRDefault="00174C41">
      <w:pPr>
        <w:ind w:firstLine="72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Доход от лесов можно разделить еще на временный и прочный. Временный - в том случае, когда помещик старается от продажи леса выручить в скорейшем времени наибольшую сумму денег, не заботясь о сохранении коренных запасов леса; или когда крестьяне могут пользоваться лесом неограниченно. В обоих случаях, после избытка, благосостояния и богатства, которые впрочем скоро уничтожаются сопровождающей их роскошью, наступают безденежье, нужда, сопутствуемые упадком нравственности и духа, а для наследников готовится нищета.</w:t>
      </w:r>
    </w:p>
    <w:p w:rsidR="00174C41" w:rsidRDefault="00174C41">
      <w:pPr>
        <w:pStyle w:val="a3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А.Е.Теплоухов, 1848. </w:t>
      </w:r>
    </w:p>
    <w:p w:rsidR="00174C41" w:rsidRDefault="00174C41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Термин "устойчивое управление лесами" за последнее десятилетие прочно вошел в лексикон специалистов по лесу и лесному хозяйству. Несмотря на это, до сих пор нет единого мнения о том, что же это такое. Иногда под "устойчивым управлением лесами" понимают всего лишь такое ведение хозяйства, при котором в обозримом будущем из леса можно будет получать столько же древесины, сколько и сейчас. Однако, чаще всего этот термин подразумевает такое ведение лесного хозяйства и такой характер использования лесных ресурсов, которые позволяют сохранить не только продуктивность лесов, но и их экологические функции, эстетическую и рекреационную ценность, биологическое и ландшафтное разнообразие. К сожалению, в России (как и в целом в мире) до настоящего времени не разработаны четкие и конкретные стандарты устойчивого управления лесами, признанные на правительственном уровне. Существует лишь ряд межправительственных групп, разрабатывающих "критерии и индикаторы устойчивого управления лесами" - наборы показателей, которые необходимо отслеживать при контроле за лесами конкретных стран (например, "площадь лесных и других покрытых лесом земель и ее изменения", "Изменения общего запаса насаждений", "Общее количество углерода в лесных насаждениях и изменения этого показателя"). Эти группы (или соответствующие их деятельности процессы) носят названия "Хельсинкский процесс" (разработка критериев и индикаторов устойчивого управления лесами в Европе), "Монреальский процесс" (то же самое в большинстве лесных стран мира, кроме Европейских) и т.д. Россия (представляющая ее Федеральная служба лесного хозяйства) участвует как в Хельсинкском, так и в Монреальском процессах. Характерной особенностью этих процессов является рекомендательный характер всех разрабатываемых документов (т.е. необязательность следования им в практической деятельности органов лесного хозяйства). Кроме того, ни один из предлагаемых этими группами критериев и индикаторов не имеет какого-либо конкретного значения (т.е., например, имеется критерий "площадь лесных и других покрытых лесом земель и ее изменения", но нет конкретного значения допустимых изменений площади лесных земель, при которых лесопользование можно считать устойчивым). Таким образом, разрабатываемые межправительственными группами "критерии и индикаторы устойчивого управления лесами" лишь позволяют отслеживать крупномасштабные изменения, происходящие в лесном фонде стран-участниц этих групп, но не обеспечивают каких-либо принципов и стандартов устойчивого управления лесами и лесопользования. Более того: изменения отслеживаются на основе анализа официальных данных о состоянии лесов и лесопользования; в России, в соответствии с официальной статистикой, положение с лесами и их использованием и до участия в Хельсинкском и Монреальском процессах было исключительно благополучным (что, однако, не исключает наличия огромного количества экологических проблем, связанных с лесопользованием, и реального истощения лесных ресурсов). К заявлениям, что та или иная страна делает крупный шаг по пути к устойчивому управлению лесами, официально признав критерии и индикаторы Хельсинкского или Монреальского процессов, или разработав на их основе собственные критерии и индикаторы, надо относиться крайне осторожно. Ни тот, ни другой процесс пока не предусматривают каких-либо конкретных, практических шагов в направлении устойчивого управления лесами.</w:t>
      </w:r>
    </w:p>
    <w:p w:rsidR="00174C41" w:rsidRDefault="00174C41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Несколько лучше обстоит дело на неправительственном уровне. Обеспокоенность граждан многих развитых стран тем, что они, покупая продукты переработки древесины, нередко способствуют варварскому уничтожению уникальных лесов в "лесных" странах мира - России, Канаде, Бразилии и многих других - привела к формированию в начале 90-х годов групп организаций-покупателей древесины, настаивающих на тщательном отслеживании ее происхождения и на соблюдении строгих экологических стандартов при ее заготовке. </w:t>
      </w:r>
    </w:p>
    <w:tbl>
      <w:tblPr>
        <w:tblpPr w:vertAnchor="text" w:tblpXSpec="right" w:tblpYSpec="center"/>
        <w:tblW w:w="4500" w:type="dxa"/>
        <w:tblCellSpacing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8"/>
      </w:tblGrid>
      <w:tr w:rsidR="00174C41" w:rsidRPr="00174C41">
        <w:trPr>
          <w:tblCellSpacing w:w="3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C41" w:rsidRPr="00174C41" w:rsidRDefault="003857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00.25pt">
                  <v:imagedata r:id="rId5" o:title="02"/>
                </v:shape>
              </w:pict>
            </w:r>
          </w:p>
        </w:tc>
      </w:tr>
      <w:tr w:rsidR="00174C41" w:rsidRPr="00174C41">
        <w:trPr>
          <w:tblCellSpacing w:w="3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</w:tcPr>
          <w:p w:rsidR="00174C41" w:rsidRPr="00174C41" w:rsidRDefault="00174C41">
            <w:pPr>
              <w:jc w:val="both"/>
              <w:rPr>
                <w:color w:val="000000"/>
              </w:rPr>
            </w:pPr>
            <w:r w:rsidRPr="00174C41">
              <w:rPr>
                <w:color w:val="000000"/>
              </w:rPr>
              <w:t>Рис. 2. Для многих людей лес приобретает какую-либо ценность лишь после того, как он будет срублен и продан. Об этом наглядно свидетельствуют кучи брошенной на лесосеках древесины. Пяозерский лесхоз, Республика Карелия.</w:t>
            </w:r>
          </w:p>
        </w:tc>
      </w:tr>
    </w:tbl>
    <w:p w:rsidR="00174C41" w:rsidRDefault="00174C41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Это, в свою очередь, привело к тому, что некоторые предприятия лесного комплекса, осознающие важность своего экологического имиджа для сохранения своей роли на мировых рынках лесной продукции, в сотрудничестве с неправительственными экологическими и социальными организациями начали разрабатывать стандарты устойчивого и экологически ответственного управления лесами. Фактически, мировую известность получила пока лишь одна из подобных инициатив, названная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("</w:t>
      </w:r>
      <w:r>
        <w:rPr>
          <w:rFonts w:ascii="Times New Roman" w:hAnsi="Times New Roman" w:cs="Times New Roman"/>
          <w:color w:val="000000"/>
          <w:sz w:val="24"/>
          <w:szCs w:val="24"/>
        </w:rPr>
        <w:t>Forest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Stewardship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Council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" - "Совет лесных попечителей" или "Совет управления лесами"). Эта инициативная группа, в состав которой входят в примерно равной пропорции представители лесопромышленного комплекса, неправительственных природоохранных и неправительственных социальных организаций, центральный орган управления которой расположен в Мексике, разработала набор из 10 принципов устойчивого управления лесами, каждому из которых соответствует несколько более или менее конкретных критериев. Кроме того, был разработан механизм определения, соответствует ли деятельность данного предприятия стандартам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нет; конкретное решение об этом и выдачу сертификата должны производить специально уполномоченные организации-сертификаторы. В настоящее время уже довольно большое количество организаций-лесопользователей и лесоторговых организаций по всему миру получили сертификаты соответствия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 сожалению, в последнее время наблюдается тенденция к некоторому ослаблению контроля за строгостью соблюдения принципов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сертифицируемыми лесопользователями и есть опасение, что эта система может превратиться из реального механизма организации устойчивого управления лесами в средство не вполне добросовестной конкурентной борьбы на рынках лесной продукции.</w:t>
      </w:r>
    </w:p>
    <w:p w:rsidR="00174C41" w:rsidRDefault="00174C41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и критерии устойчивого управления лесами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безусловно, не идеальны. Однако, они представляют собой стандарт, в той или иной степени признаваемый большим количеством экспертов в области лесопользования и охраны природы, а также многими крупными международными природоохранными и социальными организациями. Ниже приводятся десять принципов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(конкретные критерии, соответствующие каждому из этих принципов, не приводятся в силу их большого объема).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Соответствие законодательству и Принципам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Управление лесными ресурсами должно соответствовать законодательству страны, в которой оно осуществляется, международным договорам и соглашениям, подписанным данной страной, а также Принципам и Критериям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и пользование ресурсами, права и обязанности. Долговременные права на владение и пользование земельными и лесными ресурсами должны быть четко определены, задокументированы и оформлены в установленном законом порядке.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коренных народов. Юридические и традиционные права коренных народов на владение, пользование и управление территорией должны признаваться и уважаться.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население и права рабочих. Мероприятия по управлению лесными ресурсами должны быть ориентированы на поддержание и улучшение социального и экономического благополучия работников лесного комплекса и местного населения.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Доходы от лесопользования. Ведение лесного хозяйства должно способствовать эффективному использованию разнообразных функций леса, а также многочисленной продукции, получаемой на базе эксплуатации лесных ресурсов, для обеспечения его (лесного хозяйства) экономической жизнеспособности и широкого использования всего спектра экологических и социальных функций леса.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Воздействие на окружающую среду. Лесопользование должно обеспечивать сохранение биологического разнообразия и связанных с ним различных элементов лесных экосистем - вод, почв, а также уникальных и неустойчивых ландшафтов, с тем, чтобы поддерживать экологические функции и целостность лесных экосистем.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мероприятий по ведению хозяйства. План мероприятий по ведению хозяйства, составленный с учетом масштаба и интенсивности проводимых работ, должен быть задокументирован, принят к исполнению и неукоснительно соблюдаться в соответствии с графиком лесотехнических мероприятий. Должны быть четко сформулированы долгосрочные цели и задачи лесопользования, а также способы их достижения.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Мониторинг и оценка. В соответствии с масштабом и интенсивностью лесотехнических мероприятий должен вестись мониторинг за состоянием леса, продуктивностью лесной экосистемы, цепочкой от заготовителя до потребителя, практикой ведения хозяйства, а также социальными и экологическими последствиями ведения хозяйства.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Поддержание хорошо сохранившихся ценных лесов. Лесопользование в хорошо сохранившихся ценных лесах должно приводить к поддержанию или улучшению характеристик, определяющих эти леса. Решения относительно хорошо сохранившихся ценных лесов должны рассматриваться в контексте принятия мер предосторожности.</w:t>
      </w:r>
    </w:p>
    <w:p w:rsidR="00174C41" w:rsidRDefault="00174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Лесные культуры. Лесные культуры, принося ряд социальных и экономических выгод, удовлетворяя мировые потребности в продукции, полученной в результате эксплуатации лесных ресурсов, могут стать частью системы управления лесным комплексом, выполняя функцию по снижению нагрузки на естественные леса и способствуя сохранению и восстановлению естественных природных комплексов.</w:t>
      </w:r>
    </w:p>
    <w:p w:rsidR="00174C41" w:rsidRDefault="00174C41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Инициативы по разработке стандартов, принципов и критериев устойчивого управления лесами далеко не исчерпываются межправительственными инициативами и системой принципов </w:t>
      </w:r>
      <w:r>
        <w:rPr>
          <w:rFonts w:ascii="Times New Roman" w:hAnsi="Times New Roman" w:cs="Times New Roman"/>
          <w:color w:val="000000"/>
          <w:sz w:val="24"/>
          <w:szCs w:val="24"/>
        </w:rPr>
        <w:t>FSC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 всему миру существует довольно большое количество инициативных групп, разрабатывающих подобные критерии, в которых участвуют представители самых разных промышленных, природоохранных, социальных, научных и иных организаций. Проанализировавнаиболее значимые из этих инициатив и требования, выдвигаемые большим количеством природоохранных и социальных организаций, можно дать следующее общее определение.</w:t>
      </w:r>
    </w:p>
    <w:p w:rsidR="00174C41" w:rsidRDefault="00174C41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Устойчивым, экологически и социально ответственным называется такое управление лесами, которое соответствует следующим основным принципам:</w:t>
      </w:r>
    </w:p>
    <w:tbl>
      <w:tblPr>
        <w:tblpPr w:vertAnchor="text" w:tblpXSpec="right" w:tblpYSpec="center"/>
        <w:tblW w:w="4500" w:type="dxa"/>
        <w:tblCellSpacing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8"/>
      </w:tblGrid>
      <w:tr w:rsidR="00174C41" w:rsidRPr="00174C41">
        <w:trPr>
          <w:tblCellSpacing w:w="3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C41" w:rsidRPr="00174C41" w:rsidRDefault="003857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pict>
                <v:shape id="_x0000_i1026" type="#_x0000_t75" style="width:399.75pt;height:456.75pt">
                  <v:imagedata r:id="rId6" o:title="03"/>
                </v:shape>
              </w:pict>
            </w:r>
          </w:p>
        </w:tc>
      </w:tr>
      <w:tr w:rsidR="00174C41" w:rsidRPr="00174C41">
        <w:trPr>
          <w:tblCellSpacing w:w="3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</w:tcPr>
          <w:p w:rsidR="00174C41" w:rsidRPr="00174C41" w:rsidRDefault="00174C41">
            <w:pPr>
              <w:jc w:val="both"/>
              <w:rPr>
                <w:color w:val="000000"/>
              </w:rPr>
            </w:pPr>
            <w:r w:rsidRPr="00174C41">
              <w:rPr>
                <w:color w:val="000000"/>
              </w:rPr>
              <w:t xml:space="preserve">Рис. 4. С 30-х годов сплошные концентрированные рубки, наступавшие единым фронтом на массивы естественной тайги, стали основной формой лесозаготовки в лесах Европейского севера России. Граница Архангельской области и Республики Коми, массивы рубок 80-х гг. </w:t>
            </w:r>
          </w:p>
        </w:tc>
      </w:tr>
    </w:tbl>
    <w:p w:rsidR="00174C41" w:rsidRDefault="00174C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Главным и конечным продуктом управления лесами является сам лес, как совокупность экосистем, способная к выполнению широкого спектра социальных, экологических и природоохранных функций (охрана водных и воздушных ресурсов, регулирование содержания углекислоты в атмосфере, поддержание высокого естественного биологического разнообразия, сохранение зависящих от леса водных, болотных и других экосистем, обеспечение рекреационных ресурсов и др.). Получение материальной лесной (например, древесной) продукции является лишь одной из функций управления лесами, выполнение которой в ущерб другим функциям недопустимо.</w:t>
      </w:r>
    </w:p>
    <w:p w:rsidR="00174C41" w:rsidRDefault="00174C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Любое использование лесных ресурсов (в том числе древесных) должно осуществляться с учетом интересов всех социальных групп как настоящего, так и будущего поколений. Все социальные группы, материальные или нематериальные интересы которых могут быть затронуты в процессе использования лесных ресурсов, должны иметь право и возможность получения достоверной и проверяемой информации об объемах, характере и планах использования лесных ресурсов, а также возможность воздействия на процесс принятия значимых для них решений в области управления лесами.</w:t>
      </w:r>
    </w:p>
    <w:p w:rsidR="00174C41" w:rsidRDefault="00174C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Сохранившиеся массивы дикой лесной природы, развивающиеся без воздействия человека, являющиеся естественным местом обитания большого разнообразия видов растений и животных и способные к бесконечно длительному самоподдержанию, должны по мере возможности сохраняться и далее. Освоение новых, ранее не вовлеченных в интенсивную эксплуатацию массивов дикой лесной природы не может быть средством решения проблем, связанных с истощением древесных ресурсов в "староосвоенных" районах.</w:t>
      </w:r>
    </w:p>
    <w:p w:rsidR="00174C41" w:rsidRDefault="00174C41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А.Ю.Ярошенко</w:t>
      </w:r>
      <w:bookmarkStart w:id="0" w:name="_GoBack"/>
      <w:bookmarkEnd w:id="0"/>
    </w:p>
    <w:sectPr w:rsidR="00174C41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236C9"/>
    <w:multiLevelType w:val="hybridMultilevel"/>
    <w:tmpl w:val="F0A8E464"/>
    <w:lvl w:ilvl="0" w:tplc="8DDE1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0434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96F0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32B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D67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DCD7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2B1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2E1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1A05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E110AF"/>
    <w:multiLevelType w:val="hybridMultilevel"/>
    <w:tmpl w:val="8F1831B0"/>
    <w:lvl w:ilvl="0" w:tplc="856CE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26C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2430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9445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D040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884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B87A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C2A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A8A4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0D4"/>
    <w:rsid w:val="00174C41"/>
    <w:rsid w:val="001A30D4"/>
    <w:rsid w:val="0021035A"/>
    <w:rsid w:val="0038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5E8F049-A03C-4C42-9740-BC30632B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7914</Words>
  <Characters>4511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Устойчивое управление лесами - что это такое</vt:lpstr>
    </vt:vector>
  </TitlesOfParts>
  <Company>R-Style</Company>
  <LinksUpToDate>false</LinksUpToDate>
  <CharactersWithSpaces>12401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Устойчивое управление лесами - что это такое</dc:title>
  <dc:subject/>
  <dc:creator>Andrew Gabov</dc:creator>
  <cp:keywords/>
  <dc:description/>
  <cp:lastModifiedBy>admin</cp:lastModifiedBy>
  <cp:revision>2</cp:revision>
  <dcterms:created xsi:type="dcterms:W3CDTF">2014-01-27T09:57:00Z</dcterms:created>
  <dcterms:modified xsi:type="dcterms:W3CDTF">2014-01-27T09:57:00Z</dcterms:modified>
</cp:coreProperties>
</file>