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980" w:rsidRPr="00BB273C" w:rsidRDefault="00334980" w:rsidP="003316A2">
      <w:pPr>
        <w:spacing w:after="0" w:line="360" w:lineRule="auto"/>
        <w:jc w:val="center"/>
        <w:rPr>
          <w:rFonts w:ascii="Times New Roman" w:hAnsi="Times New Roman" w:cs="Times New Roman"/>
          <w:sz w:val="28"/>
          <w:szCs w:val="28"/>
        </w:rPr>
      </w:pPr>
      <w:r w:rsidRPr="00BB273C">
        <w:rPr>
          <w:rFonts w:ascii="Times New Roman" w:hAnsi="Times New Roman" w:cs="Times New Roman"/>
          <w:sz w:val="28"/>
          <w:szCs w:val="28"/>
        </w:rPr>
        <w:t>МЕЖДУНАРОДНЫЙ ИНСТИТУТ</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«ИНФО – РУТЕНИЯ»</w:t>
      </w:r>
    </w:p>
    <w:p w:rsidR="00334980" w:rsidRPr="00BB273C" w:rsidRDefault="00334980" w:rsidP="003316A2">
      <w:pPr>
        <w:spacing w:after="0" w:line="360" w:lineRule="auto"/>
        <w:jc w:val="center"/>
        <w:rPr>
          <w:rFonts w:ascii="Times New Roman" w:hAnsi="Times New Roman" w:cs="Times New Roman"/>
          <w:sz w:val="28"/>
          <w:szCs w:val="28"/>
        </w:rPr>
      </w:pPr>
      <w:r w:rsidRPr="00BB273C">
        <w:rPr>
          <w:rFonts w:ascii="Times New Roman" w:hAnsi="Times New Roman" w:cs="Times New Roman"/>
          <w:sz w:val="28"/>
          <w:szCs w:val="28"/>
        </w:rPr>
        <w:t>Тема: “ИСТОРИЯ ВОЗНИКНОВЕНИЯ ЦЕНТРАЛЬНОГО БАНКА РОССИИ”</w:t>
      </w:r>
    </w:p>
    <w:p w:rsidR="00334980" w:rsidRPr="00BB273C" w:rsidRDefault="00334980"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1A182D" w:rsidRPr="00BB273C" w:rsidRDefault="001A182D" w:rsidP="003316A2">
      <w:pPr>
        <w:spacing w:after="0" w:line="360" w:lineRule="auto"/>
        <w:jc w:val="center"/>
        <w:rPr>
          <w:rFonts w:ascii="Times New Roman" w:hAnsi="Times New Roman" w:cs="Times New Roman"/>
          <w:sz w:val="28"/>
          <w:szCs w:val="28"/>
        </w:rPr>
      </w:pPr>
    </w:p>
    <w:p w:rsidR="001A182D" w:rsidRPr="00BB273C" w:rsidRDefault="001A182D"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b/>
          <w:bCs/>
          <w:sz w:val="28"/>
          <w:szCs w:val="28"/>
        </w:rPr>
      </w:pPr>
      <w:r w:rsidRPr="00BB273C">
        <w:rPr>
          <w:rFonts w:ascii="Times New Roman" w:hAnsi="Times New Roman" w:cs="Times New Roman"/>
          <w:b/>
          <w:bCs/>
          <w:sz w:val="28"/>
          <w:szCs w:val="28"/>
        </w:rPr>
        <w:t>Курсовая работа по дисциплине:</w:t>
      </w:r>
      <w:r w:rsidR="003316A2" w:rsidRPr="00BB273C">
        <w:rPr>
          <w:rFonts w:ascii="Times New Roman" w:hAnsi="Times New Roman" w:cs="Times New Roman"/>
          <w:b/>
          <w:bCs/>
          <w:sz w:val="28"/>
          <w:szCs w:val="28"/>
        </w:rPr>
        <w:t xml:space="preserve"> </w:t>
      </w:r>
      <w:r w:rsidRPr="00BB273C">
        <w:rPr>
          <w:rFonts w:ascii="Times New Roman" w:hAnsi="Times New Roman" w:cs="Times New Roman"/>
          <w:b/>
          <w:bCs/>
          <w:sz w:val="28"/>
          <w:szCs w:val="28"/>
        </w:rPr>
        <w:t>“Деньги, кредит, банки”</w:t>
      </w:r>
    </w:p>
    <w:p w:rsidR="00334980" w:rsidRPr="00BB273C" w:rsidRDefault="00334980"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16A2" w:rsidRPr="00BB273C" w:rsidRDefault="003316A2"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sz w:val="28"/>
          <w:szCs w:val="28"/>
        </w:rPr>
      </w:pPr>
    </w:p>
    <w:p w:rsidR="00334980" w:rsidRPr="00BB273C" w:rsidRDefault="00334980" w:rsidP="003316A2">
      <w:pPr>
        <w:spacing w:after="0" w:line="360" w:lineRule="auto"/>
        <w:jc w:val="center"/>
        <w:rPr>
          <w:rFonts w:ascii="Times New Roman" w:hAnsi="Times New Roman" w:cs="Times New Roman"/>
          <w:sz w:val="28"/>
          <w:szCs w:val="28"/>
        </w:rPr>
      </w:pPr>
      <w:r w:rsidRPr="00BB273C">
        <w:rPr>
          <w:rFonts w:ascii="Times New Roman" w:hAnsi="Times New Roman" w:cs="Times New Roman"/>
          <w:sz w:val="28"/>
          <w:szCs w:val="28"/>
        </w:rPr>
        <w:t>Москва, 2010 г.</w:t>
      </w:r>
    </w:p>
    <w:p w:rsidR="00334980" w:rsidRPr="00BB273C" w:rsidRDefault="003316A2"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sz w:val="28"/>
          <w:szCs w:val="28"/>
        </w:rPr>
        <w:br w:type="page"/>
      </w:r>
      <w:r w:rsidR="00684E6F" w:rsidRPr="00BB273C">
        <w:rPr>
          <w:rFonts w:ascii="Times New Roman" w:hAnsi="Times New Roman" w:cs="Times New Roman"/>
          <w:b/>
          <w:bCs/>
          <w:sz w:val="28"/>
          <w:szCs w:val="28"/>
        </w:rPr>
        <w:t>Введение</w:t>
      </w:r>
    </w:p>
    <w:p w:rsidR="00642E34" w:rsidRPr="00BB273C" w:rsidRDefault="00642E34"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12 июня исполнилось 150 лет Банку России. За столь долгую жизнь регулятору пришлось пережить не одно потрясение и не один кризис, ведь история главного банка страны неразделимо связана с историей самой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Государственный банк Российской империи, Народный банк РСФСР, Государственный банк СССР, Центральный банке Российской Федерации.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Менялись названия банка, но сохранялась суть его деятельности: обеспечение в стране бесперебойного денежного обращения, создание благоприятных условий для развития национальной экономики. Исследование передает историческую хронику развития банка на протяжении XIX-XXI веков. Центральный банк искал и зачастую находил оптимальное решение задач, стоящих перед экономикой, учитывая все возможности и ограничения конкретного момента истории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Данная работа дает возможность увидеть целостную картину основных этапов экономической истории России XIX</w:t>
      </w:r>
      <w:r w:rsidR="00584722" w:rsidRPr="00BB273C">
        <w:rPr>
          <w:rFonts w:ascii="Times New Roman" w:hAnsi="Times New Roman" w:cs="Times New Roman"/>
          <w:sz w:val="28"/>
          <w:szCs w:val="28"/>
        </w:rPr>
        <w:t>-</w:t>
      </w:r>
      <w:r w:rsidRPr="00BB273C">
        <w:rPr>
          <w:rFonts w:ascii="Times New Roman" w:hAnsi="Times New Roman" w:cs="Times New Roman"/>
          <w:sz w:val="28"/>
          <w:szCs w:val="28"/>
        </w:rPr>
        <w:t>XX веков, а также современного периода, на каждом из которых Банк жил одной жизнью со страной, переносил вместе с ней невзгоды и делал все возможное для развития Родины. Обобщена труды экономистов, историков, специалистов в области финансов, банков и права,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ученых из наиболее авторитетных научных центров страны, что позволило, по возможности, избежать «узковедомственного», одностороннего или конъюнктурного подхода к освещению отдельных событий, создать исторически точную многомерную картину становления, развития и возрождения банковского дела в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Исторический обзор не только дает понимание того, как развивалась российская экономика, а вместе с ней и банковская система, но и показывает, через какое количество кризисов </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 xml:space="preserve"> как политических, так и экономических </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 xml:space="preserve"> пришлось пройти нашей стране, и, возможно, более философски отнестись к мысли о том, что кризис </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 xml:space="preserve"> явление циклическое, и найти какую-либо панацею от него просто невозможно. На смену практически каждого «золотого века» приходил кризис. В этой работе невозможна вся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полнота рассказа об истории российского Центробанка, на примере периода экономического расцвета Российской империи конца XIX века и последовавшего за ним мирового экономического кризиса показано то, какие финансовые подъемы и катаклизмы удавалось пережить нашей стране.</w:t>
      </w:r>
    </w:p>
    <w:p w:rsidR="00334980" w:rsidRPr="00BB273C" w:rsidRDefault="00584722"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sz w:val="28"/>
          <w:szCs w:val="28"/>
        </w:rPr>
        <w:br w:type="page"/>
      </w:r>
      <w:r w:rsidR="00334980" w:rsidRPr="00BB273C">
        <w:rPr>
          <w:rFonts w:ascii="Times New Roman" w:hAnsi="Times New Roman" w:cs="Times New Roman"/>
          <w:b/>
          <w:bCs/>
          <w:sz w:val="28"/>
          <w:szCs w:val="28"/>
        </w:rPr>
        <w:t xml:space="preserve">Роль денег в </w:t>
      </w:r>
      <w:r w:rsidRPr="00BB273C">
        <w:rPr>
          <w:rFonts w:ascii="Times New Roman" w:hAnsi="Times New Roman" w:cs="Times New Roman"/>
          <w:b/>
          <w:bCs/>
          <w:sz w:val="28"/>
          <w:szCs w:val="28"/>
        </w:rPr>
        <w:t>истории, их настоящее и будущее</w:t>
      </w:r>
    </w:p>
    <w:p w:rsidR="00584722" w:rsidRPr="00BB273C" w:rsidRDefault="00584722" w:rsidP="003316A2">
      <w:pPr>
        <w:spacing w:after="0" w:line="360" w:lineRule="auto"/>
        <w:ind w:firstLine="709"/>
        <w:jc w:val="both"/>
        <w:rPr>
          <w:rFonts w:ascii="Times New Roman" w:hAnsi="Times New Roman" w:cs="Times New Roman"/>
          <w:b/>
          <w:bCs/>
          <w:sz w:val="28"/>
          <w:szCs w:val="28"/>
        </w:rPr>
      </w:pP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Наличные деньги, существуют несколько тысячелетий, Во все времена деньги в обществе выполняли важную роль эквивалента стоимости и выступали мерилом товаров и услуг. Без существования денег невозможно представить бесперебойное функционирование всех сложных процессов мировой экономики. Первой же и самой главной функцией денег в любом обществе и в любых условиях является оптимальное обеспечение процесса обмена товара на деньги, то есть выполнение функции средства наличного денежного обращения. При этом в процессе своего эволюционного развития деньги сменили несколько форм. В древний исторический период товарное обращение у разных народов совершалось посредством натуральных сделок. Товары непосредственно обменивались друг на друга, и ни один из них не играл в торговле какой-либо особой роли. Для того чтобы вещь стала товаром, она должна обладать меновой стоимостью, поэтому уже на самых ранних этапах развития товарообмена некоторый конкретный товар или товары выделялись из массы других и становились общепризнанной универсальной мерой стоимости. Стоимость, как мы все знаем, могла измеряться в различных предметах хозяйственного или военного быта. Так, за деньгами, помимо функции меры стоимости, закреплялась функция средства обращения. Слитки драгоценных металлов стали использоваться в качестве денег еще в Древнем Вавилоне, это второе тысячелетие до нашей эры, и обладатель таких денег мог не беспокоиться, что они утратят покупательную стоимость.</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Дальнейшее развитие товарных отношений предъявляло все новые требования к деньгам: их компактность, долговечность и удобство хранения. Около 650 года до н.э. в Лидии на территории современной Турции впервые были изобретены деньги в форме округлых слитков из электрона природного сплава золота и серебра.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Это были прообразы современных монет. Однако имеется информация, что первые монеты предположительно изготавливались в Китае еще в 12 века до н.э.</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При этом был применен метод литья в форму. В странах Средиземноморского бассейна появились первые чеканенные монеты, а развитие монетного дела в античности осуществлялось сначала греческими рабовладельческими государствами, а затем уже значительное развитие получило в Древнем Риме и достигло вершины развития в период наибольшего расширения территории Римской Империи.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Как известно, монета стала исторически первым денежным знаком. Введение монетных денег стало общественной необходимостью с развитием в рабовладельческом обществе эпохи античности товарного</w:t>
      </w:r>
      <w:r w:rsidR="003456D7"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производства. Само слово монета это одно из имен древнеримской богини Юноны и одновременно название первого римского монетного двора при храме Юноны на Капитолии Древнего Рима. Постепенно</w:t>
      </w:r>
      <w:r w:rsidR="003456D7" w:rsidRPr="00BB273C">
        <w:rPr>
          <w:rFonts w:ascii="Times New Roman" w:hAnsi="Times New Roman" w:cs="Times New Roman"/>
          <w:sz w:val="28"/>
          <w:szCs w:val="28"/>
        </w:rPr>
        <w:t xml:space="preserve"> </w:t>
      </w:r>
      <w:r w:rsidRPr="00BB273C">
        <w:rPr>
          <w:rFonts w:ascii="Times New Roman" w:hAnsi="Times New Roman" w:cs="Times New Roman"/>
          <w:sz w:val="28"/>
          <w:szCs w:val="28"/>
        </w:rPr>
        <w:t>слово монета, использованное в переносном смысле, стало именем нарицательным.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ходе исторического развития возникла и утвердилась, как самая практичная форма, круглая монета с двухсторонней чеканкой. Образцом для главной монеты средневекового феодального общества динария</w:t>
      </w:r>
      <w:r w:rsidR="003456D7"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послужил римский динарий, названный в германоязычных странах пфенниг. За небольшим исключением динарий был в VIII XIII веках единственным чеканенным номиналом.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Первыми металлическими деньгами в славянских землях были иностранные серебряные монеты. В I III веках в землях юго-восточных славян широкое хождение имели римские динарии, позднее драхмы</w:t>
      </w:r>
      <w:r w:rsidR="003456D7" w:rsidRPr="00BB273C">
        <w:rPr>
          <w:rFonts w:ascii="Times New Roman" w:hAnsi="Times New Roman" w:cs="Times New Roman"/>
          <w:sz w:val="28"/>
          <w:szCs w:val="28"/>
        </w:rPr>
        <w:t xml:space="preserve"> </w:t>
      </w:r>
      <w:r w:rsidRPr="00BB273C">
        <w:rPr>
          <w:rFonts w:ascii="Times New Roman" w:hAnsi="Times New Roman" w:cs="Times New Roman"/>
          <w:sz w:val="28"/>
          <w:szCs w:val="28"/>
        </w:rPr>
        <w:t>иранских правителей Сасанидов, с VIII века это дирхемы Арабского халифата. В IX X веках сложилась первая древнерусская система денежного счета. Появились и закрепились названия денежных единиц.</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Основной денежной единицей было счетное понятие гривна кун. Более мелкими единицами резана и веверица. Наряду с вышеназванными монетами в русские земли активно проникали монеты Византии: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серебряные милиарисии, золотые намисмы и медные полисы.</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Чеканка собственных монет на Руси началась на рубеже X XI веков. Первыми русскими монетами был серебряник и златник киевского</w:t>
      </w:r>
      <w:r w:rsidR="003456D7" w:rsidRPr="00BB273C">
        <w:rPr>
          <w:rFonts w:ascii="Times New Roman" w:hAnsi="Times New Roman" w:cs="Times New Roman"/>
          <w:sz w:val="28"/>
          <w:szCs w:val="28"/>
        </w:rPr>
        <w:t xml:space="preserve"> </w:t>
      </w:r>
      <w:r w:rsidRPr="00BB273C">
        <w:rPr>
          <w:rFonts w:ascii="Times New Roman" w:hAnsi="Times New Roman" w:cs="Times New Roman"/>
          <w:sz w:val="28"/>
          <w:szCs w:val="28"/>
        </w:rPr>
        <w:t>князя Владимира Святославовича и его преемника Святополка Окаянного, чеканенные наподобие византийских монет.</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XII - XIII веках ослабление междоусобицей между Киевом и Новгородом привело к сокращению хозяйственной активности, резкому сокращению сферы монетного обращения и окончательному вытеснению монет из денежного обращения серебряными слитками. Этот исторический период, охватывающий XII, XIII и первую половину XIV веков называют безмонетным. В денежном обращении преобладали слитки гривны киевского типа и новгородского. Конец XIII века ознаменован рождением новой русской денежной единицы рубля. Это название получил появившийся в Новгороде новый вид так называемого горбатого слитка весом около 171 грамма. В начале XIV века рубль как платежная единица появился в Москве, Твери и др</w:t>
      </w:r>
      <w:r w:rsidR="003456D7" w:rsidRPr="00BB273C">
        <w:rPr>
          <w:rFonts w:ascii="Times New Roman" w:hAnsi="Times New Roman" w:cs="Times New Roman"/>
          <w:sz w:val="28"/>
          <w:szCs w:val="28"/>
        </w:rPr>
        <w:t>угих землях. Новый термин рубль</w:t>
      </w:r>
      <w:r w:rsidRPr="00BB273C">
        <w:rPr>
          <w:rFonts w:ascii="Times New Roman" w:hAnsi="Times New Roman" w:cs="Times New Roman"/>
          <w:sz w:val="28"/>
          <w:szCs w:val="28"/>
        </w:rPr>
        <w:t>, как и его производные полтина, четверть получили повсеместное признание в русских землях.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конце XIV начале XV веков в период ослабления Золотой Орды в Московском, Суздальском, Нижегородском, Рязанском, Можайском, Дмитровском, Серпуховском и других княжествах началась чеканка собственных монет. В Московском княжестве чеканка серебряной деньги началась при Дмитрии Донском сразу же после Куликовской битвы. Это была первая монета, на которой имя московского князя было написано на русском языке. В силу политической обособленности русских княжеств каждое из них чеканило монеты по своим собственным весовым стандартам, основанном на весе собственного рубля- слитка.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Во второй половине XV века процесс объединения некогда враждовавших русских княжеств в единое государство, получившее название Московия, сопровождался объединением московской, новгородской денежных систем в единую общерусскую систему.</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Ее основными номиналами стали серебряные монеты, московская деньга, новгородская деньга и полушка. К 30-м годам XVI века разразился кризис денежной системы российского государства, выразившийся в массовом появлении худых денег, то есть поддельных и обрезанных монет. Проблема усугублялась дефицитом серебра в тот период. В 30-е годы XVI века была проведена первая денежная реформа объединенного российского государства, задуманная Василием III, но осуществленная после его смерти матерью и регентшей малолетнего царя Ивана Васильевича Еленой Глинской.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ходе реформы были проведены репрессивные меры против многочисленных фальшивомонетчиков, после чего в 1533 году выпущены в обращение новые монеты с изображением всадника с копьем, а также всадника с саблей, которые соответствовали весу трех основных номиналов новгородки, московки и полушки. От этого всадника и произошло наименование копейная деньга или копейка.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Реформа Елены Глинской явилась одним из примеров успешного реформирования денежной системы Русского государства, которая просуществовала без изменений до конца XVII века. Начиная с XVI века, в денежном обращении России все более заметную роль играют уже золотые монеты. Начиная с годов правления Ивана III, подражание венгерскому дукату приобрело регулярный характер. С 1701 по 1797 год</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чеканился золотой червонец. В 1654 году, в ходе денежной реформы Алексей Михайловича, в обращение были введены и серебряные рублевики, это первая русская рублевая монета. Вводились в обращение</w:t>
      </w:r>
      <w:r w:rsidR="00562D6B" w:rsidRPr="00BB273C">
        <w:rPr>
          <w:rFonts w:ascii="Times New Roman" w:hAnsi="Times New Roman" w:cs="Times New Roman"/>
          <w:sz w:val="28"/>
          <w:szCs w:val="28"/>
        </w:rPr>
        <w:t xml:space="preserve"> </w:t>
      </w:r>
      <w:r w:rsidRPr="00BB273C">
        <w:rPr>
          <w:rFonts w:ascii="Times New Roman" w:hAnsi="Times New Roman" w:cs="Times New Roman"/>
          <w:sz w:val="28"/>
          <w:szCs w:val="28"/>
        </w:rPr>
        <w:t>медные монеты полтина, полуполтина, гривна, алтын и грошевик с принудительным курсом. В обращении оставались серебряные копейки, чеканенные по весовой норме старого счетного рубля.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1700 год разделил историю русской денежной системы на архаичный допетровский и новый имперский периоды. Одной из первых проведенных им реформ была денежная реформа, осуществленная в</w:t>
      </w:r>
      <w:r w:rsidR="00562D6B" w:rsidRPr="00BB273C">
        <w:rPr>
          <w:rFonts w:ascii="Times New Roman" w:hAnsi="Times New Roman" w:cs="Times New Roman"/>
          <w:sz w:val="28"/>
          <w:szCs w:val="28"/>
        </w:rPr>
        <w:t xml:space="preserve"> </w:t>
      </w:r>
      <w:r w:rsidRPr="00BB273C">
        <w:rPr>
          <w:rFonts w:ascii="Times New Roman" w:hAnsi="Times New Roman" w:cs="Times New Roman"/>
          <w:sz w:val="28"/>
          <w:szCs w:val="28"/>
        </w:rPr>
        <w:t>несколько этапов в период с 1696 по 1718 годы. Успеху петровской денежной реформы в немалой степени способствовало то, что новые номиналы монет вводились постепенно, их внедрение осуществлялось</w:t>
      </w:r>
      <w:r w:rsidR="00562D6B" w:rsidRPr="00BB273C">
        <w:rPr>
          <w:rFonts w:ascii="Times New Roman" w:hAnsi="Times New Roman" w:cs="Times New Roman"/>
          <w:sz w:val="28"/>
          <w:szCs w:val="28"/>
        </w:rPr>
        <w:t xml:space="preserve"> </w:t>
      </w:r>
      <w:r w:rsidRPr="00BB273C">
        <w:rPr>
          <w:rFonts w:ascii="Times New Roman" w:hAnsi="Times New Roman" w:cs="Times New Roman"/>
          <w:sz w:val="28"/>
          <w:szCs w:val="28"/>
        </w:rPr>
        <w:t>одновременно с обращением в течение длительного времени старых привычных проволочных копеек.</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 концу 50-х годов XVIII века денежное обращение очистилось от проволочной серебряной копейки, легковесных пятаков. 85% всех серебряных монет составляли рубли, 11% полтинники, четвертаки и 4% гривенники и пятаки. Роль золотых монет во внутреннем обороте тогда была незначительная. На протяжении нескольких десятилетий на российских монетах последовательно сменяли друг друга портреты, вензеля императоров, императриц. Следы свергнутых монархов на монетах стирали путем перечеканки и переплавки.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эпоху феодализма межгосударственная циркуляция денег была довольно ограничена. Новый строй капиталистический, его промышленная революция с резким расширением международной торговли и быстрым перемещением огромных денежных сумм из одного государства в другое требовал иных форм существования наличных денег. На смену тяжеловесной, но в то же время полноценной монете шли бумажные деньги. Однако первое их появление в сфере наличного денежного обращения было сопряжено с рядом сложностей. Появление бумажных денег стало одним из главных инструментов проведения государственной финансовой и общеэкономической политики во всех странах мира. Бумажные деньги создали возможность для государств выпускать при необходимости любой дополнительный объем денег.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Впервые бумажные деньги появились в Китае в VIII веке под названием летающие монеты, а в Европе в Швеции в 1661 году, это -</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первая, дошедшая до нас купюра датирована 6 декабря 1662 года.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США первые бумажные деньги появились в 1691 году, они печатались на простой бумаге, причем, только на одной стороне. На прямоугольном листе без всяких водяных знаков были отпечатаны неказистая виньетка,</w:t>
      </w:r>
      <w:r w:rsidR="00562D6B" w:rsidRPr="00BB273C">
        <w:rPr>
          <w:rFonts w:ascii="Times New Roman" w:hAnsi="Times New Roman" w:cs="Times New Roman"/>
          <w:sz w:val="28"/>
          <w:szCs w:val="28"/>
        </w:rPr>
        <w:t xml:space="preserve"> </w:t>
      </w:r>
      <w:r w:rsidRPr="00BB273C">
        <w:rPr>
          <w:rFonts w:ascii="Times New Roman" w:hAnsi="Times New Roman" w:cs="Times New Roman"/>
          <w:sz w:val="28"/>
          <w:szCs w:val="28"/>
        </w:rPr>
        <w:t>герб, номинал, а также стояли обязательные подписи должностных лиц. Естественно, подделать такие деньги было не трудно.</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Бумажные деньги потребовали специальных мер защиты от подделки. Постепенно изображения на них стали усложнять, но все, же бизнес на фальшивых деньгах процветал. Дело дошло до того, что, например,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1735 году в Штате Южная Каролина деньги достоинством 15, 10 фунтов стерлингов были полностью изъяты из обращения, поскольку эти денежные знаки, как тогда писали, были подделаны разными дьявольскими личностями, а отличить подлинные от фальшивых уже никто не смог.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 50 60-м года XVIII века в США инфляция, обусловленная как неконтролируемым выпуском бумажных денег, так и обилием их подделок, приняла прямо-таки фантастический характер, и тогда</w:t>
      </w:r>
      <w:r w:rsidR="00562D6B"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правительство постановило прекратить выпуск бумажных денег.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Еще в начале 18 столетия отдельные государственные деятели в России неоднократно обращались к мысли об использовании бумажных денег. Однако полный провал эксперимента королевского двора во Франции в 1820 году с использованием эмиссии кредитных билетов как источника дополнительного дохода охладил на некоторое время интерес к ним.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России первые бумажные деньги были выпущены в 1769 году.</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Как и везде в Европе их появление связано с огромными расходами государства, в особенности на ведение войн.</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Путь к завоеванию наличного денежного обращения для бумажных денег оказался трудным, долгим и, как показала история, бумажный денежный знак требовал специальной комплексной защиты от подделки.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течение достаточно продолжительного периода они существовали с полноценной монетой в условиях серебряного, а затем золотомонетного стандарта. Тем не менее, в первой трети XX века после тяжелых</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периодов революционных потрясений, войн и экономических кризисов, когда полноценная монета стала скорее соответствовать функции денег, как средства накопления или сокровища, бумажные деньги воцарились в денежном обращении всерьез и надолго. Однако с этого времени их существование оказалось еще более тесно связано с функционированием мировых валютных систем.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Первая мировая война, разразившаяся в 1914 году, ознаменовалась крупным кризисом мировой валютной системы, золотомонетный стандарт перестал функционировать, и для того чтобы восстановить систему золотовалютных платежей золотой стандарт был заменен генуэзской валютной системой, устанавливающей золотодевизный стандарт, основанный на золоте и валютах, конвертируемых в золото.</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результате мирового экономического кризиса 1929 - 1933 годов, генуэзская валютная система утратила стабильность. Бриттенвудская валютная система была оформлена соглашением 1944 года.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 своей сущности она напоминала золотодевизный стандарт, но статус резервной валюты юридически закреплялся за долларом США.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Кризис этой системы привел к ее постепенному развалу в 1971-1976 годам. На смену ей пришла ямайская мировая валютная система, функционирующая поныне, которая оформлена в соглашениях</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стран - 36 членов МВФ в 1976 году и ратифицированная в 1978 году.</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рамках ямайской валютной системы юридически была оформлена демонетизация золота, отменена его официальная цена, прекращен размен долларов на золото. Золото исключено из расчетов между МВФ и его членами. Узаконен отказ от фиксирования золотого содержания национальных валют. Таким образом, бумажные денежные знаки</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полностью утратили свою связь с полноценной монетой из драгоценных металлов.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Во второй половине XX века растущие потребности еще более быстрого перемещения денег между странами привели к развитию системы электронных платежей. Сегодня наряду с бумажными деньгами</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используются так называемые электронные деньги. Когда-то те же причины ускорения платежей потребовали замены монеты бумажными деньгами. Это изменение в мировой экономики, которое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непосредственно затрагивает нашу работу.</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Несмотря на то, что промышленно развитые страны имеют более чем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30-летний опыт работы в этих условиях, в мире не прекращается дискуссия о роли наличных денег в эпоху электронных технологий.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 точки зрения экономистов, наличные денежные знаки в платежном обороте в короткие сроки могут быть замещены более адекватными на их взгляд денежными инструментами электронными деньгами.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Некоторые наиболее продвинутые предрекают функционирование платежной системы исключительно в безналичном виде и готовы вынести как бы приговор наличным деньгам, что процесс не остановить,</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остается только определить сроки их кончины.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Отмечая определенные преимущества электронных денег в сравнении с традиционными наличными банкнотой и монетой нельзя не отметить, что у электронных заменителей наличных денег есть на сегодня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свои очень серьезные недостатки. История принципе показывает, что замена одной формы денег на другую никогда не происходит в одночасье.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только будущее может сказать, как долго будет длиться переход от наличных денежных знаков к электронным, если он будет к ним идти, и являются ли вообще электронные деньги той самой следующей эволюцией формы денег. Вероятность того, что в период жизни следующего поколения, иначе говоря, в течение ближайших 25 лет, общество избавится от наличных денег, на мой взгляд, фактически равно нулю. И, скорее всего, наличные деньги просуществуют еще очень-очень много лет, ведь нельзя не учесть, что наличные деньги существуют порядка 3 тысяч лет, а просто так человечество ничего не выбирает и не оставляет у себя функционировать на очень длительные сроки. Наличные деньги остаются неотъемлемым базисом функционирования примерно для 2 миллионов банкоматов во всем мире, поскольку около 70% всех</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банкоматных транзакций это снятие наличных денег. Наличные деньги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имеют практически бесконечно протяженное будущее. Причины их бессмертия намного сильнее, чем все существующие препятствия для развития и угрозы существования наличных. Действительно, в конце XX столетия общая доля наличных денег как форма оплаты на мировом рынке уменьшалась вследствие появления кредитных карт, посттерминалов, интернет-банкинга, а также таких новинок, как предоплаченные карты, мобильные банковские услуги. Тем не менее, популярность и объем наличных денег продолжает повсюду возрастать как в развитых, так и в развивающихся странах.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Банк Англии, европейские центральные</w:t>
      </w:r>
      <w:r w:rsidR="00D67FB8" w:rsidRPr="00BB273C">
        <w:rPr>
          <w:rFonts w:ascii="Times New Roman" w:hAnsi="Times New Roman" w:cs="Times New Roman"/>
          <w:sz w:val="28"/>
          <w:szCs w:val="28"/>
        </w:rPr>
        <w:t xml:space="preserve"> банки</w:t>
      </w:r>
      <w:r w:rsidRPr="00BB273C">
        <w:rPr>
          <w:rFonts w:ascii="Times New Roman" w:hAnsi="Times New Roman" w:cs="Times New Roman"/>
          <w:sz w:val="28"/>
          <w:szCs w:val="28"/>
        </w:rPr>
        <w:t>, Федеральная резервная система все они дружно прогнозируют: обороты наличных британских фунтов стерлингов, евро, доллара продолжают увеличиваться. Объем наличных евро в обращении растет очень быстрыми темпами. Так,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со времени введения евро в 2002 году объем наличных евро увеличился примерно на 20% ежегодно. В таких странах с развитой инфраструктурой для безналичных платежей, как США, Япония, Великобритания позиция</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наличных по-прежнему непоколебимы.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Компания Скайн - коэн - мировой лидер решений для обработки наличности подсчитала, что в большинстве индустриально развитых стран объемы обработки наличных увеличиваются темпами от 2 до</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10% в год. Еще быстрее растет этот показатель в менее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индустриально развитых странах.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Эффективность наличности в будущем, как ожидается, повысит технология замкнутого обращения наличности (иностранный термин). Много ли известно других технологий, которые имеют столь древнюю</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историю?</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Долгожительство наличных денег объясняется их простотой. Наличные обеспечивают мгновенный результат фактически в любой точке земного шара. И это самая сильная их сторона, с которой нельзя не считаться и сегодня в эпоху развития безналичных технологий. Наличные деньги это не те технология, потенциал которой быстро исчерпывается. Кроме того, наличность имеет сильный иммунитет против попыток заменить ее той или иной альтернативой.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отличие от существующих на сегодняшний день альтернатив наличные деньги: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обладают номинальной стоимостью;</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не требуют оплаты комиссий потребителями;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вещественны, стало быть, осязаемы;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внушают уверенность продавцу для принятия в качестве оплаты;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обеспечивают мгновенный окончательный расчет;</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свободны от кредитных рисков;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являются активов, регулируемым Центральным банком;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анонимны, не могут быть отслежены;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доступны и абсолютно просты и понятны в использовании;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универсальны;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взаимозаменяемы с наличными деньгами, номинированными в других валютах;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обеспечивают быстроту товарно-денежного оборота.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Например, по данным компании Макдональдс</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сокращение времени транзакций на 6 секунд позволяет увеличивать объем продаж на 1%.</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Будущее наличных денег среди прочего фактически гарантируется растущей ролью, так называемого теневого сектора экономики.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 данным, доля теневого сектора в экономиках различных стран мира оценивается примерно в 30%. Можно ли поверить, что участники этой теневой индустрии будут готовы отказаться от всех преимуществ наличных денег, хотя бы в ближайшее десятилетие?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Будущее наличных денег -</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наличные деньги.</w:t>
      </w:r>
    </w:p>
    <w:p w:rsidR="00D67FB8" w:rsidRPr="00BB273C" w:rsidRDefault="00D67FB8"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b/>
          <w:bCs/>
          <w:sz w:val="28"/>
          <w:szCs w:val="28"/>
        </w:rPr>
        <w:t>Создание</w:t>
      </w:r>
      <w:r w:rsidR="003316A2" w:rsidRPr="00BB273C">
        <w:rPr>
          <w:rFonts w:ascii="Times New Roman" w:hAnsi="Times New Roman" w:cs="Times New Roman"/>
          <w:b/>
          <w:bCs/>
          <w:sz w:val="28"/>
          <w:szCs w:val="28"/>
        </w:rPr>
        <w:t xml:space="preserve"> </w:t>
      </w:r>
      <w:r w:rsidR="00D67FB8" w:rsidRPr="00BB273C">
        <w:rPr>
          <w:rFonts w:ascii="Times New Roman" w:hAnsi="Times New Roman" w:cs="Times New Roman"/>
          <w:b/>
          <w:bCs/>
          <w:sz w:val="28"/>
          <w:szCs w:val="28"/>
        </w:rPr>
        <w:t>Государственного Банка России</w:t>
      </w:r>
    </w:p>
    <w:p w:rsidR="00D67FB8" w:rsidRPr="00BB273C" w:rsidRDefault="00D67FB8"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1860 году</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император Александр II подписал указ от 31 мая о создании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Государственного банка Российской империи.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Формально он был преобразован из Государственного Коммерческого банка, созданного в 1817 году. Можно сказать, что свою родословную Государственный банк ведет от первых государственных банков в России (1754 г.).</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Одновременно с подписанием Указа об основании Государственного банка император Александр II утвердил его Устав,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согласно которого, Государственный банк (учреждение краткосрочного коммерческого кредита),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был создан для «оживления торговых оборотов» и «упрочения денежной кредитной системы».</w:t>
      </w:r>
      <w:r w:rsidR="003316A2" w:rsidRPr="00BB273C">
        <w:rPr>
          <w:rFonts w:ascii="Times New Roman" w:hAnsi="Times New Roman" w:cs="Times New Roman"/>
          <w:sz w:val="28"/>
          <w:szCs w:val="28"/>
        </w:rPr>
        <w:t xml:space="preserve">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Главным идеологом нового Государственного банка стал известный экономист и географ Е.И. Ламанский, сын директора Кредитной канцелярии, автор работ по истории российского денежного обращения,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который предполагал организацию Государственного банка Российской империи по образцу Банка Франции, предусматривая его относительную независимость от правительства и предоставление эмиссионного права. Однако высшее бюрократическое чиновничество России скептически отнеслось к его идее государственно-акционерной компании, в результате чего права Государственного банка были значительно урезаны. Вплоть до 1897 г. он не имел эмиссионного права, обладая лишь разрешением о временных выпусках небольших объемов кредитных билетов.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 момента своего учреждения банк находился,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 1860 по 1894 год,</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ведении Министерства финансов (по сути, являлся вспомогательным учреждением и в его задачи входили обслуживание государственного долга и другие функции, связанные с обслуживанием казны), а его средства использовались для решения важнейших государственных задач.</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Структура Государственного банка отличалась централизацией.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Правление Государственного банка было высшим органом непосредственного управления банком. Правление и отделы Центрального управления образовывали центральный аппарат Государственного банка, которому подчинялись конторы и отделения. (Наиболее крупными по объемам проводимых банковских операций оставались Московская контора, преобразованная в 1860 г. из конторы Коммерческого банка, а также учрежденная в 1894 г. Санкт-Петербургская контора (с 1914 г. Петроградская контора)).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 осуществлял как коммерческие операции, так и операции, возложенные на него Министерством финансов за счет Государственного казначейств. Коммерческие операции проводились и Коммерческим банком, однако в Государственном банке их виды и объемы были значительно расширены. Банк учитывал векселя и срочные обязательства, выдавал ссуды и открывал кредиты, покупал и продавал ценные бумаги, драгоценные металлы и иностранную валюту. Он также переводил суммы, принимал вклады и открывал текущие счета. К числу операций, возложенных на банк Министерством финансов, относились размещение государственных ценных бумаг, обслуживание государственного долга, выдача по распоряжению министра финансов неуставных ссуд стратегически важным отраслям промышленности, снабжение денежными средствами ссудных касс, кредитование Дворянского и Крестьянского банков, обслуживание выкупных платежей и прием казенных сборов, ликвидация упраздненных казенных банков. До 1887 г. Государственный банк осуществлял ликвидацию счетов дореформенных кредитных учреждений.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Поначалу основную часть ресурсов банка поглощало прямое и косвенное финансирование казны.</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Основной капитал Государственного банка составлял 15 млн. руб., а запасный 3 млн. рублей. С резким увеличением объемов банковских операций и принятием нового Устава Государственного банка в 1894 г. размер основного капитала Государственного банка возрос до 50 млн. руб., а запасный капитал</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 5 млн. рублей.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Затем, в 1895</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1898 годах, была проведена денежная реформа, в ходе которой в России было введено золотое денежное обращение. В ходе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этой же реформы учреждение получило право на выпуск банкнот (ранее этим занималась Экспедиция государственных кредитных билетов при Министерстве финансов).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 конца XIX в. Государственный банк Российской империи оставался банком, кредитовавшим в основном крупную промышленность и торговлю. Особое значение среди активных операций банка приобрели учет векселей и выдача ссуд под государственные ценные бумаги. При этом кредитование землевладельцев, крестьян, ремесленников, мелкой промышленности и учреждений мелкого кредита не получило должного развития.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Накануне Первой мировой войны Государственный банк Российской империи был одним из влиятельнейших европейских кредитных учреждений </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 xml:space="preserve"> коэффициент золотого запаса, за исключением 1906 года, не опускался ниже 93%, а в среднем был выше 100%. Он осуществлял регулирование денежного обращения и валютных расчетов в России и через коммерческие банки принимал участие в кредитовании промышленности и торговли.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Российской империи зримо отражается именами выдающихся российских банкиров.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Управляющими Государственным банком в разные годы были: барон Александр Людвигович Штиглиц (1860-1866);</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Евгений Иванович Ламанский (1866-1881); Алексей Васильевич Цимсен (1881-1889); Юлий Галактионович Жуковский (1889-1894);</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Эдуард Дмитриевич Плеске (1894-1903); Сергей Иванович Тимашев (1903-1909); Алексей Владимирович Коншин (1910-1914); Иван Павлович Шипов (1914-1917).</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Витте и «банк банков».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Поворот в политике Государственного банка был связан с министром финансов С.Ю. Витте, сторонником идеи народного кредита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широкого кредитования отечественных производителей.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Сергей Юльевич Витте возглавлял Министерство финансов с осени 1892 г. по август 1903 года.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Почти сразу после своего назначения в 1892 г. на пост министра финансов С.Ю. Витте начал подготовку к изданию нового Устава банка.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Его соратником стал ученик известного экономиста и государственного деятеля Н.Х. Бунге -</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А.Я. Антонович, настоявший на включении в Устав банка пунктов о кредитовании мелких и средних производителей, прежде всего крестьян и кустарей.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Новый Устав Государственного банка 1894 г. закрепил его право выдавать промышленные ссуды, значительная часть которых представляла собой ссуды мелкой и средней промышленности и торговле, крестьянам и ремесленникам. С другой стороны, возросли объемы кредитования отдельных промышленных предприятий, преимущественно тяжелой промышленности. Были расширены также объемы выдач подтоварных ссуд, в основном ссуд под зерно. В конце XIX</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начале XX в. размер ссуды промышленному предприятию не мог превышать 500 тыс. руб.</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Успешная индустриализация в России по Витте, повлекшая промышленный подъем и приток в страну иностранных инвестиций, не могла за столь короткое время изменить преимущественно аграрный характер экономики страны. Хлеб оставался основным продуктом русского экспорта. От его реализации зависело состояние экономической конъюнктуры. При успешной реализации зерна в Европу уменьшался дефицит свободного ссудного капитала, оживлялись торговые обороты и кредит.</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связи с этим Государственный банк обращает свое внимание на создание государственной системы элеваторов. Эта система должна была способствовать минимизации потерь зерна при перевозках, которые в России были особенно ощутимыми. В рамках государственного регулирования хлебной кампании Государственный банк с 1910 г. стал возводить сеть зернохранилищ и элеваторов.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Государственный банк способствовал также созданию в стране системы учреждений мелкого кредита по кредитованию кооперации, крестьян и кустарей. При его финансовой поддержке и помощи по всей стране создавались кредитные товарищества. С 1904 г. учреждения мелкого кредита были поставлены под полный контроль Государственного банка. Специально созданное Управление по делам мелкого кредита занималось оказанием им финансовой, консультационной, ревизионной и иной помощи.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Кооперация получала кредиты как через ссудо-сберегательные и кредитные товарищества, так и через кредитование Государственным банком созданного в 1912 г. Московского народного банка.</w:t>
      </w:r>
      <w:r w:rsidR="003316A2" w:rsidRPr="00BB273C">
        <w:rPr>
          <w:rFonts w:ascii="Times New Roman" w:hAnsi="Times New Roman" w:cs="Times New Roman"/>
          <w:sz w:val="28"/>
          <w:szCs w:val="28"/>
        </w:rPr>
        <w:t xml:space="preserve">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Указом Николая II</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29 августа 1897 г. была проведена денежная реформа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1895- 1897 годов.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С.Ю. Витте вспоминал, что реформа прошла быстро и естественно, без особых потрясений в обществе. В действительности она широко обсуждалась в печати и экономической литературе. Осуществляя девальвацию рубля, С.Ю. Витте подумывал о введении новой денежной единицы в России. По примеру франка он хотел назвать ее русом. Однако в сознании народа понятие рубль означало уже так много, что от замены этого слова пришлось отказаться.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Золотое содержание рубля было уменьшено на одну треть. Кредитный рубль был приравнен к 66 2/3 коп, золотом. В результате реформы Государственный банк сделался эмиссионным учреждением. Ему было предоставлено право выпуска банкнот. Он мог выпускать не обеспеченные золотом кредитные билеты не более чем на сумму в 300 млн. руб. Все кредитные билеты, выпущенные в обращение сверх этой суммы, должны были быть обеспечены золотом рубль за рубль. В России был установлен строгий эмиссионный закон. Он требовал постоянного содержания в подвалах Государственного банка большого запаса золота для обеспечения находившихся в обращении кредитных билетов. До реформы 1897 г. золото и серебро использовались преимущественно для заграничных расчетов и не играли существенной роли в денежном обращении в России. После реформы 1897 г. положение изменилось. Введение золотого стандарта способствовало стабилизации рубля и открыло возможности для привлечения в Россию иностранных капиталов. После проведения денежной реформы определенная часть платежей Государственного банка производилась обязательно золотом, с тем, чтобы обеспечить приток в обращение золотой монеты. С этой целью из обращения были изъяты кредитные билеты мелких купюр.</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Золото обывателям навязывали в Государственном банке. Никто не хотел брать золото - это было тяжело содержать его в карманах, это было неудобно, поэтому его даже навязывали. Но Витте считал, что необходимо было постоянное обращение золота в денежном обороте.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августе 1900 г. Совет Государственного банка одобрил новые правила по срочным сделкам с золотом, иностранной валютой и банкнотами иностранных банков. Государственный банк мог принимать на сроки золото в слитках, монете и банкнотах, а также иностранную валюту и выдавать под эти ценности рубли по фиксированному курсу и на определенный срок.</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Государственный 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контролировал систему сберегательных касс. Однако в 1901 г. от Государственного банка отделилось и стало самостоятельным Управление государственными сберегательными кассами, хотя наиболее важные вопросы деятельности сберегательных касс по-прежнему обсуждались в совете Государственного банка с участием представителя Кредитной канцелярии. Директор Кредитной канцелярии и управляющий Государственным банком совместно представляли министру финансов доклады относительно размещения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средств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сберегательных касс.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При С.Ю.</w:t>
      </w:r>
      <w:r w:rsidR="00D67FB8" w:rsidRPr="00BB273C">
        <w:rPr>
          <w:rFonts w:ascii="Times New Roman" w:hAnsi="Times New Roman" w:cs="Times New Roman"/>
          <w:sz w:val="28"/>
          <w:szCs w:val="28"/>
        </w:rPr>
        <w:t xml:space="preserve"> </w:t>
      </w:r>
      <w:r w:rsidRPr="00BB273C">
        <w:rPr>
          <w:rFonts w:ascii="Times New Roman" w:hAnsi="Times New Roman" w:cs="Times New Roman"/>
          <w:sz w:val="28"/>
          <w:szCs w:val="28"/>
        </w:rPr>
        <w:t>Витте Кредитная канцелярия, совместно с Государственным банком, стали осуществлять целый ряд важнейших финансовых операций. Они занимались регулированием денежного обращения, валютной и дисконтной политики. Кредитная канцелярия играла роль своеобразного связующего звена между Государственным банком и частными банками.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Через Государственный банк осуществлялся правительственный контроль над частными банками.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связи с провозглашенной Витте политикой, так называемого мирного проникновения на рынки Среднего и Дальнего Востока, в Россию было учреждено несколько банков, ставших проводниками этой политики. Это была обычная экономическая экспансия, в которой участвовала на этот раз Россия. Несмотря на постоянную нехватку свободных капиталов в стране Россия начала выступать в качестве кредитора по отношению к некоторым странам Востока и Балканского полуострова. Это была не столько финансовая, сколько политическая акция, то есть по форме она была финансовой, но задачи ее носили политический характер, конечно. Капитал вывозился или непосредственно Государственным банком, или с его помощью через банки, находившиеся под контролем Министерства финансов. Особая роль в проведении этой политики принадлежала Русско-Китайскому банку и Учетно-ссудному банку Персии. Первый из них был учрежден в 1895 г. на капиталы русской казны и при значительном участии французских капиталов, а второй в 1894 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Учетно-ссудный банк Персии в отличие от Русско-Китайского с самого начала своего существования не был связан с иностранными капиталами и кредитовался за счет Государственного банка и Государственного казначейства. Учетно-ссудный банк Персии в известной мере может рассматриваться как филиал Государственного банка. Государственный банк занимался большой политикой и создавал финансовые структуры, которые действовали под его руководством и решали важные финансовые и политические вопросы.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1900 и 1902 гг. через Учетно-ссудный банк Персии русское правительство предоставило персидскому правительству долгосрочные займы соответственно на 22,5 млн. и 10 млн. золотых рублей. Оба займа не были выпущены на денежный рынок, а размещались через государственные учреждения и среди лиц близких к императорской фамилии. При реализации этих займов, как в первом, так и во втором случае была отпечатана и сдана в Государственный банк только одна облигация на всю сумму займа. Обе облигации были заложены на хранение в Петербургскую контору Государственного банка.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Государственный капитал вывозился в Персию через Учетно-ссудный банк не только в виде займов, но вкладывался в страховые и транспортные кампании или в дорожное строительство. Переговоры об этих операциях часто вел директор Петербургской конторы Государственного банка П.Л.</w:t>
      </w:r>
      <w:r w:rsidR="00684E6F"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Барк, позднее в 1914- 1917 гг. он занимал пост министра финансов.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Долгосрочный характер операций Учетно-ссудного банка Персии оказался обременительным для Государственного банка. В связи с этим Учетно-ссудный 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Персии в 1903 г. был переведен в собственность казны с возмещением Государственному банку из Государственного казначейства сумм, затраченных на приобретение предприятия и выпуск акций. Принадлежавшие Государственному банку акции Учетно-ссудного банка Персии были зачислены в портфель ценных бумаг Государственного казначейства. В Государственном банке с 1903 г. Учетно-ссудному банку Персии был открыт кредит в размере 10 млн. руб.</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Государственный банк совместно с другими российскими банками принимал непосредственное участие в предоставлении займов другим государствам. Например, в 1902г. Государственный банк совместно с Парижско-Нидерландским банком участвовал в предоставлении займа Болгарии. Заем был выпущен на 106 млн. франков. Доля участия Государственного банка составила 14 млн. франков. Операция была обусловлена чисто политическими соображениями, а не коммерческим расчетом.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1890-е годы шел процесс концентрации банковских капиталов. Укреплялись межбанковские связи. В совместном финансировании промышленности стали выступать Русский для внешней торговли, Петербургский Международный, Петербургский Учетный и ссудный, Русский Торгово-промышленный банки. Но, несмотря на возраставшую активность акционерных банков, Государственный банк продолжал оставаться крупнейшим коммерческим банком в стране. Он сыграл важную роль в период промышленного кризиса конца 1890-х начала 1900-х годов. В отступление от устава Государственный банк предоставлял ссуды предприятиям, которые считало необходимым поддержать Министерство финансов. В частности, известно, что банк кредитовал Ленское золотопромышленное общество, оказывал поддержку банкирскому дому Лазаря Полякова в 1902 и 1903 гг. и, терпевшим бедствие промышленным предприятиям, в которых были заинтересованы французские держатели, например, обществу Брянского завода.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условиях кризиса система С.Ю.Витте оказалась под угрозой, а сам министр финансов начал утрачивать свое влияние. Кризис показал неприспособленность к конкурентной борьбе предприятий, находившихся в сфере государственного хозяйства. Правительство пыталось бороться с кризисом. Оно поддерживало отдельные предприятия и банки, находившиеся в бедственном положении, проводило биржевые интервенции с помощью созданного для этой цели специального синдиката коммерческих банков и банкирских домов во главе с Государственным банком. Однако эти меры были бессильны перед стихией кризиса. Под его воздействием правительство вынуждено было отступить от практики неограниченного государственного вмешательства в одной из важнейших сфер экономической политики. В августе 1903 г. под натиском своих политических противников С.Ю.Витте вынужден был подать в отставку. С именем Витте, несомненно, связаны глубочайшие преобразования в деятельности Государственного банка, в результате которых он начал претендовать на положение банка банков в финансовой системе империи.</w:t>
      </w:r>
    </w:p>
    <w:p w:rsidR="00334980" w:rsidRPr="00BB273C" w:rsidRDefault="00334980"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b/>
          <w:bCs/>
          <w:sz w:val="28"/>
          <w:szCs w:val="28"/>
        </w:rPr>
        <w:t>Послевиттевский период</w:t>
      </w:r>
    </w:p>
    <w:p w:rsidR="00DD7253" w:rsidRPr="00BB273C" w:rsidRDefault="00DD7253" w:rsidP="003316A2">
      <w:pPr>
        <w:spacing w:after="0" w:line="360" w:lineRule="auto"/>
        <w:ind w:firstLine="709"/>
        <w:jc w:val="both"/>
        <w:rPr>
          <w:rFonts w:ascii="Times New Roman" w:hAnsi="Times New Roman" w:cs="Times New Roman"/>
          <w:b/>
          <w:bCs/>
          <w:sz w:val="28"/>
          <w:szCs w:val="28"/>
        </w:rPr>
      </w:pP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Новым лидерам финансового ведомства страны пришлось столкнуться с системным экономическим и политическим кризисом, охватившим империю. Самой насущной задачей Министерства финансов 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Государственного банка в этот период было сохранение созданного С.Ю. Вите золотого стандарта, который оказался под угрозой внешнеполитических конфликтов и социальных потрясений в стране.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Новым главой финансового ведомства, после С.Ю. Витте, с августа 1903 г., стал бывший управляющий Государственным банком Эдуард Дмитриевич Плеске.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После его скорой кончины, министром финансов был назначен заместитель</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Владимир Николаевич Коковцов, один их соавторов и активных проводников денежной реформы 1895-1897 гг. С коротким перерывом, в конце 1905 начале 1906 гг.,</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он бессменно занимал пост главы финансового ведомства в течение бурного десятилетия 1904-1913 гг., будучи после убийства П.А. Столыпина, одновременно и главой правительственного кабинета с 1911 г. до начала 1914 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Управляющим Государственным банком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1903 г. был назначен опытный чиновник Сергей Иванович Тимашев, ранее работавший под руководством управляющего Э.Д. Плеске и принимавший самое активное участие в реформировании деятельности Государственного банка в 1890-х годах.</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должности управляющего Государственным банком С.И. Тимашев проработал до 1909 г., и был назначен министром торговли и промышленности. С.И. Тимашев известен своей активной работой за сохранение золотого стандарта, а также тем, что подготовил аналитическую записку «О денежном обращении России в 1904- 1907 годах».</w:t>
      </w:r>
      <w:r w:rsidR="003316A2" w:rsidRPr="00BB273C">
        <w:rPr>
          <w:rFonts w:ascii="Times New Roman" w:hAnsi="Times New Roman" w:cs="Times New Roman"/>
          <w:sz w:val="28"/>
          <w:szCs w:val="28"/>
        </w:rPr>
        <w:t xml:space="preserve">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Новым лидерам Государственного банка и финансового ведомства пришлось приложить максимум усилий, чтобы спасти золотое денежное обращение в стране, пережившей неудачную войну с Японией и революцию 1905-1907 гг.</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Этот опыт остается весьма актуальным, поскольку содержит целый комплекс мер, направленных на стабилизацию денежной системы в экстремальных условиях, гораздо более неблагоприятных, чем, например, в ситуации современного финансово-экономического кризиса. Но даже в тех обстоятельствах руководству Министерства финансов и Государственного банка удалось сохранить золотой стандарт и стабилизировать систему денежного обращения в стране.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Вопрос о возможной отмене золотого размена встал сразу же после открытия военных действий на Дальнем Востоке. В.Н. Коковцов уже в начале 1904 г. настаивал на том, что «мы не должны отказываться от нашего денежного обращения, основанного на золотом размене бумажного рубля, ибо только в этом случае мы сохраним устойчивость нашего финансового положения на мировом рынке и быстро поправим все невзгоды войны, тогда как, прекратив наш золотой размен, мы легко можем вовсе не вернуться к нему в течение длительного промежутка времени»</w:t>
      </w:r>
      <w:r w:rsidR="00CD278D" w:rsidRPr="00BB273C">
        <w:rPr>
          <w:rFonts w:ascii="Times New Roman" w:hAnsi="Times New Roman" w:cs="Times New Roman"/>
          <w:sz w:val="28"/>
          <w:szCs w:val="28"/>
        </w:rPr>
        <w:t>.</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 заседании Комитета финансов в марте 1904 г. к востоку от Байкала</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т.е. в зоне, примыкающей к театру военных действий, решено было производить операции исключительно кредитными билетами в качестве превентивной меры против оттока золотой монеты. За счет эмиссии мелкокупюрных кредитных билетов (3, 5 и 10-рублевого достоинства, в Сибири рублевого достоинства) был создан объемный мелкокупюрный фонд, не требующий размена на золотую монету. В итоге выпуск кредитных билетов увеличился на 459 млн. руб., а объем золотой монеты в обращении сократился на 100 млн. руб.</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Финансирование военных расходов должно было производиться за счет займов, преимущественно внешних, прежде всего заключенных в Германской империи. Война с Японией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обошлась в 2 миллиарда 300 миллионов рублей, и за годы войны 1904 1905 годов государственный долг Российской империи возрос примерно на ту же сумму с 6,6 миллиарда до 8,7 миллиарда. Отметим, что около половины прироста составил долг внешний; повторяю, по займам, заключенным с Германией.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Конечно, этот вариант обезопасил систему золотого рубля, потому что удалось не прибегать к излишней эмиссии бумажных денег, которая могла бы поставить под угрозу сам размен. Однако же, займовый способ погашения военных расходов, он тоже, разумеется, не идеален, потому что займы заключались в экстренном порядке на совсем не выгодных для России условиях. И в результате, если чистая выручка казны за вычетом комиссионным посредникам составила примерно 2 миллиарда рублей, то в конечном итоге России предстояло выплатить вдвое больше почти 4 миллиарда рублей.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Подводя финансовые итоги несчастной для России войны, бухгалтер государственного казначейства и один из близких сотрудников министра финансов Г.Д. Дементьев подчеркивал, что долги эти на много лет обременили бюджет государства, а платежи по ним могут захватить несколько поколений, которые фактически расплачиваются по счетам тех, кто вызвал войну.</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Однако, революционные потрясения 1905 года, дестабилизировали финансовое положение. Вплоть до заключения Портсмутского мира с Японией в августе 1905 г. Министерству финансов и Государственному банку удавалось сдерживать эмиссию бумажных денежных знаков, но в последние четыре месяца года процесс приобрел галопирующий характер. Политические забастовки и серия вооруженных восстаний конца 1905 года ввергли страну в пучину экономического хаоса, в котором едва не погибла вся банковско-финансовая система империи. Дело дошло до того, что в октябре 1905 г. в результате митингов служащих на время была парализована деятельность самого Государственного банка.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Государственный банк оказался в сложнейшем положении: чтобы обезопасить золотой рубль, следовало сократить количество бумажных денежных знаков в обращении, но сделать это было невозможно</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из-за все возраставших требований о содействии со стороны банковских и торгово-промышленных кругов.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Страна столкнулась с кризисом наличности, когда резко не хватало в условиях забастовок денег для расплаты по текущим обязательствам. Руководство банка, разумеется, понимало, что из этой ситуации надо искать выход.</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За последние три месяца 1905 г. акционерные коммерческие банки в связи с отливом пассивов потеряли около 30 млн. руб., которые были возмещены им Государственным банком, опасавшимся возникновения цепной реакции банкротств. Чрезвычайная помощь со стороны Госбанка, отмечал управляющий банком С.И.Тимашев, была для них (частных банков Ю.П.) безусловно, необходимой, иначе они могли оказаться не в состоянии оплачивать свои обязательства, а следом могла рухнуть и их</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торгово-промышленная клиентура. Даже повышение официальной учетной ставки с 6 до 8% не могло остановить продолжавшихся требований, так как деньги нужны были во что бы то ни стало.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декабре 1905 г. в Москве было создано объединение частных и Государственного банков для поддержки пострадавших от революции предпринимателей, причем Госбанк гарантировал затраты</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консорциума на эти цели в пределах 50 млн. руб. В общем-то, это был очень важный шаг, который обеспечил нормальное функционирование банковской системы в этих экстремальных условиях. Самое главное, что был сделано, это было внесено успокоение в деловые круги, то есть Государственный банк стоит на страже интересов всей экономики и обеспечивает нормальное ее функционирование.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Тем не менее, уже в декабре 1905 г. возникла напряженность с золотым обеспечением кредитных билетов, поскольку золотой запас Госбанка отставал в росте от эмиссии денежных знаков, а затем стал даже</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сокращаться. С октября по декабрь 1905 г. (начало вооруженного выступления в Москве) он уменьшился с 1318,8 до 1076 млн. руб. и, таким образом, приблизился к той грани, за которой юридически терялось эмиссионное право Госбанка на выпуск обеспеченных золотом банкнот (напомню, банк имел право выпускать не покрытые золотом банкноты на сумму не более 300 млн. руб.).</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Поэтому ситуация опять-таки была критической.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Еще одной причиной ее стал усиленный отлив капиталов из России за границу. Это тоже как бы ситуация, вызывающая весьма определенные аллюзии с современной эпохой. За один ноябрь 1905 г. иностранной валюты в эти целях было продано на 240 млн. руб. Поэтому с декабря 1905 г. были введены ограничения: чтобы купить иностранную валюту в Государственном банке, необходимо было предъявить фактуры, удостоверяющие, эти продажи являются действительно потребностью импорта, а не просто вывозом капитала.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 xml:space="preserve">Не менее серьезной опасностью был отлив золота из сберегательных учреждений в виде выплаты по вкладам населения. За тот же ноябрь 1905 г. из государственных сберегательных касс, состоявших под управлением Государственного банка, было изъято золотой монеты на 148 млн. руб. Как вспоминал министр финансов Коковцев, который опубликовал свои мемуары уже в эмиграции, кассы стали выдерживать настоящую осаду на их средства, и каждый день стал давать небывалую дотоле картину предъявление требований о выплате вкладов золотом.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А население стало требовать выдачи не бумажными деньгами, а золотой монетой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что означал, что золотой запас истощался. Это было не случайно.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определенной мере здесь играл свою роль фактор леворадикальных партий. 2 декабря 1905 г. был опубликован Финансовый манифест ЦК РСДРП и Петербургского совета рабочих депутатов, который возглавлял</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Л.Д. Троцкий. Собственно, этот манифест был рассчитан на создание ситуации чем хуже для правительства, тем лучше для революции; он был нацелен на государственное банкротство страны. В воззвании говорилось, что золотой запас Государственного банка ничтожен Он разлетится в прах, если при всех сделках будут требовать размена на золотую монету. Рабочим предлагалось, в частности, требовать при всех сделках, при выдаче заработной платы и жалованья уплаты золотом.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Естественно, такой удар было трудно выдержать, и в результате на тот момент середину декабря 1905 года банк уже фактически изнемог и не мог удовлетворять больше требований на размен. Вопрос 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прекращении размена бумажных денег на золото в связи с истощением золотого запаса обсуждался в Комитете финансов. Официальное прекращение размена объявлено не было, но фактически соотношение между золотым запасом и выпущенными кредитными билетами опустилось ниже предела, допускаемого законом 1897 г. об эмиссионном праве Государственного банка.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 xml:space="preserve">В реальности на тот момент золотой размен перестал существовать. Особым циркуляром Государственного банка было предложено разъяснять вкладчикам, что банк банков не может удовлетворить полностью требования на золото, вызываемые агитацией крайних партий.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Руководству Министерства финансов и Государственного банка пришлось пойти на беспрецедентную меру: императорским указом от 16 декабря 1905 г. министру финансов было предоставлено право выпустить кредитных билетов на 150 млн. руб. без золотого покрытия, поскольку</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эмиссионное право Госбанка оказалось уже исчерпано. Это был отчаянный шаг. Об указе не было официально объявлено, его держали в тайне, пока два года спустя, когда финансовое положение страны стабилизировалось, подлинные документы не были собственноручно уничтожены Николаем II.</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те критические дни ситуацию спас французский заем в 100 миллионов</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рублей, который предоставила России ее партнерша по Антанте. Эти сто миллионов позволили перевести дух, а окончательно, в общем-то, Россия сумела выйти из положения весной 1906 года, когда был заключен</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рекордный для Российской империи внешний заем на сумму 2 миллиарда 250 миллионов франков, или в пересчете на рубли примерно 850 миллионов рублей. Это был громадный заем, который позволил, что</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называется, залатать прорехи в бюджете и обезопасить рубль. К успеху дело привел В.Н. Коковцов, ведший переговоры в Париже и удостоившийся по возвращении личной благодарности императора, заявившего при встрече: «Вы оказали огромную услугу России и мне». Угроза государственного банкротства отдалилась, но не исчезла окончательно. Свою записку о денежном обращении в период войны и внутренне смуты, составленную в феврале 1907 г., председатель правления Государственного банка С.И.Тимашев закончил многозначительной фразой: «От умиротворения страны зависит и судьба валюты».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После революции 1905 года и реализации займа во Франции Государственному банку наконец-то удалось залатать прорехи и как бы стабилизировать систему денежного обращения.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Новые деньги образца 1909 года, которые были выпущены в обращение; несколько отличались от прежних виттевских денег. Здесь сыграл свою весьма значительную роль министр финансов в кабинете Витте, Иван Павлович Шипов, известный тем, что он стал во время Мировой войны</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управляющим Государственным банком и оставался на этом посту вплоть до декабря 1917 года, когда Государственный банк был захвачен большевиками.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Российская империя в те времена сумела поправить свой золотой запас, и тогдашнее руководство банка по случаю его 50-летия, отмечаемого в 1910 году, подчеркивало буквально следующее: «В какой мере огромны запасы золота в банке, видно из того, что для их перевозки потребовалось бы 1486 подвод, считая по 50 пудов на каждую, причем обоз с золотом занял бы около 9 верст; для перевозки по железной дороге потребовалось бы 100 вагонов, считая по 750 пудов в каждом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Действительно, такого запаса не имел ни один из центральных банков тогдашней Европы.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За 1906- 1908 годы ситуация резко изменилась: за 4 года золотой запас вырос на 300 миллионов рублей. Золотая монета, напротив, снизилась с 837,8 до 561,1, поскольку в ней уже не было необходимости у населения, оно стало доверять вновь Госбанку, и золото в виде монеты стало</w:t>
      </w:r>
      <w:r w:rsidR="00DD7253" w:rsidRPr="00BB273C">
        <w:rPr>
          <w:rFonts w:ascii="Times New Roman" w:hAnsi="Times New Roman" w:cs="Times New Roman"/>
          <w:sz w:val="28"/>
          <w:szCs w:val="28"/>
        </w:rPr>
        <w:t xml:space="preserve"> </w:t>
      </w:r>
      <w:r w:rsidRPr="00BB273C">
        <w:rPr>
          <w:rFonts w:ascii="Times New Roman" w:hAnsi="Times New Roman" w:cs="Times New Roman"/>
          <w:sz w:val="28"/>
          <w:szCs w:val="28"/>
        </w:rPr>
        <w:t>возвращаться в кассы. Кредитные билеты тоже несколько сократились, поскольку за годы революции было выпущено их слишком много, и руководство Государственного банка заботилось о стабильности денежной системы.</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Если говорить о дальнейшем периоде, включая предвоенные годы, до 1914 года золотой запас Госбанка рос стремительно, и к 1914 году он превысил полтора миллиарда рублей. Причем надо учесть, что это внутреннее золото, золото в России было еще более 150 миллионов рублей в виде золотой монеты, которые были переданы иностранным партнерам Государственного банка, банкирам, прежде всего, французским, из этих средств выплачивались процент по российским займам, и физически это золото находилось не в России, оно было в Европе. Но, даже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внутреннее золото выросло весьма значительно. Причем кредитные билеты тоже, весьма выросли с 1154 миллионов до почти 1664 миллиардов рублей. Но при этом золотое покрытие рубля было довольно жестким: как вы видите, оно временами даже превышало 100 процентов и, во всяком случае, держалось на уровне 90 процентов. Российская система была одной из самых жестких систем в Европе, поскольку ни одного другого европейского банка в то время не было столь высокого покрытия.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Золотой запас в процентах к банкнотам в обращении в России превышал 100%, в то время как в банке Франции и в Райхбанке в Берлине он был на уровне половины выпущенных банкнот. На общем фоне выделяется банк Англии (125,8%), но у него была особая ситуация, поскольку по закону 1844 года он имел право эмитировать ограниченное количество банкнот, поэтому они были сверхобеспечены золотом, а в Англии действовала в это время уже система клиринговых расчетов, которая и покрывала недостаток наличных денег.</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Разумеется, эта жесткая российская система наряду с тем, что создавала твердые позиции рублю (рубль в то время был одной из самых твердых мировых валют по золотому паритету и его курс держался практически неизменным по отношению к остальным мировым валютам), тем не менее, эта денежная система была недостаточно эластичной. К ней высказывались свои претензии, что, прежде всего, объем эмиссии кредитных билетов зависел от золотого запаса и был жестко детерминирован, поэтому в стране не хватало наличных денег, а Государственный банк не шел на значительное расширение эмиссии бумажных денег, из-за того что опасался понизить уровень золотого обеспечения.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 1 января 1914 г. баланс Государственного банка составлял 3 040 503 тыс. рублей. Золото в России и за границей оценивалось в 1 695 234 тыс. рублей; объемы главной активной операции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учетно-ссудной достигали 1 071 987 тыс. рублей. Кредитные билеты, находившиеся в обращении, составляли в сумме 1 664 652 тыс. рублей. Другими важнейшими счетами пассива были средства казны в 951 216 тыс. руб., а также вклады и текущие счета 263 110 тыс. рублей.</w:t>
      </w:r>
      <w:r w:rsidR="003316A2" w:rsidRPr="00BB273C">
        <w:rPr>
          <w:rFonts w:ascii="Times New Roman" w:hAnsi="Times New Roman" w:cs="Times New Roman"/>
          <w:sz w:val="28"/>
          <w:szCs w:val="28"/>
        </w:rPr>
        <w:t xml:space="preserve">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итоге, России, до Первой мировой войны, удалось сберечь золотой стандарт, и это было безусловной заслугой руководства тогдашнего Министерства финансов и Государственного банка. Однако золотой стандарт это очень хрупкая вещь, зависящая от серьезных политических осложнений. Несмотря на все усилия ведущих стран Европы, с началом Первой мировой войны, во всех воюющих странах, золотой стандарт был отменен. Собственно, 1914 год это конец мировой системы золотого стандарта, и здесь, к сожалению, усилия российского руководства уже не могли принести успех.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Во время Первой мировой войны деятельность Госбанка в основном была направлена на ее финансирование за счет выпуска кредитных билетов. Большая часть активов Госбанка к октябрю 1917 г. состояла из обязательств казначейства и ссуд под процентные бумаги.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Золотой запас банка уменьшился с 1604 млн. руб. (16 июля 1914 г.) до 1101 млн. руб. (8 октября 1917 г.), сократился заграничный золотой фонд. Переход России с начала войны на бумажноденежное обращение привел к наводнению страны огромным количеством неразменных на золото денег, в результате чего значительно возрос прилив вкладов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коммерческие банки. С конца 1915 до начала 1917 г. коммерческие банки постепенно погасили свою задолженность Госбанку и даже ссудили казне за время войны более 2 млн. руб.</w:t>
      </w:r>
    </w:p>
    <w:p w:rsidR="00334980" w:rsidRPr="00BB273C" w:rsidRDefault="00334980"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b/>
          <w:bCs/>
          <w:sz w:val="28"/>
          <w:szCs w:val="28"/>
        </w:rPr>
        <w:t>Деятельность Государственного банка в период 1917 - 1990 гг.</w:t>
      </w:r>
    </w:p>
    <w:p w:rsidR="00DD7253" w:rsidRPr="00BB273C" w:rsidRDefault="001A182D" w:rsidP="003316A2">
      <w:pPr>
        <w:spacing w:after="0" w:line="360" w:lineRule="auto"/>
        <w:ind w:firstLine="709"/>
        <w:jc w:val="both"/>
        <w:rPr>
          <w:rFonts w:ascii="Times New Roman" w:hAnsi="Times New Roman" w:cs="Times New Roman"/>
          <w:color w:val="FFFFFF"/>
          <w:sz w:val="28"/>
          <w:szCs w:val="28"/>
        </w:rPr>
      </w:pPr>
      <w:r w:rsidRPr="00BB273C">
        <w:rPr>
          <w:rFonts w:ascii="Times New Roman" w:hAnsi="Times New Roman" w:cs="Times New Roman"/>
          <w:color w:val="FFFFFF"/>
          <w:sz w:val="28"/>
          <w:szCs w:val="28"/>
        </w:rPr>
        <w:t>деньги государственный банк россия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После октябрьских событий 1917 г.</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банковская система, подверглась существенным преобразованиям: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согласно подписанному В.И. Лениным декрету «О национализации 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от 27 декабря 1917 г. Государственный банк был преобразован в кредитное учреждение новой власти. В стране была введена государственная монополия банковского дела.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Акционерные коммерческие банки (сумма основного капитала (отечественного происхождения) коммерческих банков за 17 лет, предшествующих 1917 году, увеличилась в 2,6 раза, а участие иностранного капитала более чем в 21 раз.</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Доля иностранного капитала на 1 января 1917 года занимала 35%),</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подлежали национализации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были слиты с Государственным банком, который месяц спустя стал называться Единым Народным банком Российской Республики.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Содержание и направленность преобразований определялись идеологией классовой борьбы и экономической теорией социализма, одним из них был постулат о неизбежности отмирания товарно-денежных отношений при переходе к социализму. В то же время предполагалось, что сохранит свое значение принцип распределения по труду. Поэтому было сформулировано требование наладить в переходный к безденежным отношениям период строжайший учет</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контроль за мерой труда и потребления.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Страна получила своеобразный «единый» банк, который основное внимание должен был уделять организационным вопросам, таким как принятие на баланс активов и пассивов национализированных банков. Что касается выполнения сугубо банковских операций, то этот банк не успел развернуть свою деятельность в данном направлении. Высокая и усиливавшаяся с каждым днем инфляция подрывала товарно-денежные отношения, провоцировала их свертывание в государственном секторе народного хозяйства, что вело к резкому сужению сферы кредитования и расчетов. Ошибочное толкование «бегства от денег », характерного для периода гиперинфляции, как отказ от товарно-денежных отношений как таковых стало теоретической основой введения политики военного коммунизма. В период проведения этой политики Единый народный банк российской республики фактически прекратил свои операции. Декретом СНК от 19 января 1920 г. Единый народный банк российской республики был ликвидирован.</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 1921 г. действовал Государственный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 СССР, сначала России, а потом уже Госбанк СССР, и, конечно, он просуществовал до 1990-х годов, до момента, когда в стране начались глубокие, глобальные перемены, которые привели к исчезновению Советского государства и рождению новой банковской системы.</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 1987 г. банковская система страны включала три банка - монополиста, каковыми являлись:</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Госбанк СССР;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Всесоюзный банк финансирования капитальных вложений Стройбанк;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Банк для внешней торговли Внешторгбанк.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стране существовала также система государственных трудовых сберегательных</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касс. К началу 1986 г. в системе Госбанка было 185 контор и 4 274 отделения, подчиненных ему. Понятно, что Госбанк одновременно являлся и эмиссионным центром, выполнял функции кредитования народного хозяйства, осуществлял кассовое и расчетное обслуживание, то есть все функции были возложены на Государственный банк.</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ходе гражданской войны, обнаружилась несостоятельность политики военного коммунизма, и в начале 1921 г. было объявлено о переходе к новой экономической политике (нэпу), включая замену продразверстки продналогом, после внесения, которого крестьянин мог свободно распоряжаться своей продукцией. Практически это означало курс на восстановление товарно-денежных отношений, создание рынка, укрепление рубля и, соответственно, воссоздания банковской системы. Одним из первых практических шагов реализации новой экономической политики был декрет об учреждении Государственного банка РСФСР, который начал свои операции с 16 ноября 1921 г. С его учреждением был заложен фундамент восстановления денежного хозяйства. Национализированная промышленность, состоявшая до этого времени на бюджетном снабжении государства, перешла на самостоятельное существование, на хозяйственный расчет. Новая экономическая политика допустила существование свободного рынка, а также предоставила право аренды национализированных предприятий частным лицам. Всеми этими мероприятиями была подготовлена основа для развития кредитных отношений.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Успешное проведение денежной реформы 1922 - 1924 гг., выпуск в обращение устойчивых банкнот обеспечили условия для значительного расширения как активных, так и пассивных операций Государственного банка. Увеличению пассивов особенно способствовал декрет Совета Народных Комиссаров (СНК) от 30 марта 1922 г. о хранении средств государственных организаций на текущих счетах Государственного банка. Затем Постановлением СНК о кассовых операциях государственных учреждений и предприятий было уточнено, что хранение денег в Государственном банке предписывалось только бюджетным учреждениям. Всем другим предприятиям, состоящим на хозрасчете, предоставлялось право держать свои средства в любом кредитном учреждении.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течение первого года существования Государственного банка по инициативе группы бывших банковских работников в Ростове-на-Дону был создан Юго-Восточный коммерческий банк. Этот первый в Советской России коммерческий банк был организован на 50 % за счет частного капитала, а остальные 50 % его капитала были внесены Государственным банком.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конце 1922 г. образовалось еще несколько 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Так, в ноябре 1922 г. был создан Российский торгово-промышленный банк, занявший в конце 1923 г. По своим оборотам второе (после Государственного банка) место в системе кредитных учреждений Советской России. 12 декабря 1922 г. в Москве начал проводить свои операции Российский коммерческий банк, учрежденный «для содействия промышленности и торговле РСФСР и союзных с ней республик и для развития коммерческих оборотов их за границей».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1927 г. руководство существенно расширившейся кредитной системой и контроль за деятельностью банков и других кредитных учреждений было возложено на Госбанк СССР. В 1928 г. Госбанк становится монополистом в краткосрочном кредитовании: его доля в общей сумме краткосрочных кредитов составляла более 65 %. К 1930 г. Госбанку принадлежала ведущая роль в кредитной системе.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Дальнейшее усиление позиций Госбанка произошло в ходе проведения кредитной реформы 1930 г., которая обеспечила достижение двух целей: установление принципа демократического централизма в работе банков и концентрацию кредитного, расчетного и кассового обслуживания народного хозяйства в одном общенациональном банке.</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1930 г. Госбанку были переданы краткосрочные операции кооперативных банков, преобразованных в банки долгосрочных вложений. На базе Центрального сельскохозяйственного банка СССР был организован Всесоюзный сельскохозяйственный кооперативно-колхозный 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дальнейшем все операции по кредитованию сельского хозяйства перешли к Госбанку СССР. На основе сельскохозяйственных кредитных товариществ были созданы отделения Госбанка практически во всех районах страны. Таким образом, в 1930 - 1932 гг. Госбанк, оставаясь эмиссионным центром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агентом правительства, приобрел статус института краткосрочного кредитования, расчетного и кассового центра страны. С мая 1932 г. финансирование и кредитование капитальных затрат стало осуществляться четырьмя всесоюзными банками долгосрочных вложений:</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Всекобанком, Промбанком, Сельхозбанком и Цекобанком.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1950-е гг. в кредитную систему страны был внесен ряд изменений, суть которых сводилась к усилению ее централизации и расширении контрольных функций банков. Сельхозбанк, Цекобанк и местные коммунальные банки были ликвидированы, а их функции распределились между Госбанком и Промстройбанком, который впоследствии был переименован во Всесоюзный банк финансирования капитальных вложений (Стройбанк СССР). В 1960-е, 1970-е и до конца 1980-х гг. роль и функции Госбанка не пересматривались, кредитная система СССР практически не менялась. Она представляла собой сеть государственных кредитных учреждений, действовавших по принципу функциональной специализации, осуществлявших организацию и планирование кредита и денежного обращения, безналичные расчеты и кредитные отношения.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Госбанк СССР являлся одновременно эмиссионным центром страны, центром краткосрочного кредитования, институтом кассового и расчетного обслуживания предприятий и организаций. Монопольное положение в кредитной системе и полная подчиненность правительству способствовали превращению Госбанка в орган государственного управления и контроля.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Накануне рыночных реформ на счетах Госбанка автоматически аккумулировались все свободные денежные средства, которые затем централизованно распределялись в соответствии с утвержденными кредитными планами. Роль кредитных учреждений на местах</w:t>
      </w:r>
      <w:r w:rsidR="00CD278D" w:rsidRPr="00BB273C">
        <w:rPr>
          <w:rFonts w:ascii="Times New Roman" w:hAnsi="Times New Roman" w:cs="Times New Roman"/>
          <w:sz w:val="28"/>
          <w:szCs w:val="28"/>
        </w:rPr>
        <w:t xml:space="preserve"> </w:t>
      </w:r>
      <w:r w:rsidRPr="00BB273C">
        <w:rPr>
          <w:rFonts w:ascii="Times New Roman" w:hAnsi="Times New Roman" w:cs="Times New Roman"/>
          <w:sz w:val="28"/>
          <w:szCs w:val="28"/>
        </w:rPr>
        <w:t>сводилась, по сути, к распределению кредитов между конкретными заемщиками на цели, предусмотренные планом. Кредитные учреждения руководствовались в своей деятельности утвержденными Правлением Госбанка инструкциями и несли ответственность главным образом перед вышестоящими конторами Госбанка, а не перед клиентами. Госбанк СССР во всем мире считался одним из крупнейших и авторитетных кредитных учреждений, а его универсальность состояла в том, что, выполняя функции присущие государственным и коммерческим банкам, он был эмиссионным и валютным центром страны, проводил активную политику по защите ее валютных интересов. Понятно, что такая историческая традиция не могла исчезнуть в одночасье даже тогда, когда Россия решила приступить к рыночным реформам.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ходе реорганизации была предпринята попытка создать двухуровневую банковскую систему. Ее верхний уровень должен был составлять центральный банк, созданный на основе Госбанка СССР, а нижний - специализированные банки. Госбанк СССР, оставаясь эмиссионным институтом, был призван координировать деятельность специализированных банков и проводить единую денежно-кредитную политику государства. Но реально роль Госбанка в этот период резко снизилась, он лишился своих основных клиентов, его прежние контрольные функции частично перешли к специализированным банкам, частично были резко ограничены. Эффективных рычагов воздействия на специализированные банки он не получил. Система централизованного кредитного и кассового планирования была разрушена, а к полноценному использованию инструментов денежно-кредитного регулирования для воздействия на объем и структуру денежной массы Госбанк оказался не готов.</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Политические и экономические процессы, которые произошли в России, развивали при этом многочисленные направления, в том числе нужно было менять и банковский сектор. 17 июля 1987 года Центральным комитетом партии Советского Союза и Советом Министров было принято постановление, где говорилось, что банковская система стала крайне неповоротливой, кредитные рычаги и стимулы фактически перестали выполнять функции инструмента управления расширенным воспроизводством; широкие масштабы приобрела порочная практика</w:t>
      </w:r>
      <w:r w:rsidR="00CD278D" w:rsidRPr="00BB273C">
        <w:rPr>
          <w:rFonts w:ascii="Times New Roman" w:hAnsi="Times New Roman" w:cs="Times New Roman"/>
          <w:sz w:val="28"/>
          <w:szCs w:val="28"/>
        </w:rPr>
        <w:t xml:space="preserve"> </w:t>
      </w:r>
      <w:r w:rsidRPr="00BB273C">
        <w:rPr>
          <w:rFonts w:ascii="Times New Roman" w:hAnsi="Times New Roman" w:cs="Times New Roman"/>
          <w:sz w:val="28"/>
          <w:szCs w:val="28"/>
        </w:rPr>
        <w:t>предоставления кредитов без должного экономического обоснования</w:t>
      </w:r>
      <w:r w:rsidR="00CD278D" w:rsidRPr="00BB273C">
        <w:rPr>
          <w:rFonts w:ascii="Times New Roman" w:hAnsi="Times New Roman" w:cs="Times New Roman"/>
          <w:sz w:val="28"/>
          <w:szCs w:val="28"/>
        </w:rPr>
        <w:t>.</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Данным Постановлением фактически устанавливалась двухуровневая банковская система в виде Центрального эмиссионного банка и ряда государственных специализированных 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банковскую систему вошли Госбанк СССР, банк внешнеэкономической деятельности Внешэкономбанк, Промышленно-строительный банк Промстройбанк, Агропромышленный банк Агропромбанк, банк жилищно-коммунального хозяйства и социального развития СССР Жилсоцбанк и банк трудовых сбережений и кредитования населения Сберегательный банк СССР.</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 вполне понятным причинам роль главного банка, конечно же, стал играть Госбанк СССР. В 1988 году был утвержден Устав и определены полномочия банка как Центрального банка страны. Но ни о какой независимости Государственного банка СССР, конечно, говорить не приходилось. Выделим, один такой момент: в Конституции СССР даже не было упоминания о банке, главном эмиссионном центре. В настоящее время в Конституции есть прямые записи о Центральном банке Российской Федерации.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 СССР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начался медленный распад страны, расползание в разные стороны, что называется, и, естественно, Россия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была одним из государств, которой тоже хотелось быть независимой, в том числе и в банковской сфере. 13 июля 1990 года Борисом Николаевичем Ельциным был подписан указ «О Государственном банке РСФСР и банках на территории республики». Это было началом становления системы российских банков. И первым исполняющим обязанности Председателя был назначен Георгий Гаврилович Матюхин.</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Принятию этого постановления предшествовало написание письма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от 13 июля 1990 года « О системе банков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Была направлена записка Борису Николаевичу, где сообщалось, что союзными властями</w:t>
      </w:r>
      <w:r w:rsidR="00CD278D" w:rsidRPr="00BB273C">
        <w:rPr>
          <w:rFonts w:ascii="Times New Roman" w:hAnsi="Times New Roman" w:cs="Times New Roman"/>
          <w:sz w:val="28"/>
          <w:szCs w:val="28"/>
        </w:rPr>
        <w:t xml:space="preserve"> </w:t>
      </w:r>
      <w:r w:rsidRPr="00BB273C">
        <w:rPr>
          <w:rFonts w:ascii="Times New Roman" w:hAnsi="Times New Roman" w:cs="Times New Roman"/>
          <w:sz w:val="28"/>
          <w:szCs w:val="28"/>
        </w:rPr>
        <w:t>делается попытка лишить РСФСР собственной кредитно-денежной системы. Государственные специализированные банки на союзном уровне в экстренном порядке реорганизуются в государственно-коммерческие на паевой основе. Приняты положения об учреждении межбанковских расчетов, что лишает республику собственных ресурсов для кредитования, так называемый, "парад суверенитетов". Такая бумага родилась, и на основании ее было принято Постановление от 13 июля 1990 года.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Поименно можно назвать людей, которые подписали эту записку: председатель комиссии Верховного совета РСФСР по бюджету Воронин, члены комиссии Рассказов, Скрипченко, министр финансов Федоров, председатель Российского республиканского госбанка Тарасов, начальники управлений Госбанка СССР Курилов (Воронеж), Бездольный (Калинин), Шор (Москва), Рудько-Силиванов (Приморье), Тыгилова (Рязань), Сорвин (Свердловск), начальники вычислительных центров Широкий (Волгоград), Фарафонов (Брянск), Шарифьянов (Башкирия), Белоусов (Пермь). Среди подписавших были и представители коммерческих 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это Агапов (Кредобанк), Джа</w:t>
      </w:r>
      <w:r w:rsidR="00CD278D" w:rsidRPr="00BB273C">
        <w:rPr>
          <w:rFonts w:ascii="Times New Roman" w:hAnsi="Times New Roman" w:cs="Times New Roman"/>
          <w:sz w:val="28"/>
          <w:szCs w:val="28"/>
        </w:rPr>
        <w:t>вашвили (Форумбанк), Кагирова (</w:t>
      </w:r>
      <w:r w:rsidRPr="00BB273C">
        <w:rPr>
          <w:rFonts w:ascii="Times New Roman" w:hAnsi="Times New Roman" w:cs="Times New Roman"/>
          <w:sz w:val="28"/>
          <w:szCs w:val="28"/>
        </w:rPr>
        <w:t>Восток</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Уфа) и Гаева (Кумбанк).</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Многих из этих коммерческих 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не осталось, но подписавшие записку в тех, же должностях даже работают в банке России.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Конечно, этот шаг оценивается по-разному. С одной стороны, говорили, что это разваливается Госбанк СССР, с другой стороны, произошло фактически в истории: такая бумага послужила шагом к тому, чтобы был создан Центральный банк России.</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13 июля 1990 года был создан Госбанк РСФСР, а уже 16 августа того же года было подписано постановление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 мерах по выполнению постановления от 13 июля»</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Понятно, что параллельно продолжал существовать Государственный банк. Существование этих двух банков, естественно, всегда приводило к противоречиям, к различным непониманиям. Госбанк СССР, поскольку страна еще существовала, естественно, претендовал на роль первого банка, а Россия и иные государства, которые потом образовались (наши союзные республики), тоже всеми силами стремились к тому, чтобы начать работать самостоятельно.</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Понятно, что была сложная ситуация и у Госбанка СССР.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Виктор Владимирович Геращенко пишет на имя президента Горбачева письмо 8 апреля 1991 года: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«Денежная система, которая была одним из главных факторов обеспечения развития народного хозяйства и единства экономического пространства страны, находится на грани дезинтеграции и развала. Госбанк СССР считал бы необходимым в срочном порядке рассмотреть критическое положение в банковской системе, приведшее к срыву проведения единой политики в области денежного обращения и кредита».</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Такие записки были написаны в Верховный Совет, неоднократно подавались премьер-министру,</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но, никакого результата не было.</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Крайне плохо поступают средства в общесоюзные бюджеты. В результате под угрозой находится выполнение общесоюзных программ, принятых на 1991 год. Для предупреждения негативных последствий Госбанк СССР вынужден увеличить кредитную эмиссию. Распад банковской системы по мере принятия в республиках законодательства о банках не только не приостанавливается, но и ускоряется. Произошёл</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развал этой системы. Не смогли сформировать союзного органа. Центральный совет не был создан, ни разу не собирался, и нет ни одного протокола о его существовании. В итоге август 1991 года и последующие события привели к тому, что банковская система СССР прекратила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свое существование, вместе с государством.</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Вся борьба, как обычно, велась в правовой плоскости, и это понятно. Естественно, вся переписка, всё регулировалось законами России, СССР и так далее. Эту борьбу выиграли республики.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1991 г., например, документооборот Госбанка СССР совсем был прекращен.</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За год Правление провело только 60 заседаний, причем рассматривались в основном вопросы хозяйственной направленности, политические вопросы не обсуждались. Постановлением Верховного Совета РСФСР Госбанк СССР был переименован, в России уже был Центральный банк РСФСР, который после распада Советского Союза был переименован и назывался уже Центральный Банк Российской Федерации, как он и сейчас именуется и как пишется во всех документах.</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Первый приказ подписал Г.Г. Матюхин в соответствии с новым наименованием Российского государства Центральный Банк Российской Федерации. 2 декабря 1990 года был подписан закон «О Центральном банке РСФСР»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(банке 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 Госбанку СССР была создана ликвидационная комиссия, она очень долго работала, но итогового документа так и не составила; подразделения продолжали работать еще в 1992 году, было выпущено шесть приказов, проведено двенадцать заседаний Правления Госбанка СССР.</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 сегодняшний день независимый Банк России располагает правовым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инструментарием, позволяющим обеспечить исполнение своей главной функции.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Сейчас банк России это большая структура: по данным 2008 года в нем трудится более 70 тысяч человек, его структуру образуют 1 038 подразделений, то есть центральный аппарат, территориальные учреждения, расчетная сеть, отделения ОПЕРУ Московского ГТУ, Первое ОПЕРУ, Межрегиональный центр безопасности, Центральное хранилище,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123 полевых учреждения, 4 информационно-вычислительных подразделения. </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Роль банка России сказалась в период кризиса и борьбы с явлениями этого кризиса. Банк справился с этой задачей. Инструментарий, те законы, которые были приняты в этот период, утверждались моментально, в тесном контакте с Государственной Думой, с Правительством, с Президентом; некоторые законы принимались просто в один день, если они требовались для стабилизации банковской системы.</w:t>
      </w:r>
    </w:p>
    <w:p w:rsidR="001A182D"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На сегодняшний день Центральный банк Российской Федерации, пройдя этот короткий путь, тревожный путь от противостояния с Госбанком, уже обеспечивает в</w:t>
      </w:r>
      <w:r w:rsidR="001A182D" w:rsidRPr="00BB273C">
        <w:rPr>
          <w:rFonts w:ascii="Times New Roman" w:hAnsi="Times New Roman" w:cs="Times New Roman"/>
          <w:sz w:val="28"/>
          <w:szCs w:val="28"/>
        </w:rPr>
        <w:t>се потребности нашего общества.</w:t>
      </w:r>
    </w:p>
    <w:p w:rsidR="00334980" w:rsidRPr="00BB273C" w:rsidRDefault="00CD278D"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sz w:val="28"/>
          <w:szCs w:val="28"/>
        </w:rPr>
        <w:br w:type="page"/>
      </w:r>
      <w:r w:rsidR="00334980" w:rsidRPr="00BB273C">
        <w:rPr>
          <w:rFonts w:ascii="Times New Roman" w:hAnsi="Times New Roman" w:cs="Times New Roman"/>
          <w:b/>
          <w:bCs/>
          <w:sz w:val="28"/>
          <w:szCs w:val="28"/>
        </w:rPr>
        <w:t>Заключение</w:t>
      </w:r>
    </w:p>
    <w:p w:rsidR="00CD278D" w:rsidRPr="00BB273C" w:rsidRDefault="00CD278D" w:rsidP="003316A2">
      <w:pPr>
        <w:spacing w:after="0" w:line="360" w:lineRule="auto"/>
        <w:ind w:firstLine="709"/>
        <w:jc w:val="both"/>
        <w:rPr>
          <w:rFonts w:ascii="Times New Roman" w:hAnsi="Times New Roman" w:cs="Times New Roman"/>
          <w:sz w:val="28"/>
          <w:szCs w:val="28"/>
        </w:rPr>
      </w:pP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Как было показано выше, деятельность Государственного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можно разделить на три этапа: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момента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учреждения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начала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перерастания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 России домонополистического капитализма в империализм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(до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90-х</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годов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XIX века);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 начала 90-х годов до 1917 года;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с </w:t>
      </w:r>
      <w:r w:rsidRPr="00721571">
        <w:rPr>
          <w:rFonts w:ascii="Times New Roman" w:hAnsi="Times New Roman" w:cs="Times New Roman"/>
          <w:sz w:val="28"/>
          <w:szCs w:val="28"/>
        </w:rPr>
        <w:t>20</w:t>
      </w:r>
      <w:r w:rsidR="003316A2" w:rsidRPr="00721571">
        <w:rPr>
          <w:rFonts w:ascii="Times New Roman" w:hAnsi="Times New Roman" w:cs="Times New Roman"/>
          <w:sz w:val="28"/>
          <w:szCs w:val="28"/>
        </w:rPr>
        <w:t xml:space="preserve"> </w:t>
      </w:r>
      <w:r w:rsidRPr="00721571">
        <w:rPr>
          <w:rFonts w:ascii="Times New Roman" w:hAnsi="Times New Roman" w:cs="Times New Roman"/>
          <w:sz w:val="28"/>
          <w:szCs w:val="28"/>
        </w:rPr>
        <w:t>декабря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1991 г. по настоящее время.</w:t>
      </w:r>
    </w:p>
    <w:p w:rsidR="00334980" w:rsidRPr="00BB273C" w:rsidRDefault="00334980" w:rsidP="003316A2">
      <w:pPr>
        <w:spacing w:after="0" w:line="360" w:lineRule="auto"/>
        <w:ind w:firstLine="709"/>
        <w:jc w:val="both"/>
        <w:rPr>
          <w:rFonts w:ascii="Times New Roman" w:hAnsi="Times New Roman" w:cs="Times New Roman"/>
          <w:sz w:val="28"/>
          <w:szCs w:val="28"/>
        </w:rPr>
      </w:pPr>
      <w:r w:rsidRPr="00BB273C">
        <w:rPr>
          <w:rFonts w:ascii="Times New Roman" w:hAnsi="Times New Roman" w:cs="Times New Roman"/>
          <w:sz w:val="28"/>
          <w:szCs w:val="28"/>
        </w:rPr>
        <w:t>Поддержки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стабильности рубля, банковского сектора, борьба банка совместно с государством</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кризисами,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вот, сколько времени понадобилось к тому, чтобы стать по-настоящему банком банков, идея которой в конечном итоге была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реализована.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У России славная история банковской системы, банковского дела и банковской науки, которой можно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гордиться, её необходимо изучать, 150 - летний юбилей Государственного банка России послужит расширению интереса к историческим исследованиям, вовлечению многого забытого исторического наследия в научный, практический оборот. Есть определенные аналогии с тем, что было в истории, с тем, что делается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сейчас. И, видимо, эту линию на изучение, на восстановление своего исторического наследия необходимо продолжать.</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Официальной эмблемой Центробанка стал герб России 1917 года, использовавшийся при Временном правительстве.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xml:space="preserve">В честь своего юбилея Банк России выпустил серию памятных монет, среди которых </w:t>
      </w:r>
      <w:r w:rsidR="003316A2" w:rsidRPr="00BB273C">
        <w:rPr>
          <w:rFonts w:ascii="Times New Roman" w:hAnsi="Times New Roman" w:cs="Times New Roman"/>
          <w:sz w:val="28"/>
          <w:szCs w:val="28"/>
        </w:rPr>
        <w:t>-</w:t>
      </w:r>
      <w:r w:rsidRPr="00BB273C">
        <w:rPr>
          <w:rFonts w:ascii="Times New Roman" w:hAnsi="Times New Roman" w:cs="Times New Roman"/>
          <w:sz w:val="28"/>
          <w:szCs w:val="28"/>
        </w:rPr>
        <w:t xml:space="preserve"> уникальная золотая монета номиналом 50 тысяч рублей и весом 5 кг.</w:t>
      </w:r>
    </w:p>
    <w:p w:rsidR="00334980" w:rsidRPr="00BB273C" w:rsidRDefault="00CD278D" w:rsidP="003316A2">
      <w:pPr>
        <w:spacing w:after="0" w:line="360" w:lineRule="auto"/>
        <w:ind w:firstLine="709"/>
        <w:jc w:val="both"/>
        <w:rPr>
          <w:rFonts w:ascii="Times New Roman" w:hAnsi="Times New Roman" w:cs="Times New Roman"/>
          <w:b/>
          <w:bCs/>
          <w:sz w:val="28"/>
          <w:szCs w:val="28"/>
        </w:rPr>
      </w:pPr>
      <w:r w:rsidRPr="00BB273C">
        <w:rPr>
          <w:rFonts w:ascii="Times New Roman" w:hAnsi="Times New Roman" w:cs="Times New Roman"/>
          <w:sz w:val="28"/>
          <w:szCs w:val="28"/>
        </w:rPr>
        <w:br w:type="page"/>
      </w:r>
      <w:r w:rsidRPr="00BB273C">
        <w:rPr>
          <w:rFonts w:ascii="Times New Roman" w:hAnsi="Times New Roman" w:cs="Times New Roman"/>
          <w:b/>
          <w:bCs/>
          <w:sz w:val="28"/>
          <w:szCs w:val="28"/>
        </w:rPr>
        <w:t>Литература</w:t>
      </w:r>
    </w:p>
    <w:p w:rsidR="00334980" w:rsidRPr="00BB273C" w:rsidRDefault="00334980" w:rsidP="003316A2">
      <w:pPr>
        <w:spacing w:after="0" w:line="360" w:lineRule="auto"/>
        <w:ind w:firstLine="709"/>
        <w:jc w:val="both"/>
        <w:rPr>
          <w:rFonts w:ascii="Times New Roman" w:hAnsi="Times New Roman" w:cs="Times New Roman"/>
          <w:sz w:val="28"/>
          <w:szCs w:val="28"/>
        </w:rPr>
      </w:pP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 Бобович Б. М. “Экономическая история России 1861-1914”, 1964</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2. Боголепов М. И. «Государственный банк и коммерческий кредит», 1914</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3. Брокгауз Ф. А., Ефрон И.А. “Энциклопедический словарь Россия”, 1991</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4.</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Герхард</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фон</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Шульце-Геверниц</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“Очерки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общественного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хозяйства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экономической политики России”, 1899</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5.</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Гиндин И. Ф. “Банки и экономическая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политика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(XIX-начало</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XX в.)”, 1994</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6.</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Лященко П. И. “История народного хозяйства СССР”, 1954</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7.</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Судейкин В. «Государственный банк», 1891</w:t>
      </w:r>
      <w:r w:rsidR="00CD278D" w:rsidRPr="00BB273C">
        <w:rPr>
          <w:rFonts w:ascii="Times New Roman" w:hAnsi="Times New Roman" w:cs="Times New Roman"/>
          <w:sz w:val="28"/>
          <w:szCs w:val="28"/>
        </w:rPr>
        <w:t>.</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8.</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Хромов П. А. “Экономическое развитие России в XIX-XX веках”, 1973</w:t>
      </w:r>
      <w:r w:rsidR="00CD278D" w:rsidRPr="00BB273C">
        <w:rPr>
          <w:rFonts w:ascii="Times New Roman" w:hAnsi="Times New Roman" w:cs="Times New Roman"/>
          <w:sz w:val="28"/>
          <w:szCs w:val="28"/>
        </w:rPr>
        <w:t>.</w:t>
      </w:r>
    </w:p>
    <w:p w:rsidR="00582BE9"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9.</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Центральный банк России “Сборник статистики”, 1915</w:t>
      </w:r>
      <w:r w:rsidR="003316A2" w:rsidRPr="00BB273C">
        <w:rPr>
          <w:rFonts w:ascii="Times New Roman" w:hAnsi="Times New Roman" w:cs="Times New Roman"/>
          <w:sz w:val="28"/>
          <w:szCs w:val="28"/>
        </w:rPr>
        <w:t xml:space="preserve"> </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10.</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Денежное обращение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Материалы арх. фондов</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в 3</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I. Исторические очерки. С древнейших времен до наших дней / [Центр.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 Рос. Федерации ].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ИНТЕРКРИМ-ПРЕСС, 2010. - 455 с. У9( 2 )26 Д 33 СБО.</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11.</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Денежное обращение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Материалы арх. фондов: в 3</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II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Каталог. Ч. 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Денежные знаки регулярных выпусков</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ч. II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Памятные, юбилейные и инвестиционные монеты / [Центр.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Федерации ].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ИНТЕРКРИМ-ПРЕСС, 2010. - 735 с. У9( 2 )26 Д 33 СБО.</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12.</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Денежное обращение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Материалы арх. фондов: в 3</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III. Ч. 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Статистика денежного обращения 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СССР</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1922-1990 гг.</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Ч. II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Денежное обращение 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СССР</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1922-1975 гг.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ИНТЕРКРИМ-ПРЕСС, 2010. - 671 с. У9( 2 )26 Д 33 СБО.</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13.</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История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1860 - 2010</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2</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I</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Государственный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Российской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империи / Центр.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Федерации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РОССПЭН, 2010. - 623 с. У9( 2 )262 ЧЗ.</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14.</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История</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1860 - 2010</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2</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II</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Государственный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СССР</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Центральный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Российской</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Федерации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 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 ) / Центр.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Федерации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РОССПЭН, 2010. - 679 с. У9( 2 )262 ЧЗ.</w:t>
      </w:r>
    </w:p>
    <w:p w:rsidR="00334980" w:rsidRPr="00BB273C" w:rsidRDefault="00582BE9"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 xml:space="preserve">15. </w:t>
      </w:r>
      <w:r w:rsidR="00334980" w:rsidRPr="00BB273C">
        <w:rPr>
          <w:rFonts w:ascii="Times New Roman" w:hAnsi="Times New Roman" w:cs="Times New Roman"/>
          <w:sz w:val="28"/>
          <w:szCs w:val="28"/>
        </w:rPr>
        <w:t>Российские</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ценные бумаги. Каталог собрания Музейно-экспозиционного фонда</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[в 3</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1, [разд.] I</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Государственные</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долговые обязательства XVIII-XX вв.</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[разд.] II</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Российские</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железнодорожные займы / Центр.</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Федерации</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 М.</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[Слово/Slovo], 2010. - 727 с. У9( 2 )264 Р 76 ЧЗ.</w:t>
      </w:r>
    </w:p>
    <w:p w:rsidR="00334980" w:rsidRPr="00BB273C" w:rsidRDefault="00334980"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16</w:t>
      </w:r>
      <w:r w:rsidR="00582BE9"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Российские</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ценные бумаги. Каталог собрания Музейно-экспозиционного фонда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[в 3</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2</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[разд.] III</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Облигации местных органов власти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[разд.] IV</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Ценные бумаги</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банков</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и кредитных организаций. / Центр.</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Pr="00BB273C">
        <w:rPr>
          <w:rFonts w:ascii="Times New Roman" w:hAnsi="Times New Roman" w:cs="Times New Roman"/>
          <w:sz w:val="28"/>
          <w:szCs w:val="28"/>
        </w:rPr>
        <w:t>Федерации</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 М.</w:t>
      </w:r>
      <w:r w:rsidR="00CD278D" w:rsidRPr="00BB273C">
        <w:rPr>
          <w:rFonts w:ascii="Times New Roman" w:hAnsi="Times New Roman" w:cs="Times New Roman"/>
          <w:sz w:val="28"/>
          <w:szCs w:val="28"/>
        </w:rPr>
        <w:t>:</w:t>
      </w:r>
      <w:r w:rsidRPr="00BB273C">
        <w:rPr>
          <w:rFonts w:ascii="Times New Roman" w:hAnsi="Times New Roman" w:cs="Times New Roman"/>
          <w:sz w:val="28"/>
          <w:szCs w:val="28"/>
        </w:rPr>
        <w:t xml:space="preserve"> [Слово/Slovo], 2010. - 727 с. У9( 2 )264 Р 76 ЧЗ.</w:t>
      </w:r>
    </w:p>
    <w:p w:rsidR="00334980" w:rsidRPr="00BB273C" w:rsidRDefault="00582BE9" w:rsidP="00CD278D">
      <w:pPr>
        <w:spacing w:after="0" w:line="360" w:lineRule="auto"/>
        <w:jc w:val="both"/>
        <w:rPr>
          <w:rFonts w:ascii="Times New Roman" w:hAnsi="Times New Roman" w:cs="Times New Roman"/>
          <w:sz w:val="28"/>
          <w:szCs w:val="28"/>
        </w:rPr>
      </w:pPr>
      <w:r w:rsidRPr="00BB273C">
        <w:rPr>
          <w:rFonts w:ascii="Times New Roman" w:hAnsi="Times New Roman" w:cs="Times New Roman"/>
          <w:sz w:val="28"/>
          <w:szCs w:val="28"/>
        </w:rPr>
        <w:t xml:space="preserve">17. </w:t>
      </w:r>
      <w:r w:rsidR="00334980" w:rsidRPr="00BB273C">
        <w:rPr>
          <w:rFonts w:ascii="Times New Roman" w:hAnsi="Times New Roman" w:cs="Times New Roman"/>
          <w:sz w:val="28"/>
          <w:szCs w:val="28"/>
        </w:rPr>
        <w:t>Российские</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ценные бумаги. Каталог собрания Музейно-экспозиционного фонда</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Банка</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России</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[в 3</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Т</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3, [разд.] V</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Акции и облигации торгово-промышленных, транспортных и страховых компаний. / Центр.</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банк</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Рос.</w:t>
      </w:r>
      <w:r w:rsidR="003316A2" w:rsidRPr="00BB273C">
        <w:rPr>
          <w:rFonts w:ascii="Times New Roman" w:hAnsi="Times New Roman" w:cs="Times New Roman"/>
          <w:sz w:val="28"/>
          <w:szCs w:val="28"/>
        </w:rPr>
        <w:t xml:space="preserve"> </w:t>
      </w:r>
      <w:r w:rsidR="00334980" w:rsidRPr="00BB273C">
        <w:rPr>
          <w:rFonts w:ascii="Times New Roman" w:hAnsi="Times New Roman" w:cs="Times New Roman"/>
          <w:sz w:val="28"/>
          <w:szCs w:val="28"/>
        </w:rPr>
        <w:t>Федерации</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 М.</w:t>
      </w:r>
      <w:r w:rsidR="00CD278D" w:rsidRPr="00BB273C">
        <w:rPr>
          <w:rFonts w:ascii="Times New Roman" w:hAnsi="Times New Roman" w:cs="Times New Roman"/>
          <w:sz w:val="28"/>
          <w:szCs w:val="28"/>
        </w:rPr>
        <w:t>:</w:t>
      </w:r>
      <w:r w:rsidR="00334980" w:rsidRPr="00BB273C">
        <w:rPr>
          <w:rFonts w:ascii="Times New Roman" w:hAnsi="Times New Roman" w:cs="Times New Roman"/>
          <w:sz w:val="28"/>
          <w:szCs w:val="28"/>
        </w:rPr>
        <w:t xml:space="preserve"> [Слово/Slovo], 20</w:t>
      </w:r>
      <w:r w:rsidRPr="00BB273C">
        <w:rPr>
          <w:rFonts w:ascii="Times New Roman" w:hAnsi="Times New Roman" w:cs="Times New Roman"/>
          <w:sz w:val="28"/>
          <w:szCs w:val="28"/>
        </w:rPr>
        <w:t>10. - 999 с. У9( 2 )264 Р 76 ЧЗ.</w:t>
      </w:r>
    </w:p>
    <w:p w:rsidR="00CD278D" w:rsidRPr="00BB273C" w:rsidRDefault="00CD278D" w:rsidP="00CD278D">
      <w:pPr>
        <w:spacing w:after="0" w:line="360" w:lineRule="auto"/>
        <w:jc w:val="both"/>
        <w:rPr>
          <w:rFonts w:ascii="Times New Roman" w:hAnsi="Times New Roman" w:cs="Times New Roman"/>
          <w:sz w:val="28"/>
          <w:szCs w:val="28"/>
        </w:rPr>
      </w:pPr>
    </w:p>
    <w:p w:rsidR="00334980" w:rsidRPr="00BB273C" w:rsidRDefault="00334980" w:rsidP="00CD278D">
      <w:pPr>
        <w:spacing w:after="0" w:line="360" w:lineRule="auto"/>
        <w:jc w:val="both"/>
        <w:rPr>
          <w:rFonts w:ascii="Times New Roman" w:hAnsi="Times New Roman" w:cs="Times New Roman"/>
          <w:color w:val="FFFFFF"/>
          <w:sz w:val="28"/>
          <w:szCs w:val="28"/>
        </w:rPr>
      </w:pPr>
      <w:bookmarkStart w:id="0" w:name="_GoBack"/>
      <w:bookmarkEnd w:id="0"/>
    </w:p>
    <w:sectPr w:rsidR="00334980" w:rsidRPr="00BB273C" w:rsidSect="00AB5B8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E7C" w:rsidRDefault="00BE6E7C">
      <w:r>
        <w:separator/>
      </w:r>
    </w:p>
  </w:endnote>
  <w:endnote w:type="continuationSeparator" w:id="0">
    <w:p w:rsidR="00BE6E7C" w:rsidRDefault="00BE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E7C" w:rsidRDefault="00BE6E7C">
      <w:r>
        <w:separator/>
      </w:r>
    </w:p>
  </w:footnote>
  <w:footnote w:type="continuationSeparator" w:id="0">
    <w:p w:rsidR="00BE6E7C" w:rsidRDefault="00BE6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8D" w:rsidRPr="003316A2" w:rsidRDefault="00CD278D" w:rsidP="003316A2">
    <w:pPr>
      <w:pStyle w:val="aa"/>
      <w:spacing w:after="0"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47D7"/>
    <w:multiLevelType w:val="hybridMultilevel"/>
    <w:tmpl w:val="8DC2C1AE"/>
    <w:lvl w:ilvl="0" w:tplc="BEA8C308">
      <w:start w:val="5"/>
      <w:numFmt w:val="decimal"/>
      <w:lvlText w:val="%1"/>
      <w:lvlJc w:val="left"/>
      <w:pPr>
        <w:ind w:left="720" w:hanging="360"/>
      </w:pPr>
      <w:rPr>
        <w:rFonts w:hint="default"/>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FBE2EF3"/>
    <w:multiLevelType w:val="hybridMultilevel"/>
    <w:tmpl w:val="426487F4"/>
    <w:lvl w:ilvl="0" w:tplc="070A432C">
      <w:start w:val="6"/>
      <w:numFmt w:val="decimal"/>
      <w:lvlText w:val="%1"/>
      <w:lvlJc w:val="left"/>
      <w:pPr>
        <w:ind w:left="1920" w:hanging="360"/>
      </w:pPr>
      <w:rPr>
        <w:rFonts w:hint="default"/>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2">
    <w:nsid w:val="1BBD58B5"/>
    <w:multiLevelType w:val="hybridMultilevel"/>
    <w:tmpl w:val="2FAC2506"/>
    <w:lvl w:ilvl="0" w:tplc="BF28E874">
      <w:start w:val="5"/>
      <w:numFmt w:val="decimal"/>
      <w:lvlText w:val="%1"/>
      <w:lvlJc w:val="left"/>
      <w:pPr>
        <w:ind w:left="465" w:hanging="360"/>
      </w:pPr>
      <w:rPr>
        <w:rFonts w:hint="default"/>
        <w:color w:val="FF0000"/>
      </w:r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3">
    <w:nsid w:val="2CF161B6"/>
    <w:multiLevelType w:val="hybridMultilevel"/>
    <w:tmpl w:val="BF2A46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408756F"/>
    <w:multiLevelType w:val="hybridMultilevel"/>
    <w:tmpl w:val="0114A794"/>
    <w:lvl w:ilvl="0" w:tplc="715C752E">
      <w:start w:val="2"/>
      <w:numFmt w:val="decimal"/>
      <w:lvlText w:val="%1."/>
      <w:lvlJc w:val="left"/>
      <w:pPr>
        <w:ind w:left="1920" w:hanging="360"/>
      </w:pPr>
      <w:rPr>
        <w:rFonts w:ascii="Calibri" w:hAnsi="Calibri" w:cs="Calibri" w:hint="default"/>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5">
    <w:nsid w:val="56E5494A"/>
    <w:multiLevelType w:val="hybridMultilevel"/>
    <w:tmpl w:val="A3C2DB42"/>
    <w:lvl w:ilvl="0" w:tplc="A56A5C76">
      <w:start w:val="17"/>
      <w:numFmt w:val="decimal"/>
      <w:lvlText w:val="%1."/>
      <w:lvlJc w:val="left"/>
      <w:pPr>
        <w:ind w:left="1303" w:hanging="375"/>
      </w:pPr>
      <w:rPr>
        <w:rFonts w:hint="default"/>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6">
    <w:nsid w:val="5BBC7877"/>
    <w:multiLevelType w:val="hybridMultilevel"/>
    <w:tmpl w:val="5FE0B35C"/>
    <w:lvl w:ilvl="0" w:tplc="99106ECE">
      <w:start w:val="1"/>
      <w:numFmt w:val="decimal"/>
      <w:lvlText w:val="%1."/>
      <w:lvlJc w:val="left"/>
      <w:pPr>
        <w:ind w:left="1920" w:hanging="360"/>
      </w:pPr>
      <w:rPr>
        <w:rFonts w:ascii="Calibri" w:hAnsi="Calibri" w:cs="Calibri" w:hint="default"/>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7">
    <w:nsid w:val="5E4A108C"/>
    <w:multiLevelType w:val="multilevel"/>
    <w:tmpl w:val="09DCABF4"/>
    <w:lvl w:ilvl="0">
      <w:start w:val="1"/>
      <w:numFmt w:val="decimal"/>
      <w:lvlText w:val="%1."/>
      <w:lvlJc w:val="left"/>
      <w:pPr>
        <w:tabs>
          <w:tab w:val="num" w:pos="928"/>
        </w:tabs>
        <w:ind w:left="928" w:hanging="360"/>
      </w:pPr>
    </w:lvl>
    <w:lvl w:ilvl="1">
      <w:start w:val="1"/>
      <w:numFmt w:val="decimal"/>
      <w:lvlText w:val="%2."/>
      <w:lvlJc w:val="left"/>
      <w:pPr>
        <w:tabs>
          <w:tab w:val="num" w:pos="1648"/>
        </w:tabs>
        <w:ind w:left="1648" w:hanging="360"/>
      </w:pPr>
    </w:lvl>
    <w:lvl w:ilvl="2">
      <w:start w:val="1"/>
      <w:numFmt w:val="decimal"/>
      <w:lvlText w:val="%3."/>
      <w:lvlJc w:val="left"/>
      <w:pPr>
        <w:tabs>
          <w:tab w:val="num" w:pos="2368"/>
        </w:tabs>
        <w:ind w:left="2368" w:hanging="360"/>
      </w:pPr>
    </w:lvl>
    <w:lvl w:ilvl="3">
      <w:start w:val="1"/>
      <w:numFmt w:val="decimal"/>
      <w:lvlText w:val="%4."/>
      <w:lvlJc w:val="left"/>
      <w:pPr>
        <w:tabs>
          <w:tab w:val="num" w:pos="3088"/>
        </w:tabs>
        <w:ind w:left="3088" w:hanging="360"/>
      </w:pPr>
    </w:lvl>
    <w:lvl w:ilvl="4">
      <w:start w:val="1"/>
      <w:numFmt w:val="decimal"/>
      <w:lvlText w:val="%5."/>
      <w:lvlJc w:val="left"/>
      <w:pPr>
        <w:tabs>
          <w:tab w:val="num" w:pos="3808"/>
        </w:tabs>
        <w:ind w:left="3808" w:hanging="360"/>
      </w:pPr>
    </w:lvl>
    <w:lvl w:ilvl="5">
      <w:start w:val="1"/>
      <w:numFmt w:val="decimal"/>
      <w:lvlText w:val="%6."/>
      <w:lvlJc w:val="left"/>
      <w:pPr>
        <w:tabs>
          <w:tab w:val="num" w:pos="4528"/>
        </w:tabs>
        <w:ind w:left="4528" w:hanging="360"/>
      </w:pPr>
    </w:lvl>
    <w:lvl w:ilvl="6">
      <w:start w:val="1"/>
      <w:numFmt w:val="decimal"/>
      <w:lvlText w:val="%7."/>
      <w:lvlJc w:val="left"/>
      <w:pPr>
        <w:tabs>
          <w:tab w:val="num" w:pos="5248"/>
        </w:tabs>
        <w:ind w:left="5248" w:hanging="360"/>
      </w:pPr>
    </w:lvl>
    <w:lvl w:ilvl="7">
      <w:start w:val="1"/>
      <w:numFmt w:val="decimal"/>
      <w:lvlText w:val="%8."/>
      <w:lvlJc w:val="left"/>
      <w:pPr>
        <w:tabs>
          <w:tab w:val="num" w:pos="5968"/>
        </w:tabs>
        <w:ind w:left="5968" w:hanging="360"/>
      </w:pPr>
    </w:lvl>
    <w:lvl w:ilvl="8">
      <w:start w:val="1"/>
      <w:numFmt w:val="decimal"/>
      <w:lvlText w:val="%9."/>
      <w:lvlJc w:val="left"/>
      <w:pPr>
        <w:tabs>
          <w:tab w:val="num" w:pos="6688"/>
        </w:tabs>
        <w:ind w:left="6688" w:hanging="360"/>
      </w:pPr>
    </w:lvl>
  </w:abstractNum>
  <w:abstractNum w:abstractNumId="8">
    <w:nsid w:val="5EF360EB"/>
    <w:multiLevelType w:val="hybridMultilevel"/>
    <w:tmpl w:val="74067B16"/>
    <w:lvl w:ilvl="0" w:tplc="F162C948">
      <w:start w:val="1"/>
      <w:numFmt w:val="decimal"/>
      <w:lvlText w:val="%1."/>
      <w:lvlJc w:val="left"/>
      <w:pPr>
        <w:ind w:left="1290" w:hanging="360"/>
      </w:pPr>
      <w:rPr>
        <w:rFonts w:hint="default"/>
      </w:rPr>
    </w:lvl>
    <w:lvl w:ilvl="1" w:tplc="04190019">
      <w:start w:val="1"/>
      <w:numFmt w:val="lowerLetter"/>
      <w:lvlText w:val="%2."/>
      <w:lvlJc w:val="left"/>
      <w:pPr>
        <w:ind w:left="2010" w:hanging="360"/>
      </w:pPr>
    </w:lvl>
    <w:lvl w:ilvl="2" w:tplc="0419001B">
      <w:start w:val="1"/>
      <w:numFmt w:val="lowerRoman"/>
      <w:lvlText w:val="%3."/>
      <w:lvlJc w:val="right"/>
      <w:pPr>
        <w:ind w:left="2730" w:hanging="180"/>
      </w:pPr>
    </w:lvl>
    <w:lvl w:ilvl="3" w:tplc="0419000F">
      <w:start w:val="1"/>
      <w:numFmt w:val="decimal"/>
      <w:lvlText w:val="%4."/>
      <w:lvlJc w:val="left"/>
      <w:pPr>
        <w:ind w:left="3450" w:hanging="360"/>
      </w:pPr>
    </w:lvl>
    <w:lvl w:ilvl="4" w:tplc="04190019">
      <w:start w:val="1"/>
      <w:numFmt w:val="lowerLetter"/>
      <w:lvlText w:val="%5."/>
      <w:lvlJc w:val="left"/>
      <w:pPr>
        <w:ind w:left="4170" w:hanging="360"/>
      </w:pPr>
    </w:lvl>
    <w:lvl w:ilvl="5" w:tplc="0419001B">
      <w:start w:val="1"/>
      <w:numFmt w:val="lowerRoman"/>
      <w:lvlText w:val="%6."/>
      <w:lvlJc w:val="right"/>
      <w:pPr>
        <w:ind w:left="4890" w:hanging="180"/>
      </w:pPr>
    </w:lvl>
    <w:lvl w:ilvl="6" w:tplc="0419000F">
      <w:start w:val="1"/>
      <w:numFmt w:val="decimal"/>
      <w:lvlText w:val="%7."/>
      <w:lvlJc w:val="left"/>
      <w:pPr>
        <w:ind w:left="5610" w:hanging="360"/>
      </w:pPr>
    </w:lvl>
    <w:lvl w:ilvl="7" w:tplc="04190019">
      <w:start w:val="1"/>
      <w:numFmt w:val="lowerLetter"/>
      <w:lvlText w:val="%8."/>
      <w:lvlJc w:val="left"/>
      <w:pPr>
        <w:ind w:left="6330" w:hanging="360"/>
      </w:pPr>
    </w:lvl>
    <w:lvl w:ilvl="8" w:tplc="0419001B">
      <w:start w:val="1"/>
      <w:numFmt w:val="lowerRoman"/>
      <w:lvlText w:val="%9."/>
      <w:lvlJc w:val="right"/>
      <w:pPr>
        <w:ind w:left="7050" w:hanging="180"/>
      </w:pPr>
    </w:lvl>
  </w:abstractNum>
  <w:abstractNum w:abstractNumId="9">
    <w:nsid w:val="633C52AA"/>
    <w:multiLevelType w:val="hybridMultilevel"/>
    <w:tmpl w:val="2A88FFF4"/>
    <w:lvl w:ilvl="0" w:tplc="1DDE2126">
      <w:start w:val="1"/>
      <w:numFmt w:val="decimal"/>
      <w:lvlText w:val="%1."/>
      <w:lvlJc w:val="left"/>
      <w:pPr>
        <w:ind w:left="2970" w:hanging="360"/>
      </w:pPr>
      <w:rPr>
        <w:rFonts w:hint="default"/>
      </w:rPr>
    </w:lvl>
    <w:lvl w:ilvl="1" w:tplc="04190019">
      <w:start w:val="1"/>
      <w:numFmt w:val="lowerLetter"/>
      <w:lvlText w:val="%2."/>
      <w:lvlJc w:val="left"/>
      <w:pPr>
        <w:ind w:left="3690" w:hanging="360"/>
      </w:pPr>
    </w:lvl>
    <w:lvl w:ilvl="2" w:tplc="0419001B">
      <w:start w:val="1"/>
      <w:numFmt w:val="lowerRoman"/>
      <w:lvlText w:val="%3."/>
      <w:lvlJc w:val="right"/>
      <w:pPr>
        <w:ind w:left="4410" w:hanging="180"/>
      </w:pPr>
    </w:lvl>
    <w:lvl w:ilvl="3" w:tplc="0419000F">
      <w:start w:val="1"/>
      <w:numFmt w:val="decimal"/>
      <w:lvlText w:val="%4."/>
      <w:lvlJc w:val="left"/>
      <w:pPr>
        <w:ind w:left="5130" w:hanging="360"/>
      </w:pPr>
    </w:lvl>
    <w:lvl w:ilvl="4" w:tplc="04190019">
      <w:start w:val="1"/>
      <w:numFmt w:val="lowerLetter"/>
      <w:lvlText w:val="%5."/>
      <w:lvlJc w:val="left"/>
      <w:pPr>
        <w:ind w:left="5850" w:hanging="360"/>
      </w:pPr>
    </w:lvl>
    <w:lvl w:ilvl="5" w:tplc="0419001B">
      <w:start w:val="1"/>
      <w:numFmt w:val="lowerRoman"/>
      <w:lvlText w:val="%6."/>
      <w:lvlJc w:val="right"/>
      <w:pPr>
        <w:ind w:left="6570" w:hanging="180"/>
      </w:pPr>
    </w:lvl>
    <w:lvl w:ilvl="6" w:tplc="0419000F">
      <w:start w:val="1"/>
      <w:numFmt w:val="decimal"/>
      <w:lvlText w:val="%7."/>
      <w:lvlJc w:val="left"/>
      <w:pPr>
        <w:ind w:left="7290" w:hanging="360"/>
      </w:pPr>
    </w:lvl>
    <w:lvl w:ilvl="7" w:tplc="04190019">
      <w:start w:val="1"/>
      <w:numFmt w:val="lowerLetter"/>
      <w:lvlText w:val="%8."/>
      <w:lvlJc w:val="left"/>
      <w:pPr>
        <w:ind w:left="8010" w:hanging="360"/>
      </w:pPr>
    </w:lvl>
    <w:lvl w:ilvl="8" w:tplc="0419001B">
      <w:start w:val="1"/>
      <w:numFmt w:val="lowerRoman"/>
      <w:lvlText w:val="%9."/>
      <w:lvlJc w:val="right"/>
      <w:pPr>
        <w:ind w:left="8730" w:hanging="180"/>
      </w:pPr>
    </w:lvl>
  </w:abstractNum>
  <w:abstractNum w:abstractNumId="10">
    <w:nsid w:val="657218F5"/>
    <w:multiLevelType w:val="hybridMultilevel"/>
    <w:tmpl w:val="BEA41DAE"/>
    <w:lvl w:ilvl="0" w:tplc="FEF0F54A">
      <w:start w:val="8"/>
      <w:numFmt w:val="decimal"/>
      <w:lvlText w:val="%1."/>
      <w:lvlJc w:val="left"/>
      <w:pPr>
        <w:ind w:left="1920" w:hanging="360"/>
      </w:pPr>
      <w:rPr>
        <w:rFonts w:hint="default"/>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num w:numId="1">
    <w:abstractNumId w:val="6"/>
  </w:num>
  <w:num w:numId="2">
    <w:abstractNumId w:val="7"/>
  </w:num>
  <w:num w:numId="3">
    <w:abstractNumId w:val="4"/>
  </w:num>
  <w:num w:numId="4">
    <w:abstractNumId w:val="3"/>
  </w:num>
  <w:num w:numId="5">
    <w:abstractNumId w:val="9"/>
  </w:num>
  <w:num w:numId="6">
    <w:abstractNumId w:val="8"/>
  </w:num>
  <w:num w:numId="7">
    <w:abstractNumId w:val="0"/>
  </w:num>
  <w:num w:numId="8">
    <w:abstractNumId w:val="2"/>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9DB"/>
    <w:rsid w:val="00084749"/>
    <w:rsid w:val="000A5382"/>
    <w:rsid w:val="00102553"/>
    <w:rsid w:val="0015450C"/>
    <w:rsid w:val="00191C1A"/>
    <w:rsid w:val="001A182D"/>
    <w:rsid w:val="002877FC"/>
    <w:rsid w:val="002C34B7"/>
    <w:rsid w:val="003316A2"/>
    <w:rsid w:val="00334980"/>
    <w:rsid w:val="00334AE0"/>
    <w:rsid w:val="003456D7"/>
    <w:rsid w:val="0036432D"/>
    <w:rsid w:val="003E0E2A"/>
    <w:rsid w:val="004442CA"/>
    <w:rsid w:val="004C1AD9"/>
    <w:rsid w:val="005133DA"/>
    <w:rsid w:val="00562D6B"/>
    <w:rsid w:val="00582BE9"/>
    <w:rsid w:val="00584722"/>
    <w:rsid w:val="005B5D44"/>
    <w:rsid w:val="005C2FC4"/>
    <w:rsid w:val="005D5232"/>
    <w:rsid w:val="00642E34"/>
    <w:rsid w:val="00680626"/>
    <w:rsid w:val="00684E6F"/>
    <w:rsid w:val="006D42B8"/>
    <w:rsid w:val="006E3B3A"/>
    <w:rsid w:val="006E4E45"/>
    <w:rsid w:val="007023E5"/>
    <w:rsid w:val="00721571"/>
    <w:rsid w:val="00751C72"/>
    <w:rsid w:val="00753A07"/>
    <w:rsid w:val="007F288F"/>
    <w:rsid w:val="00822A47"/>
    <w:rsid w:val="00856D03"/>
    <w:rsid w:val="00895D63"/>
    <w:rsid w:val="008F187F"/>
    <w:rsid w:val="008F6AB8"/>
    <w:rsid w:val="00906BA1"/>
    <w:rsid w:val="00932052"/>
    <w:rsid w:val="009B5EF5"/>
    <w:rsid w:val="009D69DB"/>
    <w:rsid w:val="009F6C2A"/>
    <w:rsid w:val="00AB5B85"/>
    <w:rsid w:val="00B47ACC"/>
    <w:rsid w:val="00B874E6"/>
    <w:rsid w:val="00BB273C"/>
    <w:rsid w:val="00BE6E7C"/>
    <w:rsid w:val="00C72B0D"/>
    <w:rsid w:val="00C9056E"/>
    <w:rsid w:val="00CD278D"/>
    <w:rsid w:val="00CE53EF"/>
    <w:rsid w:val="00D67FB8"/>
    <w:rsid w:val="00D73551"/>
    <w:rsid w:val="00D765FC"/>
    <w:rsid w:val="00D84FC8"/>
    <w:rsid w:val="00DC2972"/>
    <w:rsid w:val="00DD7253"/>
    <w:rsid w:val="00E24648"/>
    <w:rsid w:val="00E735C7"/>
    <w:rsid w:val="00E844AC"/>
    <w:rsid w:val="00ED5D89"/>
    <w:rsid w:val="00EF0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D0E60D-8304-4162-B865-C6474A5B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9DB"/>
    <w:pPr>
      <w:spacing w:after="200" w:line="276" w:lineRule="auto"/>
    </w:pPr>
    <w:rPr>
      <w:rFonts w:cs="Calibri"/>
      <w:sz w:val="22"/>
      <w:szCs w:val="22"/>
      <w:lang w:eastAsia="en-US"/>
    </w:rPr>
  </w:style>
  <w:style w:type="paragraph" w:styleId="1">
    <w:name w:val="heading 1"/>
    <w:basedOn w:val="a"/>
    <w:next w:val="a"/>
    <w:link w:val="10"/>
    <w:uiPriority w:val="99"/>
    <w:qFormat/>
    <w:rsid w:val="004C1AD9"/>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link w:val="20"/>
    <w:uiPriority w:val="99"/>
    <w:qFormat/>
    <w:rsid w:val="009D69DB"/>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4C1AD9"/>
    <w:pPr>
      <w:widowControl w:val="0"/>
      <w:spacing w:line="380" w:lineRule="auto"/>
      <w:ind w:firstLine="700"/>
      <w:jc w:val="both"/>
    </w:pPr>
    <w:rPr>
      <w:rFonts w:ascii="Arial" w:eastAsia="Times New Roman" w:hAnsi="Arial" w:cs="Arial"/>
    </w:rPr>
  </w:style>
  <w:style w:type="character" w:styleId="a3">
    <w:name w:val="Hyperlink"/>
    <w:uiPriority w:val="99"/>
    <w:semiHidden/>
    <w:rsid w:val="009D69DB"/>
    <w:rPr>
      <w:color w:val="0000FF"/>
      <w:u w:val="single"/>
    </w:rPr>
  </w:style>
  <w:style w:type="character" w:customStyle="1" w:styleId="20">
    <w:name w:val="Заголовок 2 Знак"/>
    <w:link w:val="2"/>
    <w:uiPriority w:val="99"/>
    <w:locked/>
    <w:rsid w:val="009D69DB"/>
    <w:rPr>
      <w:rFonts w:ascii="Times New Roman" w:hAnsi="Times New Roman" w:cs="Times New Roman"/>
      <w:b/>
      <w:bCs/>
      <w:sz w:val="36"/>
      <w:szCs w:val="36"/>
      <w:lang w:val="x-none" w:eastAsia="ru-RU"/>
    </w:rPr>
  </w:style>
  <w:style w:type="paragraph" w:styleId="a4">
    <w:name w:val="Normal (Web)"/>
    <w:basedOn w:val="a"/>
    <w:uiPriority w:val="99"/>
    <w:rsid w:val="009D69DB"/>
    <w:pPr>
      <w:spacing w:before="100" w:beforeAutospacing="1" w:after="100" w:afterAutospacing="1" w:line="240" w:lineRule="auto"/>
    </w:pPr>
    <w:rPr>
      <w:rFonts w:eastAsia="Times New Roman"/>
      <w:sz w:val="24"/>
      <w:szCs w:val="24"/>
      <w:lang w:eastAsia="ru-RU"/>
    </w:rPr>
  </w:style>
  <w:style w:type="character" w:styleId="a5">
    <w:name w:val="Emphasis"/>
    <w:uiPriority w:val="99"/>
    <w:qFormat/>
    <w:rsid w:val="009D69DB"/>
    <w:rPr>
      <w:i/>
      <w:iCs/>
    </w:rPr>
  </w:style>
  <w:style w:type="character" w:styleId="a6">
    <w:name w:val="Strong"/>
    <w:uiPriority w:val="99"/>
    <w:qFormat/>
    <w:rsid w:val="009D69DB"/>
    <w:rPr>
      <w:b/>
      <w:bCs/>
    </w:rPr>
  </w:style>
  <w:style w:type="paragraph" w:styleId="a7">
    <w:name w:val="Balloon Text"/>
    <w:basedOn w:val="a"/>
    <w:link w:val="a8"/>
    <w:uiPriority w:val="99"/>
    <w:semiHidden/>
    <w:rsid w:val="009D69DB"/>
    <w:pPr>
      <w:spacing w:after="0" w:line="240" w:lineRule="auto"/>
    </w:pPr>
    <w:rPr>
      <w:rFonts w:ascii="Tahoma" w:hAnsi="Tahoma" w:cs="Tahoma"/>
      <w:sz w:val="16"/>
      <w:szCs w:val="16"/>
    </w:rPr>
  </w:style>
  <w:style w:type="paragraph" w:styleId="HTML">
    <w:name w:val="HTML Preformatted"/>
    <w:basedOn w:val="a"/>
    <w:link w:val="HTML0"/>
    <w:uiPriority w:val="99"/>
    <w:rsid w:val="009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8">
    <w:name w:val="Текст выноски Знак"/>
    <w:link w:val="a7"/>
    <w:uiPriority w:val="99"/>
    <w:semiHidden/>
    <w:locked/>
    <w:rsid w:val="009D69DB"/>
    <w:rPr>
      <w:rFonts w:ascii="Tahoma" w:hAnsi="Tahoma" w:cs="Tahoma"/>
      <w:sz w:val="16"/>
      <w:szCs w:val="16"/>
    </w:rPr>
  </w:style>
  <w:style w:type="paragraph" w:styleId="a9">
    <w:name w:val="List Paragraph"/>
    <w:basedOn w:val="a"/>
    <w:uiPriority w:val="99"/>
    <w:qFormat/>
    <w:rsid w:val="009D69DB"/>
    <w:pPr>
      <w:ind w:left="720"/>
    </w:pPr>
  </w:style>
  <w:style w:type="character" w:customStyle="1" w:styleId="HTML0">
    <w:name w:val="Стандартный HTML Знак"/>
    <w:link w:val="HTML"/>
    <w:uiPriority w:val="99"/>
    <w:locked/>
    <w:rsid w:val="009D69DB"/>
    <w:rPr>
      <w:rFonts w:ascii="Courier New" w:hAnsi="Courier New" w:cs="Courier New"/>
      <w:sz w:val="20"/>
      <w:szCs w:val="20"/>
      <w:lang w:val="x-none" w:eastAsia="ru-RU"/>
    </w:rPr>
  </w:style>
  <w:style w:type="character" w:customStyle="1" w:styleId="highlight">
    <w:name w:val="highlight"/>
    <w:uiPriority w:val="99"/>
    <w:rsid w:val="009D69DB"/>
  </w:style>
  <w:style w:type="character" w:customStyle="1" w:styleId="10">
    <w:name w:val="Заголовок 1 Знак"/>
    <w:link w:val="1"/>
    <w:uiPriority w:val="99"/>
    <w:locked/>
    <w:rsid w:val="004C1AD9"/>
    <w:rPr>
      <w:rFonts w:ascii="Cambria" w:hAnsi="Cambria" w:cs="Cambria"/>
      <w:b/>
      <w:bCs/>
      <w:color w:val="365F91"/>
      <w:sz w:val="28"/>
      <w:szCs w:val="28"/>
    </w:rPr>
  </w:style>
  <w:style w:type="paragraph" w:customStyle="1" w:styleId="3">
    <w:name w:val="Стиль3"/>
    <w:basedOn w:val="a"/>
    <w:uiPriority w:val="99"/>
    <w:rsid w:val="004C1AD9"/>
    <w:pPr>
      <w:spacing w:after="0" w:line="360" w:lineRule="auto"/>
      <w:jc w:val="both"/>
    </w:pPr>
    <w:rPr>
      <w:rFonts w:eastAsia="Times New Roman"/>
      <w:sz w:val="28"/>
      <w:szCs w:val="28"/>
      <w:lang w:eastAsia="ru-RU"/>
    </w:rPr>
  </w:style>
  <w:style w:type="paragraph" w:styleId="aa">
    <w:name w:val="header"/>
    <w:basedOn w:val="a"/>
    <w:link w:val="ab"/>
    <w:uiPriority w:val="99"/>
    <w:rsid w:val="003316A2"/>
    <w:pPr>
      <w:tabs>
        <w:tab w:val="center" w:pos="4677"/>
        <w:tab w:val="right" w:pos="9355"/>
      </w:tabs>
    </w:pPr>
  </w:style>
  <w:style w:type="character" w:customStyle="1" w:styleId="ab">
    <w:name w:val="Верхний колонтитул Знак"/>
    <w:link w:val="aa"/>
    <w:uiPriority w:val="99"/>
    <w:semiHidden/>
    <w:rPr>
      <w:rFonts w:cs="Calibri"/>
      <w:lang w:eastAsia="en-US"/>
    </w:rPr>
  </w:style>
  <w:style w:type="character" w:styleId="ac">
    <w:name w:val="page number"/>
    <w:uiPriority w:val="99"/>
    <w:rsid w:val="003316A2"/>
  </w:style>
  <w:style w:type="paragraph" w:styleId="ad">
    <w:name w:val="footer"/>
    <w:basedOn w:val="a"/>
    <w:link w:val="ae"/>
    <w:uiPriority w:val="99"/>
    <w:rsid w:val="003316A2"/>
    <w:pPr>
      <w:tabs>
        <w:tab w:val="center" w:pos="4677"/>
        <w:tab w:val="right" w:pos="9355"/>
      </w:tabs>
    </w:pPr>
  </w:style>
  <w:style w:type="character" w:customStyle="1" w:styleId="ae">
    <w:name w:val="Нижний колонтитул Знак"/>
    <w:link w:val="ad"/>
    <w:uiPriority w:val="99"/>
    <w:semiHidden/>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11422</Words>
  <Characters>65109</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МЕЖДУНАРОДНЫЙ ИНСТИТУТ  «ИНФО – РУТЕНИЯ»</vt:lpstr>
    </vt:vector>
  </TitlesOfParts>
  <Company>Grizli777</Company>
  <LinksUpToDate>false</LinksUpToDate>
  <CharactersWithSpaces>76379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ИНСТИТУТ  «ИНФО – РУТЕНИЯ»</dc:title>
  <dc:subject/>
  <dc:creator>Game - EDITION</dc:creator>
  <cp:keywords/>
  <dc:description/>
  <cp:lastModifiedBy>admin</cp:lastModifiedBy>
  <cp:revision>2</cp:revision>
  <dcterms:created xsi:type="dcterms:W3CDTF">2014-03-27T00:15:00Z</dcterms:created>
  <dcterms:modified xsi:type="dcterms:W3CDTF">2014-03-27T00:15:00Z</dcterms:modified>
</cp:coreProperties>
</file>