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D3B" w:rsidRDefault="00217D3B">
      <w:pPr>
        <w:pStyle w:val="Textbody"/>
        <w:ind w:left="240"/>
        <w:jc w:val="center"/>
        <w:rPr>
          <w:i/>
        </w:rPr>
      </w:pPr>
    </w:p>
    <w:p w:rsidR="00E50990" w:rsidRDefault="00527CF5">
      <w:pPr>
        <w:pStyle w:val="Textbody"/>
        <w:ind w:left="240"/>
        <w:jc w:val="center"/>
        <w:rPr>
          <w:i/>
        </w:rPr>
      </w:pPr>
      <w:r>
        <w:rPr>
          <w:i/>
        </w:rPr>
        <w:t>Федеральное агентство по образованию</w:t>
      </w:r>
    </w:p>
    <w:p w:rsidR="00E50990" w:rsidRDefault="00527CF5">
      <w:pPr>
        <w:pStyle w:val="Textbody"/>
        <w:jc w:val="center"/>
        <w:rPr>
          <w:i/>
        </w:rPr>
      </w:pPr>
      <w:r>
        <w:rPr>
          <w:i/>
        </w:rPr>
        <w:t>Государственное образовательное учреждение Высшего Профессионального образования</w:t>
      </w:r>
    </w:p>
    <w:p w:rsidR="00E50990" w:rsidRDefault="00527CF5">
      <w:pPr>
        <w:pStyle w:val="Textbody"/>
        <w:jc w:val="center"/>
        <w:rPr>
          <w:i/>
        </w:rPr>
      </w:pPr>
      <w:r>
        <w:rPr>
          <w:i/>
        </w:rPr>
        <w:t>«Уральская государственная медицинская академия»</w:t>
      </w:r>
    </w:p>
    <w:p w:rsidR="00E50990" w:rsidRDefault="00527CF5">
      <w:pPr>
        <w:pStyle w:val="Textbody"/>
        <w:jc w:val="center"/>
        <w:rPr>
          <w:i/>
        </w:rPr>
      </w:pPr>
      <w:r>
        <w:rPr>
          <w:i/>
        </w:rPr>
        <w:t>Кафедра Общей химии</w:t>
      </w: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spacing w:line="276" w:lineRule="auto"/>
        <w:jc w:val="center"/>
        <w:rPr>
          <w:rFonts w:ascii="Cambria, serif" w:hAnsi="Cambria, serif" w:hint="eastAsia"/>
          <w:b/>
          <w:sz w:val="40"/>
          <w:szCs w:val="40"/>
        </w:rPr>
      </w:pPr>
    </w:p>
    <w:p w:rsidR="00E50990" w:rsidRDefault="00E50990">
      <w:pPr>
        <w:pStyle w:val="Textbody"/>
        <w:spacing w:line="276" w:lineRule="auto"/>
        <w:jc w:val="center"/>
        <w:rPr>
          <w:rFonts w:ascii="Cambria, serif" w:hAnsi="Cambria, serif" w:hint="eastAsia"/>
          <w:b/>
          <w:sz w:val="40"/>
          <w:szCs w:val="40"/>
        </w:rPr>
      </w:pPr>
    </w:p>
    <w:p w:rsidR="00E50990" w:rsidRDefault="00527CF5">
      <w:pPr>
        <w:pStyle w:val="Textbody"/>
        <w:spacing w:line="276" w:lineRule="auto"/>
        <w:jc w:val="center"/>
        <w:rPr>
          <w:rFonts w:ascii="Cambria, serif" w:hAnsi="Cambria, serif" w:hint="eastAsia"/>
          <w:b/>
          <w:sz w:val="40"/>
          <w:szCs w:val="40"/>
        </w:rPr>
      </w:pPr>
      <w:r>
        <w:rPr>
          <w:rFonts w:ascii="Cambria, serif" w:hAnsi="Cambria, serif"/>
          <w:b/>
          <w:sz w:val="40"/>
          <w:szCs w:val="40"/>
        </w:rPr>
        <w:t>РЕФЕРАТ</w:t>
      </w:r>
    </w:p>
    <w:p w:rsidR="00E50990" w:rsidRDefault="00527CF5">
      <w:pPr>
        <w:pStyle w:val="Textbody"/>
        <w:spacing w:line="276" w:lineRule="auto"/>
        <w:jc w:val="center"/>
        <w:rPr>
          <w:rFonts w:ascii="Cambria, serif" w:hAnsi="Cambria, serif" w:hint="eastAsia"/>
          <w:b/>
          <w:sz w:val="40"/>
          <w:szCs w:val="40"/>
        </w:rPr>
      </w:pPr>
      <w:r>
        <w:rPr>
          <w:rFonts w:ascii="Cambria, serif" w:hAnsi="Cambria, serif"/>
          <w:b/>
          <w:sz w:val="40"/>
          <w:szCs w:val="40"/>
        </w:rPr>
        <w:t>«Определение содержания и свойств соединений меди в водных растворах»</w:t>
      </w:r>
    </w:p>
    <w:p w:rsidR="00E50990" w:rsidRDefault="00E50990">
      <w:pPr>
        <w:pStyle w:val="Textbody"/>
        <w:spacing w:line="276" w:lineRule="auto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spacing w:line="276" w:lineRule="auto"/>
        <w:jc w:val="center"/>
      </w:pPr>
    </w:p>
    <w:p w:rsidR="00E50990" w:rsidRDefault="00E50990">
      <w:pPr>
        <w:pStyle w:val="Textbody"/>
        <w:spacing w:line="168" w:lineRule="auto"/>
        <w:jc w:val="right"/>
      </w:pPr>
    </w:p>
    <w:p w:rsidR="00E50990" w:rsidRDefault="00E50990">
      <w:pPr>
        <w:pStyle w:val="Textbody"/>
        <w:spacing w:line="168" w:lineRule="auto"/>
        <w:jc w:val="right"/>
      </w:pPr>
    </w:p>
    <w:p w:rsidR="00E50990" w:rsidRDefault="00E50990">
      <w:pPr>
        <w:pStyle w:val="Textbody"/>
        <w:spacing w:line="168" w:lineRule="auto"/>
        <w:jc w:val="right"/>
      </w:pPr>
    </w:p>
    <w:p w:rsidR="00E50990" w:rsidRDefault="00E50990">
      <w:pPr>
        <w:pStyle w:val="Textbody"/>
        <w:spacing w:line="168" w:lineRule="auto"/>
        <w:jc w:val="right"/>
      </w:pPr>
    </w:p>
    <w:p w:rsidR="00E50990" w:rsidRDefault="00E50990">
      <w:pPr>
        <w:pStyle w:val="Textbody"/>
        <w:spacing w:line="168" w:lineRule="auto"/>
        <w:jc w:val="right"/>
      </w:pPr>
    </w:p>
    <w:p w:rsidR="00E50990" w:rsidRDefault="00527CF5">
      <w:pPr>
        <w:pStyle w:val="Textbody"/>
        <w:spacing w:line="168" w:lineRule="auto"/>
        <w:jc w:val="right"/>
      </w:pPr>
      <w:r>
        <w:t>Студентов педиатрического факультета</w:t>
      </w:r>
    </w:p>
    <w:p w:rsidR="00E50990" w:rsidRDefault="00527CF5">
      <w:pPr>
        <w:pStyle w:val="Textbody"/>
        <w:spacing w:line="168" w:lineRule="auto"/>
        <w:jc w:val="right"/>
      </w:pPr>
      <w:r>
        <w:t>Группы ОП-104</w:t>
      </w:r>
    </w:p>
    <w:p w:rsidR="00E50990" w:rsidRDefault="00527CF5">
      <w:pPr>
        <w:pStyle w:val="Textbody"/>
        <w:spacing w:line="168" w:lineRule="auto"/>
        <w:jc w:val="right"/>
      </w:pPr>
      <w:r>
        <w:t>Чернавина С.В</w:t>
      </w:r>
    </w:p>
    <w:p w:rsidR="00E50990" w:rsidRDefault="00527CF5">
      <w:pPr>
        <w:pStyle w:val="Textbody"/>
        <w:spacing w:line="168" w:lineRule="auto"/>
        <w:jc w:val="right"/>
      </w:pPr>
      <w:r>
        <w:t>Гордиенко И.И.</w:t>
      </w:r>
    </w:p>
    <w:p w:rsidR="00E50990" w:rsidRDefault="00E50990">
      <w:pPr>
        <w:pStyle w:val="Textbody"/>
        <w:spacing w:line="168" w:lineRule="auto"/>
        <w:jc w:val="right"/>
      </w:pPr>
    </w:p>
    <w:p w:rsidR="00E50990" w:rsidRDefault="00527CF5">
      <w:pPr>
        <w:pStyle w:val="Textbody"/>
        <w:spacing w:line="168" w:lineRule="auto"/>
        <w:jc w:val="right"/>
      </w:pPr>
      <w:r>
        <w:t>Научный руководитель:</w:t>
      </w:r>
    </w:p>
    <w:p w:rsidR="00E50990" w:rsidRDefault="00527CF5">
      <w:pPr>
        <w:pStyle w:val="Textbody"/>
        <w:spacing w:line="276" w:lineRule="auto"/>
        <w:jc w:val="right"/>
      </w:pPr>
      <w:r>
        <w:rPr>
          <w:rFonts w:ascii="Calibri, sans-serif" w:hAnsi="Calibri, sans-serif"/>
          <w:sz w:val="22"/>
        </w:rPr>
        <w:t>к.т.н. Белоконова Надежда Анатольевн</w:t>
      </w:r>
    </w:p>
    <w:p w:rsidR="00E50990" w:rsidRDefault="00E50990">
      <w:pPr>
        <w:pStyle w:val="Textbody"/>
        <w:spacing w:line="276" w:lineRule="auto"/>
        <w:jc w:val="right"/>
      </w:pPr>
    </w:p>
    <w:p w:rsidR="00E50990" w:rsidRDefault="00E50990">
      <w:pPr>
        <w:pStyle w:val="Textbody"/>
        <w:spacing w:line="276" w:lineRule="auto"/>
        <w:jc w:val="right"/>
      </w:pPr>
    </w:p>
    <w:p w:rsidR="00E50990" w:rsidRDefault="00E50990">
      <w:pPr>
        <w:pStyle w:val="Textbody"/>
        <w:spacing w:line="276" w:lineRule="auto"/>
        <w:ind w:right="-15"/>
        <w:jc w:val="right"/>
      </w:pPr>
    </w:p>
    <w:p w:rsidR="00E50990" w:rsidRDefault="00E50990">
      <w:pPr>
        <w:pStyle w:val="Textbody"/>
        <w:spacing w:line="276" w:lineRule="auto"/>
        <w:jc w:val="right"/>
      </w:pPr>
    </w:p>
    <w:p w:rsidR="00E50990" w:rsidRDefault="00E50990">
      <w:pPr>
        <w:pStyle w:val="Textbody"/>
        <w:spacing w:line="276" w:lineRule="auto"/>
        <w:jc w:val="right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527CF5">
      <w:pPr>
        <w:pStyle w:val="Textbody"/>
        <w:jc w:val="center"/>
      </w:pPr>
      <w:r>
        <w:t>Екатеринбург 2010</w:t>
      </w:r>
    </w:p>
    <w:p w:rsidR="00E50990" w:rsidRDefault="00527CF5">
      <w:pPr>
        <w:pStyle w:val="Textbody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План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1.Теоритическая часть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1.1.Общие сведенья о металле и его распространенность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1.2.Физические и химические свойства меди.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1.3.Использование соединений меди.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1.4.Биологиеское значение.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1.5.Диагностика заболеваний по меди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1.6.Нахождение в продуктах питания и воде.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2.Практическая часть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2.1.Определение количества меди в растворах по ГОСТ методике</w:t>
      </w:r>
    </w:p>
    <w:p w:rsidR="00E50990" w:rsidRDefault="00527CF5">
      <w:pPr>
        <w:pStyle w:val="Textbody"/>
        <w:rPr>
          <w:sz w:val="22"/>
          <w:szCs w:val="22"/>
        </w:rPr>
      </w:pPr>
      <w:r>
        <w:rPr>
          <w:sz w:val="22"/>
          <w:szCs w:val="22"/>
        </w:rPr>
        <w:t xml:space="preserve">   2.2.Анализ структуры и свойств полученных растворов меди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3.Вывод</w:t>
      </w: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E50990">
      <w:pPr>
        <w:pStyle w:val="Textbody"/>
        <w:jc w:val="center"/>
      </w:pPr>
    </w:p>
    <w:p w:rsidR="00E50990" w:rsidRDefault="00527CF5">
      <w:pPr>
        <w:pStyle w:val="Textbody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Теоритическая часть</w:t>
      </w:r>
    </w:p>
    <w:p w:rsidR="00E50990" w:rsidRDefault="00527CF5">
      <w:pPr>
        <w:pStyle w:val="Textbody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сведенья о металле и его распространенность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Медь (лат.Cuprum) - химический элемент. Один из семи металлов, известных с глубокой древности. По некоторым археологическим данным - медь была хорошо известна египтянам еще за 4000 лет до Р.Хр. Знакомство человечества с медью относится к более ранней эпохе, чем с железом; это объясняется с одной стороны более частым нахождением меди в свободном состоянии на поверхности земли, а с другой - сравнительной легкостью получения ее из соединений. Древняя Греция и Рим получали медь с острова Кипра (Cyprum), откуда и название ее Cuprum. Среднее содержание меди в земной коре 4,7·10-3 % (по массе), в нижней части земной коры ее больше (1·10-2%), чем в верхней (2·10-3%), где преобладают граниты и другие кислые изверженные породы. Медь энергично мигрирует как в горячих водах глубин, так и в холодных растворах биосферы; сероводород осаждает из природных вод различные сульфиды Меди, имеющие большое промышленное значение. Среди многочисленных минералов Меди преобладают сульфиды, фосфаты, сульфаты, хлориды, известны также самородная Медь, карбонаты и оксиды. Медь встречается в природе, как в соединениях, так и в самородном виде</w:t>
      </w:r>
    </w:p>
    <w:p w:rsidR="00E50990" w:rsidRDefault="00527CF5">
      <w:pPr>
        <w:pStyle w:val="Textbody"/>
        <w:jc w:val="center"/>
      </w:pPr>
      <w:r>
        <w:rPr>
          <w:b/>
          <w:bCs/>
          <w:sz w:val="26"/>
          <w:szCs w:val="26"/>
        </w:rPr>
        <w:t>Физические  и химические свойства меди.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Медь — золотисто-розовый пластичный металл, на воздухе быстро покрывается оксидной плёнкой, которая придаёт ей характерный интенсивный желтовато-красный оттенок. Медь обладает высокой тепло- и электропроводностью (занимает второе место по электропроводности после серебра). Имеет два стабильных изотопа — 63Cu и 65Cu, и несколько радиоактивных изотопов. Самый долгоживущий из них, 64Cu, имеет период полураспада 12,7 ч и два варианта распада с различными продуктами. Существует ряд сплавов меди: латунь — сплав меди с цинком, бронза — сплав меди с оловом, мельхиор — сплав меди и никеля, и некоторые другие.</w:t>
      </w:r>
    </w:p>
    <w:p w:rsidR="00E50990" w:rsidRDefault="00527CF5">
      <w:pPr>
        <w:pStyle w:val="a5"/>
        <w:rPr>
          <w:sz w:val="26"/>
          <w:szCs w:val="26"/>
        </w:rPr>
      </w:pPr>
      <w:r>
        <w:rPr>
          <w:sz w:val="26"/>
          <w:szCs w:val="26"/>
        </w:rPr>
        <w:t xml:space="preserve">По химическим свойствам медь занимает промежуточное положение между элементами первой триады VIII группы и щелочными элементами I группы системы Менделеева. Медь, как и Fe, Co, Ni, склонна к комплексообразованию, дает окрашенные соединения, нерастворимые сульфиды и т. д. Сходство с щелочными металлами незначительно. Так, медь образует ряд одновалентных соединений, однако для нее более характерно 2-валентное состояние. Соли одновалентной меди в воде практически нерастворимы и легко окисляются до соединений 2-валентной меди; соли 2-валентной меди, напротив, хорошо растворимы в воде и в разбавленных растворах полностью диссоциированы. Гидратированные ионы Cu2+ окрашены в голубой цвет. Известны также соединения, в которых медь 3-валентна. Так, действием пероксида натрия на раствор куприта натрия Na2CuO2 получен оксид Сu2О3 - красный порошок, начинающий отдавать кислород уже при 100 °С. Сu2О3 - сильный окислитель (например, выделяет хлор из соляной кислоты). </w:t>
      </w:r>
      <w:r>
        <w:rPr>
          <w:sz w:val="26"/>
          <w:szCs w:val="26"/>
        </w:rPr>
        <w:br/>
        <w:t>Химическая активность меди невелика. Компактный металл при температурах ниже 185 °С с сухим воздухом и кислородом не взаимодействует. При нагревании меди на воздухе идет поверхностное окисление; ниже 375 °С образуется СuО, а в интервале 375-1100 °С при неполном окислении медь - двухслойная окалина, в поверхностном слое которой находится СuО, а во внутреннем - Сu2О. Влажный хлор взаимодействует с медью уже при обычной температуре, образуя хлорид СuCl2, хорошо растворимый в воде. Медь легко соединяется и с других галогенами. Особое сродство проявляет медь к сере и селену; так, она горит в парах серы. С водородом, азотом и углеродом медь не реагирует даже при высоких температурах. Растворимость водорода в твердой медь незначительна и при 400 °С составляет 0,06 мг в 100 г меди. Водород и других горючие газы (СО, СН4), действуя при высокой температуре на слитки меди, содержащие Сu2О, восстановляют ее до металла с образованием СО2 и водяного пара. Эти продукты, будучи нерастворимыми в меди, выделяются из нее, вызывая появление трещин, что резко ухудшает механические свойства меди. Медь образует многочисленные устойчивые комплексные соединения - (NH4)2CuBr3; K3Cu(CN)4- комплексы типа двойных солей; [Cu{SC(NH2)}2]Cl, CsCuCl3, K2CuCl4 и др. Важное промышленное значение имеют аммиачные комплексные соединения меди: [Сu (NH3)4] SO4, [Сu (NH3)2] SO4.</w:t>
      </w:r>
    </w:p>
    <w:p w:rsidR="00E50990" w:rsidRDefault="00527CF5">
      <w:pPr>
        <w:pStyle w:val="Textbody"/>
        <w:jc w:val="center"/>
      </w:pPr>
      <w:r>
        <w:rPr>
          <w:b/>
          <w:bCs/>
          <w:sz w:val="26"/>
          <w:szCs w:val="26"/>
        </w:rPr>
        <w:t>Использование соединений меди.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Большая роль меди в технике обусловлена рядом ее ценных свойств и прежде всего высокой электропроводностью, пластичностью, теплопроводностью. Благодаря этим свойствам медь - основной материал для проводов; свыше 50% добываемой меди применяют в электротехнической промышленности. Все примеси понижают электропроводность меди, а потому в электротехнике используют металл высших сортов, содержащий не менее 99,9% Cu. Высокие теплопроводность и сопротивление коррозии позволяют изготовлять из меди ответственные детали теплообменников, холодильников, вакуумных аппаратов и т. п. Около 30-40% меди используют в виде различных сплавов, среди которых наибольшее значение имеют латуни (от 0 до 50% Zn) и различные виды бронз: оловянистые, алюминиевые, свинцовистые, бериллиевые и т. д. Кроме нужд тяжелой промышленности, связи, транспорта, некоторое количество меди (главным образом в виде солей) потребляется для приготовления минеральных пигментов, борьбы с вредителями и болезнями растений, в качестве микроудобрений, катализаторов окислительных процессов, а также в кожевенной и меховой промышленности и при производстве искусственного шелка.</w:t>
      </w:r>
    </w:p>
    <w:p w:rsidR="00E50990" w:rsidRDefault="00527CF5">
      <w:pPr>
        <w:pStyle w:val="Textbody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Биологическое значение.</w:t>
      </w:r>
    </w:p>
    <w:p w:rsidR="00E50990" w:rsidRDefault="00527CF5">
      <w:pPr>
        <w:pStyle w:val="a5"/>
        <w:rPr>
          <w:sz w:val="26"/>
          <w:szCs w:val="26"/>
        </w:rPr>
      </w:pPr>
      <w:r>
        <w:rPr>
          <w:sz w:val="26"/>
          <w:szCs w:val="26"/>
        </w:rPr>
        <w:t>Медь – очень важный для жизни металл. Содержание меди в организме человека колеблется (на 100 г сухой массы) от 5 мг в печени до 0,7 мг в костях, в жидкостях тела - от 100 мкг (на 100 мл) в крови до 10 мкг в спинномозговой жидкости. А всего меди в организме взрослого человека около 100 мг. Многие биологические процессы будут невозможны или существенно затруднены без участия меди: медь входит в состав ферментов, которые регулируют энергетический и информационный обмен в клетках, является активным катализатором в окислительно-восстановительных реакциях; участвует в кроветворении, входит в состав ферментов для синтеза эритроцитов и лейкоцитов. Кроме того, она участвует в образовании гемоглобина при участии железа и витамина С; обеспечивает транспорт железа из печени, его перенос между органами и тканями; стимулирует иммунитет, играет важную роль в системе антиоксидантной защиты организма и нейтрализует свободные радикалы, поддерживая целостность здоровых клеток; обеспечивает здоровьем костную ткань, предотвращает её деминерализацию, переломы, развитие остеопороза; повышает продолжительность жизни эритроцитов и устойчивость клеточных мембран; улучшает состояние кожи, участвуя в образовании коллагена (вещества, придающего коже упругость, эластичность и гладкость); укрепляет сосудистую стенку за счет участия в образовании соединительной ткани - эластина. (Эластин - это, по сути, каркас из прочных и упругих волокон во внутренних слоях кожи, который держит нужную форму кровеносных сосудов). Ежедневный прием меди с пищей составляет 0,50-6 мг, из которых усваивается только 30%. Токсическая доза меди больше 250 мг. Попав в организм, соединение меди поступает в печень, которая является главным складом этого микроэлемента. Медь концентрируется также в мозге, сердце и почках, мышечной и костной тканях. Около 80% меди выделяется с желчью, примерно 16% секретируется в кишечник из крови и около 4% (140 мкг/сут) составляют ренальные потери. Незначительные потери происходят со слюной и потом. Основными органами накопления меди является печень (30%), головной мозг (30%). Остальная медь равномерно распределяется по органам и тканям, причем половина этого количества находится в костях и мышцах. Печень является главным депо этого элемента и местом синтеза церрулоплазмина, в образовании которого участвует 90 - 95% меди</w:t>
      </w:r>
    </w:p>
    <w:p w:rsidR="00E50990" w:rsidRDefault="00527CF5">
      <w:pPr>
        <w:pStyle w:val="Textbody"/>
        <w:jc w:val="center"/>
      </w:pPr>
      <w:r>
        <w:rPr>
          <w:b/>
          <w:bCs/>
          <w:sz w:val="26"/>
          <w:szCs w:val="26"/>
        </w:rPr>
        <w:t>Диагностика заболеваний по меди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При многих других заболеваниях наблюдается увеличение меди сыворотки: так при инфекционном гепатите наблюдается увеличение сыворотки меди в 3 раза по сравнению с нормой – 350мкг/100мл. это связано с накоплением церулоплазмина Повышение меди в крови встречается при таких заболеваниях, как лейкемия, лимфома, ревматоидный артрит, цирроз, нефрит. Высокий уровень меди может быть связан  с различными явлениями, и  обнаружение высоких концентраций меди в сыворотке представляет диагностическую ценность только при одновременном рассмотрении с данными других исследований. Анализ концентрации ионов меди необходимо проводить для оценки эффективности лечения, так как уровень меди прямо пропорционален тяжести заболевания. Это положение верно при гепатитах и злокачественных заболеваниях.</w:t>
      </w:r>
    </w:p>
    <w:p w:rsidR="00E50990" w:rsidRDefault="00527CF5">
      <w:pPr>
        <w:pStyle w:val="Textbody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Нахождение в продуктах питания и воде.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Мы получаем медь из продуктов питания, причем содержание меди в них зависит от ее количества в почве и может значительно возрасти, если почву будут удобрять сернокислой медью. В листьях женьшеня накапливается чрезвычайно высокая концентрация меди, несмотря на то, что в почве, где рос женьшень, этого металла было немного. В нем также обнаружены большие концентрации кальция и железа, но меньше калия, титана, марганца, цинка, рубидия, никеля и молибдена. Отсюда вывод: женьшень — замечательный накопитель многих важных микроэлементов и витаминов. Растения берут из почвы не более 4% меди, а мы усваиваем лишь около 10% ее из продуктов питания. Медь выделяется с калом. Но специального лечения медью не требуется. Достаточно меди в тех продуктах, которые мы едим, а у младенцев есть запас этого элемента в печени.</w:t>
      </w:r>
    </w:p>
    <w:p w:rsidR="00E50990" w:rsidRDefault="00527CF5">
      <w:pPr>
        <w:pStyle w:val="Textbod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часть</w:t>
      </w:r>
    </w:p>
    <w:p w:rsidR="00E50990" w:rsidRDefault="00527CF5">
      <w:pPr>
        <w:pStyle w:val="Textbody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Определение количества меди в растворах по ГОСТ методике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Для количественного определения меди в различных водных растворах существует методика, сущность которой состоит в образование коллоидных систем, на основе комплексных соединений меди с ДДТ. В приложении 1 представлен градуированный график, показывающий зависимость оптической плотности от концентрации меди. Он построен при помощи стандартных растворов меди. Т.к. оптическая плотность должна лежать в диапазоне графика, для установления концентрации, нам приходилось разбавлять исследуемые растворы до входа в диапазон.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Методика была использована для определения содержания меди в растворах, образованных при помощи прибора Цеппер, который работает на пальчиковых батарейках с напряжением 1,5 В. Было получено 3 раствора, в которых время медированной, состовляло 5, 10 и 15 минут, далее, применяя методику, мы определяли содержание меди в этих растворах.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Было установлено, что содержание металла в растворе медированном 5 минут составляло 5,976мг/л, в растворе медированном 10 минут 11,703мг/л и 15 минут — 14,193мг/л.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Концентрация меди, в полученных водных растворах, намного превышает ПДК для питьевой воды, которая составляет 1 мг/л, следовательно, такую воду нельзя употреблять в пищу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 xml:space="preserve">              Таблица 1: Зависимость концентрации от оптической плотности в-ва</w:t>
      </w:r>
    </w:p>
    <w:tbl>
      <w:tblPr>
        <w:tblW w:w="1021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5"/>
        <w:gridCol w:w="2505"/>
        <w:gridCol w:w="6105"/>
      </w:tblGrid>
      <w:tr w:rsidR="00E50990"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Образца</w:t>
            </w:r>
          </w:p>
        </w:tc>
        <w:tc>
          <w:tcPr>
            <w:tcW w:w="2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Оптическая плотность</w:t>
            </w:r>
          </w:p>
        </w:tc>
        <w:tc>
          <w:tcPr>
            <w:tcW w:w="6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Концентрация меди раствора  при разбавлении в 16 раз</w:t>
            </w:r>
          </w:p>
        </w:tc>
      </w:tr>
      <w:tr w:rsidR="00E50990"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0.021</w:t>
            </w:r>
          </w:p>
        </w:tc>
        <w:tc>
          <w:tcPr>
            <w:tcW w:w="6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</w:t>
            </w:r>
          </w:p>
        </w:tc>
      </w:tr>
      <w:tr w:rsidR="00E50990"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0.040</w:t>
            </w:r>
          </w:p>
        </w:tc>
        <w:tc>
          <w:tcPr>
            <w:tcW w:w="6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</w:t>
            </w:r>
          </w:p>
        </w:tc>
      </w:tr>
      <w:tr w:rsidR="00E50990"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0.049</w:t>
            </w:r>
          </w:p>
        </w:tc>
        <w:tc>
          <w:tcPr>
            <w:tcW w:w="6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990" w:rsidRDefault="00527CF5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</w:t>
            </w:r>
          </w:p>
        </w:tc>
      </w:tr>
    </w:tbl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 xml:space="preserve">Образец №1 — вода медированая 5 минут   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Образец №2 — вода медированая 10 минут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Образец №3 — вода медированая 15 минут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Концентрация меди в неразбавленных растворах образцов 1,2,3:</w:t>
      </w:r>
    </w:p>
    <w:p w:rsidR="00E50990" w:rsidRDefault="00527CF5">
      <w:pPr>
        <w:pStyle w:val="Textbody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0.36 * 16 = 5,976мг/л</w:t>
      </w:r>
    </w:p>
    <w:p w:rsidR="00E50990" w:rsidRDefault="00527CF5">
      <w:pPr>
        <w:pStyle w:val="Textbody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0,70 * 16 = 11,703мг/л</w:t>
      </w:r>
    </w:p>
    <w:p w:rsidR="00E50990" w:rsidRDefault="00527CF5">
      <w:pPr>
        <w:pStyle w:val="Textbody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0,86 * 16 = 14,193 мг/л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Полная методика количественного определения меди в Приложении 2 (ГОСТ 4388-72)</w:t>
      </w:r>
    </w:p>
    <w:p w:rsidR="00E50990" w:rsidRDefault="00527CF5">
      <w:pPr>
        <w:pStyle w:val="Textbody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Анализ структуры и свойств полученных растворов меди</w:t>
      </w:r>
    </w:p>
    <w:p w:rsidR="00E50990" w:rsidRDefault="00527CF5">
      <w:pPr>
        <w:pStyle w:val="Textbody"/>
        <w:rPr>
          <w:sz w:val="26"/>
          <w:szCs w:val="26"/>
        </w:rPr>
      </w:pPr>
      <w:r>
        <w:rPr>
          <w:sz w:val="26"/>
          <w:szCs w:val="26"/>
        </w:rPr>
        <w:t>Т.к. при добавлении медного купороса в дистиллированную воду наблюдаем окрашивание воды в голубой цвет, а при добавлении в бутилированную - осадок основных солей, что свидетельствует о наличии медных ионов. Но получившиеся ранее растворы, не окрашиваются, и мы предполагаем, что медь находится в КДС и заряд ее гранулы положительный.</w:t>
      </w:r>
    </w:p>
    <w:p w:rsidR="00E50990" w:rsidRDefault="00527CF5">
      <w:pPr>
        <w:pStyle w:val="Textbody"/>
      </w:pPr>
      <w:r>
        <w:rPr>
          <w:sz w:val="26"/>
          <w:szCs w:val="26"/>
        </w:rPr>
        <w:t>Исходя из этого, мы добавляли различные соли сильных электролитов с различными зарядами их анионов и</w:t>
      </w:r>
      <w:r>
        <w:t xml:space="preserve"> </w:t>
      </w:r>
      <w:r>
        <w:rPr>
          <w:sz w:val="26"/>
          <w:szCs w:val="26"/>
        </w:rPr>
        <w:t>т.к. способность понижать устойчивость комплекса напрямую зависит от заряда, то мы должны видеть эту зависимость на спектре. Сначала в 3 пробирки с 25мл воды, медированной 15 минут, добавляли растворы электролитов различных концентраций, но на раствор это никак не повлияло. Следовательно, к тому же раствору необходимо добавить сухие электролиты. В первую пробирку был добавлен NaCl массой 0.05грамм, а в оставшиеся пробирки Na2SO4 и Na3PO4 в эквивалентных количествах, что по массе составило 0.06 и 0.045 грамм соответственно. С этих растворов, а также с растворов NaCl и Na2SO4 после нагревания в микроволновке(30с) был снят спектр, на котором видно, что электролит NaCl не оказал воздействие на раствор даже после нагревания, а Na3PO4 полностью провзаимодействовал с мицеллами и наблюдается осаждение комплекса. Следовательно, гранула вещества заряжена положительно, а оптимальным для изучения устойчивости  коллоидных растворов меди является электролит Na2SO4 т.к. он наиболее показательно осаждает комплексы меди. (График с полученными спектрами представлен в Приложении 3)</w:t>
      </w:r>
    </w:p>
    <w:p w:rsidR="00E50990" w:rsidRDefault="00527CF5">
      <w:pPr>
        <w:pStyle w:val="Textbody"/>
      </w:pPr>
      <w:r>
        <w:rPr>
          <w:sz w:val="26"/>
          <w:szCs w:val="26"/>
        </w:rPr>
        <w:t xml:space="preserve"> </w:t>
      </w:r>
    </w:p>
    <w:p w:rsidR="00E50990" w:rsidRDefault="00527CF5">
      <w:pPr>
        <w:pStyle w:val="Text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Вывод</w:t>
      </w:r>
    </w:p>
    <w:p w:rsidR="00E50990" w:rsidRDefault="00527CF5">
      <w:pPr>
        <w:pStyle w:val="Textbody"/>
      </w:pPr>
      <w:r>
        <w:rPr>
          <w:bCs/>
        </w:rPr>
        <w:t>Проделав данные опыты, было установлено, что при использовании прибора Цеппер, для медирования воды, образуются коллоидные растворы меди, которые обладают высокой устойчивостью к осаждению. И т.к. гранула данного коллоидного раствора заряжена положительно, то его можно  использовать как антибактериальное средство. Безусловно, антибактерицидный эффект должен быть оценен в процессе специальных исследований.</w:t>
      </w:r>
      <w:bookmarkStart w:id="0" w:name="_GoBack"/>
      <w:bookmarkEnd w:id="0"/>
    </w:p>
    <w:sectPr w:rsidR="00E50990">
      <w:pgSz w:w="11905" w:h="16837"/>
      <w:pgMar w:top="480" w:right="925" w:bottom="697" w:left="8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CF5" w:rsidRDefault="00527CF5">
      <w:r>
        <w:separator/>
      </w:r>
    </w:p>
  </w:endnote>
  <w:endnote w:type="continuationSeparator" w:id="0">
    <w:p w:rsidR="00527CF5" w:rsidRDefault="0052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, serif">
    <w:altName w:val="Times New Roman"/>
    <w:charset w:val="00"/>
    <w:family w:val="auto"/>
    <w:pitch w:val="default"/>
  </w:font>
  <w:font w:name="Calibri, sans-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CF5" w:rsidRDefault="00527CF5">
      <w:r>
        <w:rPr>
          <w:color w:val="000000"/>
        </w:rPr>
        <w:separator/>
      </w:r>
    </w:p>
  </w:footnote>
  <w:footnote w:type="continuationSeparator" w:id="0">
    <w:p w:rsidR="00527CF5" w:rsidRDefault="00527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A1EBD"/>
    <w:multiLevelType w:val="multilevel"/>
    <w:tmpl w:val="029C5CF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990"/>
    <w:rsid w:val="001F43E0"/>
    <w:rsid w:val="00217D3B"/>
    <w:rsid w:val="0050039D"/>
    <w:rsid w:val="00527CF5"/>
    <w:rsid w:val="00564E48"/>
    <w:rsid w:val="00E5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AA450-2CE1-41BD-B009-6C3A2946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a3">
    <w:name w:val="caption"/>
    <w:basedOn w:val="Standard"/>
    <w:next w:val="Textbody"/>
    <w:qFormat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6">
    <w:name w:val="Balloon Text"/>
    <w:basedOn w:val="a"/>
    <w:rPr>
      <w:rFonts w:ascii="Tahoma" w:hAnsi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a7">
    <w:name w:val="Текст выноски Знак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admin</cp:lastModifiedBy>
  <cp:revision>2</cp:revision>
  <cp:lastPrinted>2010-05-11T12:51:00Z</cp:lastPrinted>
  <dcterms:created xsi:type="dcterms:W3CDTF">2014-05-11T02:37:00Z</dcterms:created>
  <dcterms:modified xsi:type="dcterms:W3CDTF">2014-05-11T02:37:00Z</dcterms:modified>
</cp:coreProperties>
</file>