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7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Введение</w:t>
      </w:r>
    </w:p>
    <w:p w:rsidR="005011C9" w:rsidRPr="005011C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Совершенствование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бизнеса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условиях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рыночных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преобразований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стало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приоритетных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социально-экономического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Актуальность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проблемы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обусловлена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тем,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дело,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являясь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традиционной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предпринимательства,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направлено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увеличение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доходов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удовлетворение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потребностей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корпоративных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связанных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национальной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экономики.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Эти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потребности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интеграции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всемирное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хозяйство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глобализации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международных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валютно-кредитных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отношений,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повышения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объектов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продажи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становятся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шире,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охватывают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новые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страны.</w:t>
      </w:r>
    </w:p>
    <w:p w:rsidR="00DF292E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связи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значение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приобретает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изучение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опыта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бизнеса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наиболее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странах,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чтобы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решения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ряда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первоочередных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задач,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стоящих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перед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российской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банков.</w:t>
      </w:r>
    </w:p>
    <w:p w:rsidR="005011C9" w:rsidRPr="005011C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br w:type="page"/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  <w:lang w:val="ru"/>
        </w:rPr>
      </w:pPr>
      <w:r w:rsidRPr="005011C9">
        <w:rPr>
          <w:rFonts w:ascii="Times New Roman" w:hAnsi="Times New Roman"/>
          <w:b/>
          <w:sz w:val="28"/>
          <w:szCs w:val="24"/>
          <w:lang w:val="ru"/>
        </w:rPr>
        <w:t>1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Сберегательный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бизнес: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история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зарубежная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практика</w:t>
      </w:r>
    </w:p>
    <w:p w:rsidR="005011C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Исторически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сложилось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источником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были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сохраняются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депозиты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лиц.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хотя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предлагают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сравнительно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скромный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доход,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обладают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чертами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ликвидности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безопасности,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столь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важными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владельцев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относительно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ограниченных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т.е.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массовой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категории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являются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стабильными.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Объем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структура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меняются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воздействием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экономической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политики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государства.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Поэтому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некоторых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предлагают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депозитные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денежного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рынка,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доходы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чувствительны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изменению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краткосрочных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процентных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ставок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денежного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рынка,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номинации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характеристики,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отражающие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условия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местного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рынка.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Вторым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значимости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источником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состоящий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нераспределенной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прибыли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номинальной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стоимости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выпушенных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Сбербанком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акций.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Ноксередине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1980-х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гг.,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ряду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объективных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субъективных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причин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стал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быстро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сокращаться,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тогда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правительства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некоторых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принимать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социальные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(Закон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>Гарна-Сент-Же</w:t>
      </w:r>
      <w:r w:rsidRPr="005011C9">
        <w:rPr>
          <w:rFonts w:ascii="Times New Roman" w:hAnsi="Times New Roman"/>
          <w:sz w:val="28"/>
          <w:szCs w:val="24"/>
          <w:lang w:val="ru"/>
        </w:rPr>
        <w:t>рмсна).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 w:rsidRPr="005011C9">
        <w:rPr>
          <w:rFonts w:ascii="Times New Roman" w:hAnsi="Times New Roman"/>
          <w:sz w:val="28"/>
          <w:szCs w:val="24"/>
          <w:lang w:val="ru"/>
        </w:rPr>
        <w:t>Разрешающие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случае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необходимости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выпускать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сертификаты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обеспеченных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корпорацией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страхования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ссудно-сб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Pr="005011C9">
        <w:rPr>
          <w:rFonts w:ascii="Times New Roman" w:hAnsi="Times New Roman"/>
          <w:sz w:val="28"/>
          <w:szCs w:val="24"/>
          <w:lang w:val="ru"/>
        </w:rPr>
        <w:t>р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Pr="005011C9">
        <w:rPr>
          <w:rFonts w:ascii="Times New Roman" w:hAnsi="Times New Roman"/>
          <w:sz w:val="28"/>
          <w:szCs w:val="24"/>
          <w:lang w:val="ru"/>
        </w:rPr>
        <w:t>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ассоциаций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</w:rPr>
        <w:t>(</w:t>
      </w:r>
      <w:r w:rsidRPr="005011C9">
        <w:rPr>
          <w:rFonts w:ascii="Times New Roman" w:hAnsi="Times New Roman"/>
          <w:sz w:val="28"/>
          <w:szCs w:val="24"/>
          <w:lang w:val="en-US"/>
        </w:rPr>
        <w:t>ESLIC</w:t>
      </w:r>
      <w:r w:rsidRPr="005011C9">
        <w:rPr>
          <w:rFonts w:ascii="Times New Roman" w:hAnsi="Times New Roman"/>
          <w:sz w:val="28"/>
          <w:szCs w:val="24"/>
        </w:rPr>
        <w:t>).</w:t>
      </w:r>
      <w:r w:rsidR="005011C9">
        <w:rPr>
          <w:rFonts w:ascii="Times New Roman" w:hAnsi="Times New Roman"/>
          <w:sz w:val="28"/>
          <w:szCs w:val="24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Кроме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того,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отменив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старые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ограничения,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разрешил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пролонгирование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ссуд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и</w:t>
      </w:r>
      <w:r w:rsidRPr="005011C9">
        <w:rPr>
          <w:rFonts w:ascii="Times New Roman" w:hAnsi="Times New Roman"/>
          <w:sz w:val="28"/>
          <w:szCs w:val="24"/>
          <w:lang w:val="ru"/>
        </w:rPr>
        <w:t>ли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щн</w:t>
      </w:r>
      <w:r w:rsidRPr="005011C9">
        <w:rPr>
          <w:rFonts w:ascii="Times New Roman" w:hAnsi="Times New Roman"/>
          <w:sz w:val="28"/>
          <w:szCs w:val="24"/>
          <w:lang w:val="ru"/>
        </w:rPr>
        <w:t>о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строительство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путем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замены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старых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закладных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низкими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процентными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ставками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новые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боле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высокими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процентами.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отличие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ссуд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н</w:t>
      </w:r>
      <w:r w:rsidRPr="005011C9">
        <w:rPr>
          <w:rFonts w:ascii="Times New Roman" w:hAnsi="Times New Roman"/>
          <w:sz w:val="28"/>
          <w:szCs w:val="24"/>
          <w:lang w:val="ru"/>
        </w:rPr>
        <w:t>о-сб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Pr="005011C9">
        <w:rPr>
          <w:rFonts w:ascii="Times New Roman" w:hAnsi="Times New Roman"/>
          <w:sz w:val="28"/>
          <w:szCs w:val="24"/>
          <w:lang w:val="ru"/>
        </w:rPr>
        <w:t>р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Pr="005011C9">
        <w:rPr>
          <w:rFonts w:ascii="Times New Roman" w:hAnsi="Times New Roman"/>
          <w:sz w:val="28"/>
          <w:szCs w:val="24"/>
          <w:lang w:val="ru"/>
        </w:rPr>
        <w:t>гат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Pr="005011C9">
        <w:rPr>
          <w:rFonts w:ascii="Times New Roman" w:hAnsi="Times New Roman"/>
          <w:sz w:val="28"/>
          <w:szCs w:val="24"/>
          <w:lang w:val="ru"/>
        </w:rPr>
        <w:t>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ассоциаций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США)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сохраняют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именуемые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резервными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счетами,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начисляются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доходы,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выплачиваемые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виде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дивидендов.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годы,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сводимые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прибылью,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пополняются,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защищая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возможных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потерь.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функция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резервных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—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поддержать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Pr="005011C9">
        <w:rPr>
          <w:rFonts w:ascii="Times New Roman" w:hAnsi="Times New Roman"/>
          <w:sz w:val="28"/>
          <w:szCs w:val="24"/>
          <w:lang w:val="ru"/>
        </w:rPr>
        <w:t>рбан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даже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потер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доходов.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условиях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растущей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конкуренции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стараются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быть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универсальными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финансовыми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самым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расширить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оказываемых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увеличения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структуре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пассивов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чековых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расширения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карточками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перевода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текущие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т.д.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Важным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источником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остаются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приказом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—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приносящий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проценты,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позволяющие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выписывать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приказы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(чеки),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используя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данного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клиента.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банки-централи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представляют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достаточно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стройную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систему,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формируются,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прежде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всего,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учредителей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—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самоуправления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Поэтому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наряду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юридическими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лицами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выступают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учредителями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банков-централей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существу,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становятся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государственными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учреждениями.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менее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соответствии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принятой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типизацией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>все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делятся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отдельные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группы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типичным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признакам:</w:t>
      </w:r>
    </w:p>
    <w:p w:rsidR="008A0B0D" w:rsidRPr="005011C9" w:rsidRDefault="008A0B0D" w:rsidP="005011C9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создаваемые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управляемые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соответствующими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власти;</w:t>
      </w:r>
    </w:p>
    <w:p w:rsidR="008A0B0D" w:rsidRPr="005011C9" w:rsidRDefault="008A0B0D" w:rsidP="005011C9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кредитные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создаваемые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специальных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выполняющие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>осо</w:t>
      </w:r>
      <w:r w:rsidRPr="005011C9">
        <w:rPr>
          <w:rFonts w:ascii="Times New Roman" w:hAnsi="Times New Roman"/>
          <w:sz w:val="28"/>
          <w:szCs w:val="24"/>
          <w:lang w:val="ru"/>
        </w:rPr>
        <w:t>бые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задачи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(сельскохозяйственный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рентный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немецкий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выравнивания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др.);</w:t>
      </w:r>
    </w:p>
    <w:p w:rsidR="008A0B0D" w:rsidRPr="005011C9" w:rsidRDefault="008A0B0D" w:rsidP="005011C9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публично-правовые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группе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относится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Центральный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(ДойчеБундссбанк)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могут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быть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причислены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частноправовые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государство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бытьлибо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единоличным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собственником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либо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держателем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определенной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участия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капитале.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Между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и-жиро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централями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существует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определенное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разделение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труда.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Если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сберкассы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занимаются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«розничным»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бизнесом,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т.е.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оказывают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населению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централн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обслуживают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интересы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крупной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клиентуры,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выполняют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денежном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рынке.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Поскольку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смыслом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было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остается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поощрение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склонности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сбережению,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региональной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социальной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разрешается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выполнение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противоречащее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поставленным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целям.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Особенностью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организационно-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правовая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привязка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определенной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местности,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следовательно,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социально-экономическим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потребностям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отдельных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территорий.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означает,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каждом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населенном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пункте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создается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сберкасса,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исключает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межбанковскую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конкуренцию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территории.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время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они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должны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конкурировать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организациями.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Ограничение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дедовой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выполняемых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определенной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территорией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целесообразным,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поскольку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наилучшим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образом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известны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условия,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характерные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данного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региона.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Благодаря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этому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обеспечивается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равномерное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расширение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инфраструктуры,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сохраняются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препятствия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нежелательной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конкуренции.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Однако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слишком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строгий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подход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применению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регионального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принципа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нанести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ущерб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интересам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предполагает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возможные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текущие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изменения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реализации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принципов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формирования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Если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пассивов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средств)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составляют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депозиты,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приходится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ссуды.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Однако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последние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годы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отрасли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значительно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сокращается.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влияние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оказывает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несколько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факторов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(меры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регулированию,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продажа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займов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вторичном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рынке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т.д.),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значение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высокие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риски,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присущие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операциям.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например,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2006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—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2007гг.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риски,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связанные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невозвратом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ссуд,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приобрели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массовый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характер.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стало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главных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причин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развернувшегося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кризиса.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Несмотря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сосредоточена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кредите.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Ссуды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недвижимость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зачастую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достигают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50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%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совокупных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отрасли.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Второе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место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величине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приходится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бумаг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государства.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состав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регулируется.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Государственные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бумаги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всегда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приемлемы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качестве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инвестиций.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целом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формированию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регулируется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законами,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текущими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законодательными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мерами,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относятся:</w:t>
      </w:r>
    </w:p>
    <w:p w:rsidR="008A0B0D" w:rsidRPr="005011C9" w:rsidRDefault="008A0B0D" w:rsidP="005011C9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резервные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требования;</w:t>
      </w:r>
    </w:p>
    <w:p w:rsidR="008A0B0D" w:rsidRPr="005011C9" w:rsidRDefault="008A0B0D" w:rsidP="005011C9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минимальный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размер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капитала;</w:t>
      </w:r>
    </w:p>
    <w:p w:rsidR="008A0B0D" w:rsidRPr="005011C9" w:rsidRDefault="008A0B0D" w:rsidP="005011C9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процентные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ставки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депозитам;</w:t>
      </w:r>
    </w:p>
    <w:p w:rsidR="008A0B0D" w:rsidRPr="005011C9" w:rsidRDefault="008A0B0D" w:rsidP="005011C9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налогообложение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надзор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деятель</w:t>
      </w:r>
      <w:r w:rsidRPr="005011C9">
        <w:rPr>
          <w:rFonts w:ascii="Times New Roman" w:hAnsi="Times New Roman"/>
          <w:sz w:val="28"/>
          <w:szCs w:val="24"/>
          <w:lang w:val="ru"/>
        </w:rPr>
        <w:t>ностью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осуществляется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стороны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субъектов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Федерации.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надзор,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отменяющий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дублирующий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контрольных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функций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ведомства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надзору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организациями,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находится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компетенции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правительства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Они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принимают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необходимые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чтобы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соответствовала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уставам.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Социальная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сущность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дела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определяется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рядом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обстоятельств:</w:t>
      </w:r>
    </w:p>
    <w:p w:rsidR="00DF292E" w:rsidRPr="005011C9" w:rsidRDefault="00DF292E" w:rsidP="005011C9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во-первых,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сравнительно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высокая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обороте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страны;</w:t>
      </w:r>
    </w:p>
    <w:p w:rsidR="00DF292E" w:rsidRPr="005011C9" w:rsidRDefault="00DF292E" w:rsidP="005011C9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во-вторых,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пассивов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сберкасс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составляют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сбережения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населения;</w:t>
      </w:r>
    </w:p>
    <w:p w:rsidR="00DF292E" w:rsidRPr="005011C9" w:rsidRDefault="00DF292E" w:rsidP="005011C9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в-третьих,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60%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граждан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учреждениях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различных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организации;</w:t>
      </w:r>
    </w:p>
    <w:p w:rsidR="00DF292E" w:rsidRPr="005011C9" w:rsidRDefault="00DF292E" w:rsidP="005011C9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в-четвертых,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головные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традиционно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занимают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ведущее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положение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экономической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социальной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жизни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страны.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Они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представляют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65%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коммунальных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они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располагают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большей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частью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банкоматов,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следовательно,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выполняют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большее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число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реализации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электронных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расчетов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платежей.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было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отмечено,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помимо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государственных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частноправовых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Они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организованы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виде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объединений,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поддерживаемых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населением.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задачи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отличаются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государственных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Единственное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отличие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заключается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распространяются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регулирующие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кроме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случая.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запрещено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совершать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спекулятивные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сделки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время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>все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одинаково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распространяется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действие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деле».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Другой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важной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особенностью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дела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сочетание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специальных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норм,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обеспечивающих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функциональную,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организационные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стороны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функциональная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сторона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сберкасс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регулируется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деле»,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организационная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надзор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деятельностью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осуществляется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стороны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членов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правительства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(министров)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Кроме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того,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социальное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ведомство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профессионального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надзора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бизнесом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Надзорные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функции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администраций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(министров)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регулирующих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учитывают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характерные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особенности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банков-жироцентралей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(ландссбанков)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исходя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устанавливают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следующие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главные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деятельности:</w:t>
      </w:r>
    </w:p>
    <w:p w:rsidR="008A0B0D" w:rsidRPr="005011C9" w:rsidRDefault="008A0B0D" w:rsidP="005011C9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банковское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обслуживание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субъектов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Федерации;</w:t>
      </w:r>
    </w:p>
    <w:p w:rsidR="008A0B0D" w:rsidRPr="005011C9" w:rsidRDefault="008A0B0D" w:rsidP="005011C9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осуществление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безналичных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расчетов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между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учреждениями,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управление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свободными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ликвидными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средствами;</w:t>
      </w:r>
    </w:p>
    <w:p w:rsidR="008A0B0D" w:rsidRPr="005011C9" w:rsidRDefault="008A0B0D" w:rsidP="005011C9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рефинансирование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касс;</w:t>
      </w:r>
    </w:p>
    <w:p w:rsidR="008A0B0D" w:rsidRPr="005011C9" w:rsidRDefault="008A0B0D" w:rsidP="005011C9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предоставление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содействующих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региональной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экономики.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осуществления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отмеченных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направлениях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земельные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банки-ж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и</w:t>
      </w:r>
      <w:r w:rsidRPr="005011C9">
        <w:rPr>
          <w:rFonts w:ascii="Times New Roman" w:hAnsi="Times New Roman"/>
          <w:sz w:val="28"/>
          <w:szCs w:val="24"/>
          <w:lang w:val="ru"/>
        </w:rPr>
        <w:t>роцентрали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(ландссбанки)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выступают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как:</w:t>
      </w:r>
    </w:p>
    <w:p w:rsidR="008A0B0D" w:rsidRPr="005011C9" w:rsidRDefault="008A0B0D" w:rsidP="005011C9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государственные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удовлетворяющие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текущие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потребности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субъектов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землях:</w:t>
      </w:r>
    </w:p>
    <w:p w:rsidR="008A0B0D" w:rsidRPr="005011C9" w:rsidRDefault="008A0B0D" w:rsidP="005011C9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головные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касс;</w:t>
      </w:r>
    </w:p>
    <w:p w:rsidR="008A0B0D" w:rsidRPr="005011C9" w:rsidRDefault="008A0B0D" w:rsidP="005011C9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банки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регионального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развития.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Отличительной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особенностью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ландссбанко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образом,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выступает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административное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регулирование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стороны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исполнительной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власти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субъектов.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Банкротство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большого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количества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заемщиков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касс,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работающих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кредитования,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становится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массовым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явлением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экономикой.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Главной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причиной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является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невозврат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ранее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предоставленных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очередь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обусловливается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следующими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факторами:</w:t>
      </w:r>
    </w:p>
    <w:p w:rsidR="008A0B0D" w:rsidRPr="005011C9" w:rsidRDefault="008A0B0D" w:rsidP="005011C9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отсутствием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заемщика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достаточного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размера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собственного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капитала;</w:t>
      </w:r>
    </w:p>
    <w:p w:rsidR="008A0B0D" w:rsidRPr="005011C9" w:rsidRDefault="008A0B0D" w:rsidP="005011C9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наличием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долгосрочных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вложений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краткосрочного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капитала;</w:t>
      </w:r>
    </w:p>
    <w:p w:rsidR="008A0B0D" w:rsidRPr="005011C9" w:rsidRDefault="008A0B0D" w:rsidP="005011C9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увеличением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издержек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снижением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уровня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рентабельности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производства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товаров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Оценка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сравнительного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значения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отдельных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факторов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банкротства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предприятий-заемщиков,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проведенная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рубежом,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установила,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внешние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объективные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причины,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например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трудности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сбытом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продукции,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отраслевой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кризис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т.д..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>ус</w:t>
      </w:r>
      <w:r w:rsidRPr="005011C9">
        <w:rPr>
          <w:rFonts w:ascii="Times New Roman" w:hAnsi="Times New Roman"/>
          <w:sz w:val="28"/>
          <w:szCs w:val="24"/>
          <w:lang w:val="ru"/>
        </w:rPr>
        <w:t>тупают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значению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внутренним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субъективным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факторам.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Неопытность,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некомпетентность,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>расто</w:t>
      </w:r>
      <w:r w:rsidRPr="005011C9">
        <w:rPr>
          <w:rFonts w:ascii="Times New Roman" w:hAnsi="Times New Roman"/>
          <w:sz w:val="28"/>
          <w:szCs w:val="24"/>
          <w:lang w:val="ru"/>
        </w:rPr>
        <w:t>чительность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кадров-специалистов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приводят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увеличению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расходов,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снижению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рентабельности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производства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Указанные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обстоятельства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предъявляют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требования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контролю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стороны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ситуацией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предприятиях-заемщиках.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Отсутствие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контроля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деятельностью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заемщиков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ипотечного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последнее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время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стало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причин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экономического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кризиса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некоторых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странах.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качестве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индикаторов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возможных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затруднений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данном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случае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рассматривать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чрезмерную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зависимость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отдельных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фирм,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строительных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компаний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заемщиков,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накопивших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крупные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долги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кредитам,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слишком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высокие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запасы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нереализованной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продукции,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хроническое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превышение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открытых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т.д.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выявлении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должника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затруднений,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например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временной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нехватки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выполнения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обязательств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перед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кредитором,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инициирует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процедуру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внесудебного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предостережения,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вступает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должником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контакт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целях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найти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пути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взаимоприемлемого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разрешения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проблем.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если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заемщик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осуществляет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изъявляет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готовности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найти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совместно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возможное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решение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возникших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задач,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направляет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ему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последнее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предупреждение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извещением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расторжении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отношений.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Кроме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того,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вправе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считать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должника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несостоятельным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арестовывать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бумаги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депонированные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банке.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случаях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и-кредиторам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принимаются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удовлетворению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претензий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движимого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недвижимого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имущества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должника.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касается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факторов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банкротства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самих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разделить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две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группы: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внешние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внутренние.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Внешние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факторы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настолько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многообразны,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путем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8A0B0D" w:rsidRPr="005011C9">
        <w:rPr>
          <w:rFonts w:ascii="Times New Roman" w:hAnsi="Times New Roman"/>
          <w:sz w:val="28"/>
          <w:szCs w:val="24"/>
        </w:rPr>
        <w:t>регрес</w:t>
      </w:r>
      <w:r w:rsidRPr="005011C9">
        <w:rPr>
          <w:rFonts w:ascii="Times New Roman" w:hAnsi="Times New Roman"/>
          <w:sz w:val="28"/>
          <w:szCs w:val="24"/>
          <w:lang w:val="ru"/>
        </w:rPr>
        <w:t>сио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н</w:t>
      </w:r>
      <w:r w:rsidRPr="005011C9">
        <w:rPr>
          <w:rFonts w:ascii="Times New Roman" w:hAnsi="Times New Roman"/>
          <w:sz w:val="28"/>
          <w:szCs w:val="24"/>
          <w:lang w:val="ru"/>
        </w:rPr>
        <w:t>но-корреляционного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анализа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выделить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наиболее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существенные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них.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Например,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изменение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общественно-экономической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ситуации,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утрата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доверия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публики,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массовое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изъятие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Однако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большинство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внешних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факторов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количественной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характеристики,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ввиду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чего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трудно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измерять,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оценивать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анализировать.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время,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убеждают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исследователи,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подавляющее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большинство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банкротств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сводится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конечном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итоге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внутренним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причинам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(факторам),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ошибочная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политика,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некомпетентность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руководства,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нарушение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действующих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нормативов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т.д.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отличие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предприятий-заемщиков,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имеют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сравнительно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благоприятные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возможности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преодоления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временных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затруднений,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именно:</w:t>
      </w:r>
    </w:p>
    <w:p w:rsidR="008A0B0D" w:rsidRPr="005011C9" w:rsidRDefault="008A0B0D" w:rsidP="005011C9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оплата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межбанковского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кредита;</w:t>
      </w:r>
    </w:p>
    <w:p w:rsidR="008A0B0D" w:rsidRPr="005011C9" w:rsidRDefault="008A0B0D" w:rsidP="005011C9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рефинансирование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через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центральный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т.п.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время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указанное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обстоятельство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усилить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панику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вкладчиков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возникновении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признаков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платежных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затруднений.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утрата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доверия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резко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снижает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рыночную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стоимость,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самым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утрачивает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возможность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проведения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высокодоходных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пассивных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Важнейшую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роль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решении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проблем,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связанных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банкротством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предприятий-заемщиков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«проблемных»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рубежом,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играет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страхования,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выполняет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несколько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функций:</w:t>
      </w:r>
    </w:p>
    <w:p w:rsidR="008A0B0D" w:rsidRPr="005011C9" w:rsidRDefault="008A0B0D" w:rsidP="005011C9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обеспечение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стабильности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укрепление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доверия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системе;</w:t>
      </w:r>
    </w:p>
    <w:p w:rsidR="008A0B0D" w:rsidRPr="005011C9" w:rsidRDefault="008A0B0D" w:rsidP="005011C9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защита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интересов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мелких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вкладчиков;</w:t>
      </w:r>
    </w:p>
    <w:p w:rsidR="008A0B0D" w:rsidRPr="005011C9" w:rsidRDefault="008A0B0D" w:rsidP="005011C9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минимизация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издержек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страхования;</w:t>
      </w:r>
    </w:p>
    <w:p w:rsidR="008A0B0D" w:rsidRPr="005011C9" w:rsidRDefault="008A0B0D" w:rsidP="005011C9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содействие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слиянии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«покупки-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присоединения»,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санация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Выполнение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функций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предполагает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активное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участие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истемы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депозитного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8A0B0D" w:rsidRPr="005011C9">
        <w:rPr>
          <w:rFonts w:ascii="Times New Roman" w:hAnsi="Times New Roman"/>
          <w:sz w:val="28"/>
          <w:szCs w:val="24"/>
          <w:lang w:val="ru"/>
        </w:rPr>
        <w:t>страхования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фондов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общественных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объединений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оздоровлении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оказавшихся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грани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банкротства.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каждая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учитывает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специфические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особенности,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сложившиеся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национальной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системе.</w:t>
      </w:r>
    </w:p>
    <w:p w:rsidR="00DF292E" w:rsidRPr="005011C9" w:rsidRDefault="007D4CD7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>
        <w:rPr>
          <w:rFonts w:ascii="Times New Roman" w:hAnsi="Times New Roman"/>
          <w:sz w:val="28"/>
          <w:szCs w:val="24"/>
          <w:lang w:val="ru"/>
        </w:rPr>
        <w:t xml:space="preserve">Так,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например,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Германии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Фонды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страхования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вкладов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занимаются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оказанием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необходимой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помощи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интересах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вкладчиков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недопущении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снижения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доверия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частным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банкам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случае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возможных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платежных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DF292E" w:rsidRPr="005011C9">
        <w:rPr>
          <w:rFonts w:ascii="Times New Roman" w:hAnsi="Times New Roman"/>
          <w:sz w:val="28"/>
          <w:szCs w:val="24"/>
          <w:lang w:val="ru"/>
        </w:rPr>
        <w:t>затруднений.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Наряду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качестве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срочных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могут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использоваться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такие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как:</w:t>
      </w:r>
    </w:p>
    <w:p w:rsidR="00DF292E" w:rsidRPr="005011C9" w:rsidRDefault="00DF292E" w:rsidP="005011C9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временное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закрытие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банка:</w:t>
      </w:r>
    </w:p>
    <w:p w:rsidR="00DF292E" w:rsidRPr="005011C9" w:rsidRDefault="00DF292E" w:rsidP="005011C9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запрет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осуществление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операций;</w:t>
      </w:r>
    </w:p>
    <w:p w:rsidR="00DF292E" w:rsidRPr="005011C9" w:rsidRDefault="00DF292E" w:rsidP="005011C9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запрет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широкое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распространение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практика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«покупки-присоединения»,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санация,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когда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корпорация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страхования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оказывать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помощь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угрозе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закрытия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застрахованного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используется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несколько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методов:</w:t>
      </w:r>
    </w:p>
    <w:p w:rsidR="00DF292E" w:rsidRPr="005011C9" w:rsidRDefault="00DF292E" w:rsidP="005011C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помощь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оказывается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непосредственно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тому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банку,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испытывает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затруднения;</w:t>
      </w:r>
    </w:p>
    <w:p w:rsidR="00DF292E" w:rsidRPr="005011C9" w:rsidRDefault="00DF292E" w:rsidP="005011C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оказывается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содействие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слиянии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данного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устойчивыми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отношении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банками;</w:t>
      </w:r>
    </w:p>
    <w:p w:rsidR="00DF292E" w:rsidRPr="005011C9" w:rsidRDefault="00DF292E" w:rsidP="005011C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оказание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помощи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компании,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которая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контролирует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неплатежеспособный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Деятельность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Фонда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страхования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Германии,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корпорации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страхования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вкладов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США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подобных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организациях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странах,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направленная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решение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проблем,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связанных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банкротством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должна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дополняться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предотвращению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кризисных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явлений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экономике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целом,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именно:</w:t>
      </w:r>
    </w:p>
    <w:p w:rsidR="00DF292E" w:rsidRPr="005011C9" w:rsidRDefault="00DF292E" w:rsidP="005011C9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сбалансированность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макроэкономической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политики;</w:t>
      </w:r>
    </w:p>
    <w:p w:rsidR="00DF292E" w:rsidRPr="005011C9" w:rsidRDefault="00DF292E" w:rsidP="005011C9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совершенствование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надзора.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Эти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направляются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первую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очередь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усиление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борьбы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инфляцией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стабильное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отраслей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экономики.</w:t>
      </w:r>
    </w:p>
    <w:p w:rsidR="005011C9" w:rsidRDefault="005011C9" w:rsidP="005011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ru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  <w:lang w:val="ru"/>
        </w:rPr>
      </w:pPr>
      <w:r w:rsidRPr="005011C9">
        <w:rPr>
          <w:rFonts w:ascii="Times New Roman" w:hAnsi="Times New Roman"/>
          <w:b/>
          <w:sz w:val="28"/>
          <w:szCs w:val="24"/>
          <w:lang w:val="ru"/>
        </w:rPr>
        <w:t>2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Сберегательный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бизнес: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российская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практика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(на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примере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ОАО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«Сбербанк»)</w:t>
      </w:r>
    </w:p>
    <w:p w:rsidR="005011C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Исследование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источников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формирования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средств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ведущих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анализ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основных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сделали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возможной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разработку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ряда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предложений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практики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Сбербанка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территориальных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разработки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распределены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группы.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первой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группе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отнесены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предложения,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обеспечивающие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улучшение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качества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сервиса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повышение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скорости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проведения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="007D4CD7">
        <w:rPr>
          <w:rFonts w:ascii="Times New Roman" w:hAnsi="Times New Roman"/>
          <w:sz w:val="28"/>
          <w:szCs w:val="24"/>
          <w:lang w:val="ru"/>
        </w:rPr>
        <w:t>банков</w:t>
      </w:r>
      <w:r w:rsidRPr="005011C9">
        <w:rPr>
          <w:rFonts w:ascii="Times New Roman" w:hAnsi="Times New Roman"/>
          <w:sz w:val="28"/>
          <w:szCs w:val="24"/>
          <w:lang w:val="ru"/>
        </w:rPr>
        <w:t>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населения.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ним,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частности,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относятся:</w:t>
      </w:r>
    </w:p>
    <w:p w:rsidR="00DF292E" w:rsidRPr="005011C9" w:rsidRDefault="00DF292E" w:rsidP="005011C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создание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организационной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структуры,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ответственной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международного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сервиса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регионах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охватом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территориальных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Сбербанка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России;</w:t>
      </w:r>
    </w:p>
    <w:p w:rsidR="00DF292E" w:rsidRPr="005011C9" w:rsidRDefault="00DF292E" w:rsidP="005011C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разработка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официальных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предложений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Сбербанка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организации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среднесрочного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поставок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техники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оборудования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наиболее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доступного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источника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привлечения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инвестиций;</w:t>
      </w:r>
    </w:p>
    <w:p w:rsidR="00DF292E" w:rsidRPr="005011C9" w:rsidRDefault="00DF292E" w:rsidP="005011C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разработка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мер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оптимизации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участия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Сбербанка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международной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корреспондентской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сети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других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каналах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получения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необходимой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информации.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Предложения,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относящиеся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второй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группе,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направлены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опыта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наращивании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объема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прежде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счет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привлечения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числа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крупных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корпораций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фирм,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обеспечение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долгосрочного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сотрудничества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каждым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крупных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предприятий,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находящихся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зоне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действия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что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приведет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формированию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устойчивых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портфелей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путем:</w:t>
      </w:r>
    </w:p>
    <w:p w:rsidR="00DF292E" w:rsidRPr="005011C9" w:rsidRDefault="00DF292E" w:rsidP="005011C9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расширения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обслуживания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внешнеэкономических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экспортно-импортных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операций;</w:t>
      </w:r>
    </w:p>
    <w:p w:rsidR="00DF292E" w:rsidRPr="005011C9" w:rsidRDefault="00DF292E" w:rsidP="005011C9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развития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инвестиционных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учреждений;</w:t>
      </w:r>
    </w:p>
    <w:p w:rsidR="00DF292E" w:rsidRPr="005011C9" w:rsidRDefault="00DF292E" w:rsidP="005011C9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увеличения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набора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клиринговых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валютах;</w:t>
      </w:r>
    </w:p>
    <w:p w:rsidR="00DF292E" w:rsidRPr="005011C9" w:rsidRDefault="00DF292E" w:rsidP="005011C9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определения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пакета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единой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европейской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валюте;</w:t>
      </w:r>
    </w:p>
    <w:p w:rsidR="00DF292E" w:rsidRPr="005011C9" w:rsidRDefault="00DF292E" w:rsidP="005011C9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увеличения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перечня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сфере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корпоративных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финансов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т.д.</w:t>
      </w: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третьей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фазе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относятся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предложения,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связанные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созданием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оптимальной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управления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рисками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системе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территориальных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Сбербанка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частности,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рекомендуется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специальная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рейтинговая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таблица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расчета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рисков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кредитовании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внешнеэкономических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сделок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всех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этапах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движения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товаров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учреждений.</w:t>
      </w:r>
    </w:p>
    <w:p w:rsidR="00A247D2" w:rsidRPr="000A7E11" w:rsidRDefault="00A247D2" w:rsidP="00A247D2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0A7E11">
        <w:rPr>
          <w:rFonts w:ascii="Times New Roman" w:hAnsi="Times New Roman"/>
          <w:b/>
          <w:color w:val="FFFFFF"/>
          <w:sz w:val="28"/>
          <w:szCs w:val="24"/>
          <w:lang w:val="ru"/>
        </w:rPr>
        <w:t>сберегательный бизнес депозит ипотечный</w:t>
      </w:r>
    </w:p>
    <w:p w:rsidR="005011C9" w:rsidRPr="00A247D2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br w:type="page"/>
      </w:r>
    </w:p>
    <w:p w:rsidR="00DF292E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  <w:lang w:val="ru"/>
        </w:rPr>
      </w:pPr>
      <w:r>
        <w:rPr>
          <w:rFonts w:ascii="Times New Roman" w:hAnsi="Times New Roman"/>
          <w:b/>
          <w:sz w:val="28"/>
          <w:szCs w:val="24"/>
          <w:lang w:val="ru"/>
        </w:rPr>
        <w:t>Заключение</w:t>
      </w:r>
    </w:p>
    <w:p w:rsidR="005011C9" w:rsidRPr="005011C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  <w:lang w:val="ru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целом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опыт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стран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российском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рынке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можно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дальнейшего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только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корпоративным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клиентам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физическим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лицам</w:t>
      </w:r>
      <w:r w:rsidR="007D4CD7">
        <w:rPr>
          <w:rFonts w:ascii="Times New Roman" w:hAnsi="Times New Roman"/>
          <w:sz w:val="28"/>
          <w:szCs w:val="24"/>
          <w:lang w:val="ru"/>
        </w:rPr>
        <w:t xml:space="preserve">, </w:t>
      </w:r>
      <w:r w:rsidRPr="005011C9">
        <w:rPr>
          <w:rFonts w:ascii="Times New Roman" w:hAnsi="Times New Roman"/>
          <w:sz w:val="28"/>
          <w:szCs w:val="24"/>
          <w:lang w:val="ru"/>
        </w:rPr>
        <w:t>но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осуществлении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инвестиционной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коммерческих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эмиссии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или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карт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инфраструктуры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обслуживания.</w:t>
      </w:r>
    </w:p>
    <w:p w:rsidR="00DF292E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Особое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значение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для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практики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Сбербанка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имеет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использование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опыта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зарубежных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сберегательных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институтов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развитию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консультационных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услуг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обслуживании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предпринимательской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своих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клиентов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(установление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корреспондентских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отношений,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оценка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кредитоспособности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клиента,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разработка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индивидуальных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схем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оптимизации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внешнеэкономической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совершенствование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банковского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маркетинга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т.д.).</w:t>
      </w:r>
    </w:p>
    <w:p w:rsidR="005011C9" w:rsidRPr="005011C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</w:p>
    <w:p w:rsidR="00DF292E" w:rsidRPr="005011C9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br w:type="page"/>
      </w:r>
    </w:p>
    <w:p w:rsidR="00DF292E" w:rsidRDefault="00DF292E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  <w:lang w:val="ru"/>
        </w:rPr>
      </w:pPr>
      <w:r w:rsidRPr="005011C9">
        <w:rPr>
          <w:rFonts w:ascii="Times New Roman" w:hAnsi="Times New Roman"/>
          <w:b/>
          <w:sz w:val="28"/>
          <w:szCs w:val="24"/>
          <w:lang w:val="ru"/>
        </w:rPr>
        <w:t>Список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b/>
          <w:sz w:val="28"/>
          <w:szCs w:val="24"/>
          <w:lang w:val="ru"/>
        </w:rPr>
        <w:t>использованной</w:t>
      </w:r>
      <w:r w:rsidR="005011C9">
        <w:rPr>
          <w:rFonts w:ascii="Times New Roman" w:hAnsi="Times New Roman"/>
          <w:b/>
          <w:sz w:val="28"/>
          <w:szCs w:val="24"/>
          <w:lang w:val="ru"/>
        </w:rPr>
        <w:t xml:space="preserve"> литературы</w:t>
      </w:r>
    </w:p>
    <w:p w:rsidR="005011C9" w:rsidRPr="005011C9" w:rsidRDefault="005011C9" w:rsidP="005011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  <w:lang w:val="ru"/>
        </w:rPr>
      </w:pP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Конституция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Российской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Федерации.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М.: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Юридическая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литература,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1994.</w:t>
      </w: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Гражданский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кодекс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Российской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Федерации,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ч.2.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-М.,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1996.</w:t>
      </w: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Федеральный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15.07.2002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Центральном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Российской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Федерации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(Банке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России)».</w:t>
      </w: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Федеральный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закон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от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03.02.1996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«О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банках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банковской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деятельности».</w:t>
      </w: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Банковское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дело.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Учебник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/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Под.ред.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Е.Ф.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Жукова.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М.: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ЮНИТИ,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2009.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456-473.</w:t>
      </w: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Клумфшид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Как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взять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кредит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банке.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М.: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ИНФРА-М,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1997.</w:t>
      </w: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ДжозлинР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В.,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ХамфризД.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К.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Банковский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маркетинг: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Введение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рыночное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планирование/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Пер.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анг.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М.,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1995.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С.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76.</w:t>
      </w:r>
    </w:p>
    <w:p w:rsidR="00DF292E" w:rsidRPr="005011C9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Самуэльсон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П.А.,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Нордхаус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В.Д.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Экономика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8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изд.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М,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2010.</w:t>
      </w:r>
    </w:p>
    <w:p w:rsidR="00DF292E" w:rsidRDefault="00DF292E" w:rsidP="005011C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ru"/>
        </w:rPr>
      </w:pPr>
      <w:r w:rsidRPr="005011C9">
        <w:rPr>
          <w:rFonts w:ascii="Times New Roman" w:hAnsi="Times New Roman"/>
          <w:sz w:val="28"/>
          <w:szCs w:val="24"/>
          <w:lang w:val="ru"/>
        </w:rPr>
        <w:t>Харрис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Л.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Денежная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теория.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-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М.: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Прогресс.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  <w:r w:rsidRPr="005011C9">
        <w:rPr>
          <w:rFonts w:ascii="Times New Roman" w:hAnsi="Times New Roman"/>
          <w:sz w:val="28"/>
          <w:szCs w:val="24"/>
          <w:lang w:val="ru"/>
        </w:rPr>
        <w:t>1999.</w:t>
      </w:r>
      <w:r w:rsidR="005011C9">
        <w:rPr>
          <w:rFonts w:ascii="Times New Roman" w:hAnsi="Times New Roman"/>
          <w:sz w:val="28"/>
          <w:szCs w:val="24"/>
          <w:lang w:val="ru"/>
        </w:rPr>
        <w:t xml:space="preserve"> </w:t>
      </w:r>
    </w:p>
    <w:p w:rsidR="00C77CDC" w:rsidRDefault="00C77CDC" w:rsidP="00C77CDC">
      <w:pPr>
        <w:spacing w:after="0" w:line="360" w:lineRule="auto"/>
        <w:jc w:val="both"/>
        <w:rPr>
          <w:rFonts w:ascii="Times New Roman" w:hAnsi="Times New Roman"/>
          <w:sz w:val="28"/>
          <w:szCs w:val="24"/>
          <w:lang w:val="ru"/>
        </w:rPr>
      </w:pPr>
    </w:p>
    <w:p w:rsidR="00C77CDC" w:rsidRPr="008B7473" w:rsidRDefault="00C77CDC" w:rsidP="00C77CDC">
      <w:pPr>
        <w:jc w:val="both"/>
        <w:rPr>
          <w:color w:val="FFFFFF"/>
          <w:sz w:val="28"/>
          <w:szCs w:val="28"/>
          <w:lang w:val="en-US"/>
        </w:rPr>
      </w:pPr>
    </w:p>
    <w:p w:rsidR="00C77CDC" w:rsidRPr="00C77CDC" w:rsidRDefault="00C77CDC" w:rsidP="00C77CDC">
      <w:pPr>
        <w:spacing w:after="0" w:line="360" w:lineRule="auto"/>
        <w:jc w:val="both"/>
        <w:rPr>
          <w:rFonts w:ascii="Times New Roman" w:hAnsi="Times New Roman"/>
          <w:sz w:val="28"/>
          <w:szCs w:val="24"/>
          <w:lang w:val="ru"/>
        </w:rPr>
      </w:pPr>
      <w:bookmarkStart w:id="0" w:name="_GoBack"/>
      <w:bookmarkEnd w:id="0"/>
    </w:p>
    <w:sectPr w:rsidR="00C77CDC" w:rsidRPr="00C77CDC" w:rsidSect="005011C9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635" w:rsidRDefault="00AF2635" w:rsidP="00DF292E">
      <w:pPr>
        <w:spacing w:after="0" w:line="240" w:lineRule="auto"/>
      </w:pPr>
      <w:r>
        <w:separator/>
      </w:r>
    </w:p>
  </w:endnote>
  <w:endnote w:type="continuationSeparator" w:id="0">
    <w:p w:rsidR="00AF2635" w:rsidRDefault="00AF2635" w:rsidP="00DF2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92E" w:rsidRDefault="00DF292E">
    <w:pPr>
      <w:pStyle w:val="a6"/>
      <w:jc w:val="center"/>
    </w:pPr>
  </w:p>
  <w:p w:rsidR="00DF292E" w:rsidRDefault="00DF29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635" w:rsidRDefault="00AF2635" w:rsidP="00DF292E">
      <w:pPr>
        <w:spacing w:after="0" w:line="240" w:lineRule="auto"/>
      </w:pPr>
      <w:r>
        <w:separator/>
      </w:r>
    </w:p>
  </w:footnote>
  <w:footnote w:type="continuationSeparator" w:id="0">
    <w:p w:rsidR="00AF2635" w:rsidRDefault="00AF2635" w:rsidP="00DF2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CDC" w:rsidRPr="00C77CDC" w:rsidRDefault="00C77CDC" w:rsidP="00C77CDC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CCC"/>
    <w:multiLevelType w:val="hybridMultilevel"/>
    <w:tmpl w:val="4B06B8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B2BC2"/>
    <w:multiLevelType w:val="hybridMultilevel"/>
    <w:tmpl w:val="E94C9F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7B01E2"/>
    <w:multiLevelType w:val="multilevel"/>
    <w:tmpl w:val="DAC8D96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7501274"/>
    <w:multiLevelType w:val="hybridMultilevel"/>
    <w:tmpl w:val="BD866D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91224"/>
    <w:multiLevelType w:val="hybridMultilevel"/>
    <w:tmpl w:val="D444B582"/>
    <w:lvl w:ilvl="0" w:tplc="2390C56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8160BA5"/>
    <w:multiLevelType w:val="hybridMultilevel"/>
    <w:tmpl w:val="BF965A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377B8B"/>
    <w:multiLevelType w:val="hybridMultilevel"/>
    <w:tmpl w:val="B1CECA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094AB0"/>
    <w:multiLevelType w:val="hybridMultilevel"/>
    <w:tmpl w:val="9DE0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3054E3"/>
    <w:multiLevelType w:val="hybridMultilevel"/>
    <w:tmpl w:val="869EDC1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3909D4"/>
    <w:multiLevelType w:val="hybridMultilevel"/>
    <w:tmpl w:val="D7AC8FFE"/>
    <w:lvl w:ilvl="0" w:tplc="B8B453D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66F525D"/>
    <w:multiLevelType w:val="hybridMultilevel"/>
    <w:tmpl w:val="5BFEB5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DD156F"/>
    <w:multiLevelType w:val="hybridMultilevel"/>
    <w:tmpl w:val="3140EB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004754"/>
    <w:multiLevelType w:val="hybridMultilevel"/>
    <w:tmpl w:val="6324C2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ED177AB"/>
    <w:multiLevelType w:val="hybridMultilevel"/>
    <w:tmpl w:val="F4F4F9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B7B"/>
    <w:rsid w:val="000A7E11"/>
    <w:rsid w:val="00217EF1"/>
    <w:rsid w:val="00282379"/>
    <w:rsid w:val="00294A09"/>
    <w:rsid w:val="005011C9"/>
    <w:rsid w:val="007D4CD7"/>
    <w:rsid w:val="007E4B72"/>
    <w:rsid w:val="008A0B0D"/>
    <w:rsid w:val="008B7473"/>
    <w:rsid w:val="00934DB0"/>
    <w:rsid w:val="00A247D2"/>
    <w:rsid w:val="00AF2635"/>
    <w:rsid w:val="00C77CDC"/>
    <w:rsid w:val="00DA2B7B"/>
    <w:rsid w:val="00DF292E"/>
    <w:rsid w:val="00F0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698B68-B0F8-4F06-BE3A-B4F9295B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DB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9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F292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F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DF292E"/>
    <w:rPr>
      <w:rFonts w:cs="Times New Roman"/>
    </w:rPr>
  </w:style>
  <w:style w:type="character" w:styleId="a8">
    <w:name w:val="Hyperlink"/>
    <w:uiPriority w:val="99"/>
    <w:rsid w:val="00C77CD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3112</Words>
  <Characters>17741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Гаитбек</dc:creator>
  <cp:keywords/>
  <dc:description/>
  <cp:lastModifiedBy>admin</cp:lastModifiedBy>
  <cp:revision>2</cp:revision>
  <dcterms:created xsi:type="dcterms:W3CDTF">2014-03-26T18:15:00Z</dcterms:created>
  <dcterms:modified xsi:type="dcterms:W3CDTF">2014-03-26T18:15:00Z</dcterms:modified>
</cp:coreProperties>
</file>