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14A" w:rsidRDefault="0092614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7B2CDA" w:rsidRDefault="007B2CDA" w:rsidP="007B2CDA">
      <w:pPr>
        <w:pStyle w:val="aff0"/>
        <w:rPr>
          <w:lang w:val="uk-UA"/>
        </w:rPr>
      </w:pPr>
    </w:p>
    <w:p w:rsidR="0092614A" w:rsidRDefault="0092614A" w:rsidP="007B2CDA">
      <w:pPr>
        <w:pStyle w:val="aff0"/>
        <w:rPr>
          <w:lang w:val="uk-UA"/>
        </w:rPr>
      </w:pPr>
    </w:p>
    <w:p w:rsidR="0092614A" w:rsidRDefault="00CA527F" w:rsidP="007B2CDA">
      <w:pPr>
        <w:pStyle w:val="aff0"/>
        <w:rPr>
          <w:lang w:val="uk-UA"/>
        </w:rPr>
      </w:pPr>
      <w:r w:rsidRPr="0092614A">
        <w:rPr>
          <w:lang w:val="uk-UA"/>
        </w:rPr>
        <w:t>Р</w:t>
      </w:r>
      <w:r w:rsidR="004842F8" w:rsidRPr="0092614A">
        <w:rPr>
          <w:lang w:val="uk-UA"/>
        </w:rPr>
        <w:t>озвит</w:t>
      </w:r>
      <w:r w:rsidRPr="0092614A">
        <w:rPr>
          <w:lang w:val="uk-UA"/>
        </w:rPr>
        <w:t>ок</w:t>
      </w:r>
      <w:r w:rsidR="004842F8" w:rsidRPr="0092614A">
        <w:rPr>
          <w:lang w:val="uk-UA"/>
        </w:rPr>
        <w:t xml:space="preserve"> стосунків </w:t>
      </w:r>
      <w:r w:rsidRPr="0092614A">
        <w:rPr>
          <w:lang w:val="uk-UA"/>
        </w:rPr>
        <w:t xml:space="preserve">України </w:t>
      </w:r>
      <w:r w:rsidR="004842F8" w:rsidRPr="0092614A">
        <w:rPr>
          <w:lang w:val="uk-UA"/>
        </w:rPr>
        <w:t>з Європейським Союзом у галузі авторського права і суміжних прав</w:t>
      </w:r>
    </w:p>
    <w:p w:rsidR="0092614A" w:rsidRDefault="0092614A" w:rsidP="007B2CDA">
      <w:pPr>
        <w:pStyle w:val="aff0"/>
        <w:rPr>
          <w:lang w:val="uk-UA"/>
        </w:rPr>
      </w:pPr>
      <w:r>
        <w:rPr>
          <w:lang w:val="uk-UA"/>
        </w:rPr>
        <w:t>(</w:t>
      </w:r>
      <w:r w:rsidR="00CA527F" w:rsidRPr="0092614A">
        <w:rPr>
          <w:lang w:val="uk-UA"/>
        </w:rPr>
        <w:t>реферат</w:t>
      </w:r>
      <w:r w:rsidRPr="0092614A">
        <w:rPr>
          <w:lang w:val="uk-UA"/>
        </w:rPr>
        <w:t>)</w:t>
      </w:r>
    </w:p>
    <w:p w:rsidR="0092614A" w:rsidRDefault="00CA527F" w:rsidP="007B2CDA">
      <w:pPr>
        <w:pStyle w:val="af8"/>
        <w:rPr>
          <w:lang w:val="uk-UA"/>
        </w:rPr>
      </w:pPr>
      <w:r w:rsidRPr="0092614A">
        <w:rPr>
          <w:lang w:val="uk-UA"/>
        </w:rPr>
        <w:br w:type="page"/>
      </w:r>
      <w:r w:rsidR="00747625" w:rsidRPr="0092614A">
        <w:rPr>
          <w:lang w:val="uk-UA"/>
        </w:rPr>
        <w:t>План</w:t>
      </w:r>
    </w:p>
    <w:p w:rsidR="007B2CDA" w:rsidRDefault="007B2CDA" w:rsidP="0092614A">
      <w:pPr>
        <w:rPr>
          <w:lang w:val="uk-UA"/>
        </w:rPr>
      </w:pP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1. Основні напрями та пріоритети розвитку стосунків з Європейським Союзом у галузі авторського права і суміжних прав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2. Головна мета співробітництва, стратегія щодо її досягнення та відповідні тактичні дії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3. Суб'єкти розвитку стосунків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4. Узагальнені дії з боку сторін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5. Сучасний стан розвитку системи охорони авторського права і суміжних прав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6</w:t>
      </w:r>
      <w:r w:rsidRPr="000D3A04">
        <w:rPr>
          <w:rStyle w:val="ac"/>
          <w:noProof/>
        </w:rPr>
        <w:t xml:space="preserve">. </w:t>
      </w:r>
      <w:r w:rsidRPr="000D3A04">
        <w:rPr>
          <w:rStyle w:val="ac"/>
          <w:noProof/>
          <w:lang w:val="uk-UA"/>
        </w:rPr>
        <w:t>Нормативно-правові акти Європейського Союзу у галузі авторського права і суміжних прав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7</w:t>
      </w:r>
      <w:r w:rsidRPr="000D3A04">
        <w:rPr>
          <w:rStyle w:val="ac"/>
          <w:noProof/>
        </w:rPr>
        <w:t xml:space="preserve">. </w:t>
      </w:r>
      <w:r w:rsidRPr="000D3A04">
        <w:rPr>
          <w:rStyle w:val="ac"/>
          <w:noProof/>
          <w:lang w:val="uk-UA"/>
        </w:rPr>
        <w:t>Стратегічні напрями інтеграції у галузі авторського права і суміжних прав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8</w:t>
      </w:r>
      <w:r w:rsidRPr="000D3A04">
        <w:rPr>
          <w:rStyle w:val="ac"/>
          <w:noProof/>
        </w:rPr>
        <w:t xml:space="preserve">. </w:t>
      </w:r>
      <w:r w:rsidRPr="000D3A04">
        <w:rPr>
          <w:rStyle w:val="ac"/>
          <w:noProof/>
          <w:lang w:val="uk-UA"/>
        </w:rPr>
        <w:t>Наближення законодавства України до норм і правил ЄС у галузі авторського права і суміжних прав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9. Забезпечення правомірного використання в Україні об'єктів авторського права і суміжних прав</w:t>
      </w:r>
    </w:p>
    <w:p w:rsidR="007B2CDA" w:rsidRDefault="007B2CDA">
      <w:pPr>
        <w:pStyle w:val="22"/>
        <w:rPr>
          <w:smallCaps w:val="0"/>
          <w:noProof/>
          <w:sz w:val="24"/>
          <w:szCs w:val="24"/>
        </w:rPr>
      </w:pPr>
      <w:r w:rsidRPr="000D3A04">
        <w:rPr>
          <w:rStyle w:val="ac"/>
          <w:noProof/>
          <w:lang w:val="uk-UA"/>
        </w:rPr>
        <w:t>10</w:t>
      </w:r>
      <w:r w:rsidRPr="000D3A04">
        <w:rPr>
          <w:rStyle w:val="ac"/>
          <w:noProof/>
        </w:rPr>
        <w:t xml:space="preserve">. </w:t>
      </w:r>
      <w:r w:rsidRPr="000D3A04">
        <w:rPr>
          <w:rStyle w:val="ac"/>
          <w:noProof/>
          <w:lang w:val="uk-UA"/>
        </w:rPr>
        <w:t>Розвиток та удосконалення інституційної бази охорони авторського права і суміжних прав та механізмів її впровадження</w:t>
      </w:r>
    </w:p>
    <w:p w:rsidR="007B2CDA" w:rsidRPr="0092614A" w:rsidRDefault="007B2CDA" w:rsidP="0092614A">
      <w:pPr>
        <w:rPr>
          <w:lang w:val="uk-UA"/>
        </w:rPr>
      </w:pPr>
    </w:p>
    <w:p w:rsidR="0092614A" w:rsidRPr="0092614A" w:rsidRDefault="00747625" w:rsidP="007B2CDA">
      <w:pPr>
        <w:pStyle w:val="2"/>
      </w:pPr>
      <w:r w:rsidRPr="0092614A">
        <w:rPr>
          <w:lang w:val="uk-UA"/>
        </w:rPr>
        <w:br w:type="page"/>
      </w:r>
      <w:bookmarkStart w:id="0" w:name="_Toc247193149"/>
      <w:r w:rsidR="004842F8" w:rsidRPr="0092614A">
        <w:rPr>
          <w:lang w:val="uk-UA"/>
        </w:rPr>
        <w:t>1</w:t>
      </w:r>
      <w:r w:rsidR="0092614A" w:rsidRPr="0092614A">
        <w:rPr>
          <w:lang w:val="uk-UA"/>
        </w:rPr>
        <w:t xml:space="preserve">. </w:t>
      </w:r>
      <w:r w:rsidR="004842F8" w:rsidRPr="0092614A">
        <w:rPr>
          <w:lang w:val="uk-UA"/>
        </w:rPr>
        <w:t>Основні напрями та пріоритети розвитку стосунків з Європейським Союзом у галузі авторського права і суміжних прав</w:t>
      </w:r>
      <w:bookmarkEnd w:id="0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Основними напрямами і пріоритетами розвитку стосунків з Європейським Союзом у галузі авторського права і суміжних прав є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розвиток і вдосконалення національного законодавства шляхом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а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підготовки нових законопроектів, внесення змін і доповнень до чинного законодавства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б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введення кримінальної та адміністративної відповідальності, що існує в країнах-членах ЄС, за порушення норм авторського права і суміжних прав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використання в національному законодавстві норм і положень директив ЄС з охорони інтелектуальної власності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здійснення кадрового забезпечення системи охорони об'єктів авторського права і суміжних прав шляхом підготовки і перепідготовки спеціалістів у галузі охорони літературних і музичних творів, аудіо</w:t>
      </w:r>
      <w:r w:rsidR="0092614A" w:rsidRPr="0092614A">
        <w:rPr>
          <w:lang w:val="uk-UA"/>
        </w:rPr>
        <w:t xml:space="preserve"> - </w:t>
      </w:r>
      <w:r w:rsidRPr="0092614A">
        <w:rPr>
          <w:lang w:val="uk-UA"/>
        </w:rPr>
        <w:t>і відеозаписів, комп'ютерних програм, програм телерадіомовлення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створення громадських організацій з управління майновими правами авторів на колективній основі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застосування новітньої техніки і прогресивних технологій у галузі автоматизованої обробки інформації, системи збирання, розподілу і виплати авторської винагороди, створення комп'ютерних каталогів</w:t>
      </w:r>
      <w:r w:rsidR="0092614A" w:rsidRPr="0092614A">
        <w:rPr>
          <w:lang w:val="uk-UA"/>
        </w:rPr>
        <w:t>.</w:t>
      </w:r>
    </w:p>
    <w:p w:rsidR="007B2CDA" w:rsidRDefault="007B2CDA" w:rsidP="0092614A">
      <w:pPr>
        <w:rPr>
          <w:lang w:val="uk-UA"/>
        </w:rPr>
      </w:pPr>
    </w:p>
    <w:p w:rsidR="0092614A" w:rsidRPr="0092614A" w:rsidRDefault="004842F8" w:rsidP="007B2CDA">
      <w:pPr>
        <w:pStyle w:val="2"/>
      </w:pPr>
      <w:bookmarkStart w:id="1" w:name="_Toc247193150"/>
      <w:r w:rsidRPr="0092614A">
        <w:rPr>
          <w:lang w:val="uk-UA"/>
        </w:rPr>
        <w:t>2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Головна мета співробітництва, стратегія щодо її досягнення та відповідні тактичні дії</w:t>
      </w:r>
      <w:bookmarkEnd w:id="1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Головною метою співробітництва у галузі авторського права і суміжних прав є гармонізація національного законодавства із законодавством країн-членів ЄС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Йдеться про створення системи виключно правомірного використання на території України творів науки, літератури і мистецтва, комп'ютерних програм, виконань, фонограм, програм телерадіомовлення</w:t>
      </w:r>
      <w:r w:rsidR="0092614A" w:rsidRPr="0092614A">
        <w:rPr>
          <w:lang w:val="uk-UA"/>
        </w:rPr>
        <w:t xml:space="preserve"> - </w:t>
      </w:r>
      <w:r w:rsidRPr="0092614A">
        <w:rPr>
          <w:lang w:val="uk-UA"/>
        </w:rPr>
        <w:t>системи, яка б гарантувала рівень захисту, аналогічний тому, що існує у Співтоваристві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У стратегічному плані, керуючись вимогами Конституції України, нормами законів України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авторське право і суміжні права</w:t>
      </w:r>
      <w:r w:rsidR="0092614A">
        <w:rPr>
          <w:lang w:val="uk-UA"/>
        </w:rPr>
        <w:t>", "</w:t>
      </w:r>
      <w:r w:rsidRPr="0092614A">
        <w:rPr>
          <w:lang w:val="uk-UA"/>
        </w:rPr>
        <w:t>Про інформацію</w:t>
      </w:r>
      <w:r w:rsidR="0092614A">
        <w:rPr>
          <w:lang w:val="uk-UA"/>
        </w:rPr>
        <w:t>", "</w:t>
      </w:r>
      <w:r w:rsidRPr="0092614A">
        <w:rPr>
          <w:lang w:val="uk-UA"/>
        </w:rPr>
        <w:t>Про телебачення і радіомовлення</w:t>
      </w:r>
      <w:r w:rsidR="0092614A">
        <w:rPr>
          <w:lang w:val="uk-UA"/>
        </w:rPr>
        <w:t>", "</w:t>
      </w:r>
      <w:r w:rsidRPr="0092614A">
        <w:rPr>
          <w:lang w:val="uk-UA"/>
        </w:rPr>
        <w:t>Про друковані засоби масової інформації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пресу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в Україні</w:t>
      </w:r>
      <w:r w:rsidR="0092614A">
        <w:rPr>
          <w:lang w:val="uk-UA"/>
        </w:rPr>
        <w:t>", "</w:t>
      </w:r>
      <w:r w:rsidRPr="0092614A">
        <w:rPr>
          <w:lang w:val="uk-UA"/>
        </w:rPr>
        <w:t>Про видавничу справу</w:t>
      </w:r>
      <w:r w:rsidR="0092614A">
        <w:rPr>
          <w:lang w:val="uk-UA"/>
        </w:rPr>
        <w:t>", "</w:t>
      </w:r>
      <w:r w:rsidRPr="0092614A">
        <w:rPr>
          <w:lang w:val="uk-UA"/>
        </w:rPr>
        <w:t>Про кінематографію</w:t>
      </w:r>
      <w:r w:rsidR="0092614A">
        <w:rPr>
          <w:lang w:val="uk-UA"/>
        </w:rPr>
        <w:t xml:space="preserve">", </w:t>
      </w:r>
      <w:r w:rsidRPr="0092614A">
        <w:rPr>
          <w:lang w:val="uk-UA"/>
        </w:rPr>
        <w:t>положеннями відповідних указів Президента України, постанов Кабінету Міністрів України, забезпечувати інтеграцію законодав</w:t>
      </w:r>
      <w:r w:rsidR="0038512E" w:rsidRPr="0092614A">
        <w:rPr>
          <w:lang w:val="uk-UA"/>
        </w:rPr>
        <w:t>ства України до міжнародної системи охорони об’</w:t>
      </w:r>
      <w:r w:rsidRPr="0092614A">
        <w:rPr>
          <w:lang w:val="uk-UA"/>
        </w:rPr>
        <w:t xml:space="preserve">єктів авторського права </w:t>
      </w:r>
      <w:r w:rsidR="0038512E" w:rsidRPr="0092614A">
        <w:rPr>
          <w:lang w:val="uk-UA"/>
        </w:rPr>
        <w:t>і</w:t>
      </w:r>
      <w:r w:rsidRPr="0092614A">
        <w:rPr>
          <w:lang w:val="uk-UA"/>
        </w:rPr>
        <w:t xml:space="preserve"> суміжних прав, створення </w:t>
      </w:r>
      <w:r w:rsidR="0038512E" w:rsidRPr="0092614A">
        <w:rPr>
          <w:lang w:val="uk-UA"/>
        </w:rPr>
        <w:t>ступеневого</w:t>
      </w:r>
      <w:r w:rsidRPr="0092614A">
        <w:rPr>
          <w:lang w:val="uk-UA"/>
        </w:rPr>
        <w:t xml:space="preserve"> режиму визнання і захисту інтелектуальної власності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Забезпечувати виконання вимог Бернської к</w:t>
      </w:r>
      <w:r w:rsidR="0038512E" w:rsidRPr="0092614A">
        <w:rPr>
          <w:lang w:val="uk-UA"/>
        </w:rPr>
        <w:t>онвенції про охорону літератур</w:t>
      </w:r>
      <w:r w:rsidRPr="0092614A">
        <w:rPr>
          <w:lang w:val="uk-UA"/>
        </w:rPr>
        <w:t>них і художніх творів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Паризький акт, 1971 рік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Всесвітньої конвенції про авторське право, членом яких є Україна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Продовжувати роботу щодо приєднання України до багатосторонніх конвенцій про права на інтелектуальну власність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Забезпечити вступ України до Міжнародної конвенції про охорону прав виконавців, виробників фонограм і органів радіомовлення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Рим, 1961 рік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Конвенції про охорону інтересів виробників фонограм від незаконного відтворення їх фонограм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Женева, 1971 рік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Договору Всесвітньої організації інтелектуальної власності про виконання і фонограми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Женева, 1996 рік</w:t>
      </w:r>
      <w:r w:rsidR="0092614A" w:rsidRPr="0092614A">
        <w:rPr>
          <w:lang w:val="uk-UA"/>
        </w:rPr>
        <w:t>).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У тактичному плані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а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впроваджувати у систему законодавчих актів України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стосовно охорони об'єктів авторського права і суміжних прав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вимоги директив Європейського Союзу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правовий захист комп'ютерних програм</w:t>
      </w:r>
      <w:r w:rsidR="0092614A">
        <w:rPr>
          <w:lang w:val="uk-UA"/>
        </w:rPr>
        <w:t>" (</w:t>
      </w:r>
      <w:r w:rsidRPr="0092614A">
        <w:rPr>
          <w:lang w:val="uk-UA"/>
        </w:rPr>
        <w:t>1991 рік</w:t>
      </w:r>
      <w:r w:rsidR="0092614A" w:rsidRPr="0092614A">
        <w:rPr>
          <w:lang w:val="uk-UA"/>
        </w:rPr>
        <w:t>),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права на оренду і прокат та права, пов'язані з авторським правом у галузі інтелектуальної власності</w:t>
      </w:r>
      <w:r w:rsidR="0092614A">
        <w:rPr>
          <w:lang w:val="uk-UA"/>
        </w:rPr>
        <w:t xml:space="preserve">", </w:t>
      </w:r>
      <w:r w:rsidRPr="0092614A">
        <w:rPr>
          <w:lang w:val="uk-UA"/>
        </w:rPr>
        <w:t>1992 рік</w:t>
      </w:r>
      <w:r w:rsidR="0092614A" w:rsidRPr="0092614A">
        <w:rPr>
          <w:lang w:val="uk-UA"/>
        </w:rPr>
        <w:t>),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координацію деяких положень авторського права і суміжних прав, застосовуваних до радіомовлення через супутник і до трансляції по дротовому зв'язку</w:t>
      </w:r>
      <w:r w:rsidR="0092614A">
        <w:rPr>
          <w:lang w:val="uk-UA"/>
        </w:rPr>
        <w:t>" (</w:t>
      </w:r>
      <w:r w:rsidRPr="0092614A">
        <w:rPr>
          <w:lang w:val="uk-UA"/>
        </w:rPr>
        <w:t>1993 рік</w:t>
      </w:r>
      <w:r w:rsidR="0092614A" w:rsidRPr="0092614A">
        <w:rPr>
          <w:lang w:val="uk-UA"/>
        </w:rPr>
        <w:t>),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узгодження строків захисту авторського права і суміжних прав</w:t>
      </w:r>
      <w:r w:rsidR="0092614A">
        <w:rPr>
          <w:lang w:val="uk-UA"/>
        </w:rPr>
        <w:t>" (</w:t>
      </w:r>
      <w:r w:rsidRPr="0092614A">
        <w:rPr>
          <w:lang w:val="uk-UA"/>
        </w:rPr>
        <w:t>1993 рік</w:t>
      </w:r>
      <w:r w:rsidR="0092614A" w:rsidRPr="0092614A">
        <w:rPr>
          <w:lang w:val="uk-UA"/>
        </w:rPr>
        <w:t>),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правовий захист баз даних</w:t>
      </w:r>
      <w:r w:rsidR="0092614A">
        <w:rPr>
          <w:lang w:val="uk-UA"/>
        </w:rPr>
        <w:t>" (</w:t>
      </w:r>
      <w:r w:rsidRPr="0092614A">
        <w:rPr>
          <w:lang w:val="uk-UA"/>
        </w:rPr>
        <w:t>1996 рік</w:t>
      </w:r>
      <w:r w:rsidR="0092614A" w:rsidRPr="0092614A">
        <w:rPr>
          <w:lang w:val="uk-UA"/>
        </w:rPr>
        <w:t>);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б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укладати двосторонні угоди про взаємне представництво інтересів з авторсько-правовими організаціями країн-членів ЄС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 xml:space="preserve">вивчати і впроваджувати досвід країн-членів </w:t>
      </w:r>
      <w:r w:rsidRPr="0092614A">
        <w:t xml:space="preserve">ЕС у </w:t>
      </w:r>
      <w:r w:rsidRPr="0092614A">
        <w:rPr>
          <w:lang w:val="uk-UA"/>
        </w:rPr>
        <w:t>нормотворчій роботі, системі охорони об'єктів авторського права і суміжних прав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практика досудового і судового розгляду конфліктних справ, боротьба з піратством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управління майновими правами на колективній основі, у створенні фондів матеріальної допомоги членам авторсько-правових товариств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г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створювати цілісну систему охорони об'єктів авторського права і суміжних прав із врахуванням досвіду європейських країн</w:t>
      </w:r>
      <w:r w:rsidR="0092614A" w:rsidRPr="0092614A">
        <w:rPr>
          <w:lang w:val="uk-UA"/>
        </w:rPr>
        <w:t>.</w:t>
      </w:r>
    </w:p>
    <w:p w:rsidR="007B2CDA" w:rsidRDefault="007B2CDA" w:rsidP="0092614A">
      <w:pPr>
        <w:rPr>
          <w:lang w:val="uk-UA"/>
        </w:rPr>
      </w:pPr>
    </w:p>
    <w:p w:rsidR="0092614A" w:rsidRPr="0092614A" w:rsidRDefault="004842F8" w:rsidP="007B2CDA">
      <w:pPr>
        <w:pStyle w:val="2"/>
        <w:rPr>
          <w:lang w:val="uk-UA"/>
        </w:rPr>
      </w:pPr>
      <w:bookmarkStart w:id="2" w:name="_Toc247193151"/>
      <w:r w:rsidRPr="0092614A">
        <w:rPr>
          <w:lang w:val="uk-UA"/>
        </w:rPr>
        <w:t>3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Суб'єкти розвитку стосунків</w:t>
      </w:r>
      <w:bookmarkEnd w:id="2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Встановлювати і підтримувати ділові контакти з відповідними підрозділами ЄС з проблем інтелектуальної власності, а також а авторсько-правовими організаціями країн-членів ЄС</w:t>
      </w:r>
      <w:r w:rsidR="0092614A" w:rsidRPr="0092614A">
        <w:rPr>
          <w:lang w:val="uk-UA"/>
        </w:rPr>
        <w:t xml:space="preserve">: </w:t>
      </w:r>
      <w:r w:rsidRPr="0092614A">
        <w:rPr>
          <w:lang w:val="uk-UA"/>
        </w:rPr>
        <w:t>Ей-Сі-Бі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Королівство Бельгія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КОДА, Ей-Сі-Бі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Королівство Данія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ГЕМА, БІЛЬД-КУНСТ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Федеративна Республіка Німеччина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СОПЕ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Грецька Республіка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СГАЕ, СТЕФ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Королівство Іспанія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СА-СЕМ, СДЕМ, СКАМ, САКД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Французька Республіка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ІМРО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Ірландія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СІАЄ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Італійська Республіка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БУМА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Королівство Нідерландів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СПА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Португальська Республіка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ДАКС, Пі-Ер-Ес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Сполучене Королівство Великобританії та</w:t>
      </w:r>
      <w:r w:rsidR="00966FF7" w:rsidRPr="0092614A">
        <w:rPr>
          <w:lang w:val="uk-UA"/>
        </w:rPr>
        <w:t xml:space="preserve"> </w:t>
      </w:r>
      <w:r w:rsidRPr="0092614A">
        <w:rPr>
          <w:lang w:val="uk-UA"/>
        </w:rPr>
        <w:t>Північної Ірландії</w:t>
      </w:r>
      <w:r w:rsidR="0092614A" w:rsidRPr="0092614A">
        <w:rPr>
          <w:lang w:val="uk-UA"/>
        </w:rPr>
        <w:t>).</w:t>
      </w:r>
    </w:p>
    <w:p w:rsidR="0092614A" w:rsidRDefault="00966FF7" w:rsidP="0092614A">
      <w:pPr>
        <w:rPr>
          <w:lang w:val="uk-UA"/>
        </w:rPr>
      </w:pPr>
      <w:r w:rsidRPr="0092614A">
        <w:rPr>
          <w:lang w:val="uk-UA"/>
        </w:rPr>
        <w:t xml:space="preserve">Загалом, </w:t>
      </w:r>
      <w:r w:rsidR="004842F8" w:rsidRPr="0092614A">
        <w:rPr>
          <w:lang w:val="uk-UA"/>
        </w:rPr>
        <w:t>Концепція спрямована на забезпечення цілісного і гармонійного розвитку стосунків України з Європейським Союзом у галузі авторського права і суміжних прав</w:t>
      </w:r>
      <w:r w:rsidR="0092614A" w:rsidRPr="0092614A">
        <w:rPr>
          <w:lang w:val="uk-UA"/>
        </w:rPr>
        <w:t>.</w:t>
      </w:r>
    </w:p>
    <w:p w:rsidR="0092614A" w:rsidRPr="0092614A" w:rsidRDefault="007B2CDA" w:rsidP="007B2CD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47193152"/>
      <w:r w:rsidR="00882BF1" w:rsidRPr="0092614A">
        <w:rPr>
          <w:lang w:val="uk-UA"/>
        </w:rPr>
        <w:t>4</w:t>
      </w:r>
      <w:r w:rsidR="0092614A" w:rsidRPr="0092614A">
        <w:rPr>
          <w:lang w:val="uk-UA"/>
        </w:rPr>
        <w:t xml:space="preserve">. </w:t>
      </w:r>
      <w:r w:rsidR="00882BF1" w:rsidRPr="0092614A">
        <w:rPr>
          <w:lang w:val="uk-UA"/>
        </w:rPr>
        <w:t>Узагальнені дії з боку сторін</w:t>
      </w:r>
      <w:bookmarkEnd w:id="3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 умовах глобалізації та лібералізації світової економіки посилюється взаємозалежність країн світу та здійснюється поступовий процес інтеграції ринків, зокрема інтелектуальної власності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Важливою складовою частиною ринку інтелектуальної власності є індустрія авторського права і суміжних прав, яка в країнах ЄС є джерелом національного збагачення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Проголошений Україною курс на інтеграцію в ЄС ставить цілу низку проблем у сфері авторського права і суміжних прав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Для їх вирішення Україна має виконати дуже жорсткі умови, закріплені в офіційних документах ЄС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мати дієздатну національну систему охорони авторського права і суміжних прав у рамках спільного ринку ЄС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дотримуватися правил та регулюючих принципів, встановлених в рамках ЄС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Курс України на інтеграцію до ЄС за умови виконання вимог ЄС ставить перед нашою державою завдання створення ефективної системи охорони інтелектуальної власності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Вирішення цього завдання перебуває в прямій залежності від розробки чітко визначеної політики у сфері авторського права і суміжних прав, спрямованої на забезпечення прав і законних інтересів вітчизняних і зарубіжних авторів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Базовими документами, що визначають засади інтеграції України до ЄС у галузі авторського права і суміжних прав, є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Конституція України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Угода про партнерство та співробітництво між Європейськими Співтовариствами і Україною, яка була підписана в Люксембурзі 16 червня 1994 року та набула чинності 1 березня 1998 року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далі</w:t>
      </w:r>
      <w:r w:rsidR="0092614A" w:rsidRPr="0092614A">
        <w:rPr>
          <w:lang w:val="uk-UA"/>
        </w:rPr>
        <w:t xml:space="preserve"> - </w:t>
      </w:r>
      <w:r w:rsidRPr="0092614A">
        <w:rPr>
          <w:lang w:val="uk-UA"/>
        </w:rPr>
        <w:t>УПС</w:t>
      </w:r>
      <w:r w:rsidR="0092614A" w:rsidRPr="0092614A">
        <w:rPr>
          <w:lang w:val="uk-UA"/>
        </w:rPr>
        <w:t>);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Стратегія інтеграції України до Європейського Союзу, затверджена Указом Президента України від 11 червня 1998 року № 615/98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Концепція розвитку стосунків з Європейським Союзом у галузі авторського права і суміжних прав, розроблена ДААСПом України та затверджена 25 серпня 1998 року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На основі зазначених документів розроблена Програма інтеграції України до ЄС у галузі авторського права і суміжних прав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Програма містить стислу характеристику сучасного стану охорони авторського права і суміжних прав в Україні, законодавства ЄС у цій сфері, визначає стратегічні напрями інтеграції в галузі авторського права і суміжних прав</w:t>
      </w:r>
      <w:r w:rsidR="0092614A" w:rsidRPr="0092614A">
        <w:rPr>
          <w:lang w:val="uk-UA"/>
        </w:rPr>
        <w:t xml:space="preserve">: </w:t>
      </w:r>
      <w:r w:rsidRPr="0092614A">
        <w:rPr>
          <w:lang w:val="uk-UA"/>
        </w:rPr>
        <w:t>наближення законодавства України про авторське право і суміжні права до норм і правил ЄС</w:t>
      </w:r>
      <w:r w:rsidR="0092614A" w:rsidRPr="0092614A">
        <w:rPr>
          <w:lang w:val="uk-UA"/>
        </w:rPr>
        <w:t xml:space="preserve">; </w:t>
      </w:r>
      <w:r w:rsidRPr="0092614A">
        <w:rPr>
          <w:lang w:val="uk-UA"/>
        </w:rPr>
        <w:t>забезпечення правомірного використання в Україні об'єктів авторського права і суміжних прав</w:t>
      </w:r>
      <w:r w:rsidR="0092614A" w:rsidRPr="0092614A">
        <w:rPr>
          <w:lang w:val="uk-UA"/>
        </w:rPr>
        <w:t xml:space="preserve">; </w:t>
      </w:r>
      <w:r w:rsidRPr="0092614A">
        <w:rPr>
          <w:lang w:val="uk-UA"/>
        </w:rPr>
        <w:t>розвиток та вдосконалення інституційної бази охорони авторського права і суміжних прав та механізмів її впровадження</w:t>
      </w:r>
      <w:r w:rsidR="0092614A" w:rsidRPr="0092614A">
        <w:rPr>
          <w:lang w:val="uk-UA"/>
        </w:rPr>
        <w:t>.</w:t>
      </w:r>
    </w:p>
    <w:p w:rsidR="007B2CDA" w:rsidRDefault="007B2CDA" w:rsidP="0092614A">
      <w:pPr>
        <w:rPr>
          <w:lang w:val="uk-UA"/>
        </w:rPr>
      </w:pPr>
    </w:p>
    <w:p w:rsidR="0092614A" w:rsidRPr="0092614A" w:rsidRDefault="00882BF1" w:rsidP="007B2CDA">
      <w:pPr>
        <w:pStyle w:val="2"/>
      </w:pPr>
      <w:bookmarkStart w:id="4" w:name="_Toc247193153"/>
      <w:r w:rsidRPr="0092614A">
        <w:rPr>
          <w:lang w:val="uk-UA"/>
        </w:rPr>
        <w:t>5</w:t>
      </w:r>
      <w:r w:rsidR="0092614A" w:rsidRPr="0092614A">
        <w:rPr>
          <w:lang w:val="uk-UA"/>
        </w:rPr>
        <w:t xml:space="preserve">. </w:t>
      </w:r>
      <w:r w:rsidR="004842F8" w:rsidRPr="0092614A">
        <w:rPr>
          <w:lang w:val="uk-UA"/>
        </w:rPr>
        <w:t>Сучасний стан розвитку системи охорони авторського права і суміжних прав</w:t>
      </w:r>
      <w:bookmarkEnd w:id="4"/>
    </w:p>
    <w:p w:rsidR="007B2CDA" w:rsidRDefault="007B2CDA" w:rsidP="0092614A"/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Україна прагне подолати традиційну недооцінку в економічному, соціальному, суспільному житті країни значення об'єктів авторського права і суміжних прав, забезпечити належний, безумовно надійний та ефективний рівень їх охорони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Охорона авторських і суміжних прав в Україні нині є реальним чинником становлення цивілізованого ринку інтелектуальної власності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Політика у сфері авторського права і суміжних прав стала складовою частиною державної політики і знайшла безпосереднє відображення у Програмі діяльності Кабінету Міністрів України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Органом, що забезпечує реалізацію політики в галузі авторського права і суміжних прав, є Державне агентство України з авторських і суміжних прав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ДА-АСП України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головні завдання якого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забезпечення беззастережно правомірного використання творів науки, літератури, мистецтва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поліпшення матеріального становища художньої інтелігенції шляхом підписання ліцензійних угод з користувачами, збільшення обсягів нарахувань і забезпечення своєчасної виплати авторської винагороди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розробка нормативних актів щодо забезпечення повноцінного функціонування в Україні системи охорони прав вітчизняних і зарубіжних авторів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дальший розвиток духовних обмінів шляхом експорту та імпорту прав на твори науки, літератури і мистецтва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виконання міжнародних зобов'язань у сфері охорони об'єктів авторського права і суміжних прав, забезпечення приєднання України до ГАТТ/СОТ, входження її у європейські та світові структури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Законодавство України про авторське право і суміжні права набуває певної правової завершеності, що знайшло відображення в Конституції України, де визначено право кожного володіти, користуватися і розпоряджатися своєю власністю, результатами своєї інтелектуальної, творчої діяльності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стаття 41</w:t>
      </w:r>
      <w:r w:rsidR="0092614A" w:rsidRPr="0092614A">
        <w:rPr>
          <w:lang w:val="uk-UA"/>
        </w:rPr>
        <w:t>).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Основу нормативно-правової бази у сфері авторського права і суміжних прав становить Закон України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авторське право і суміжні права</w:t>
      </w:r>
      <w:r w:rsidR="0092614A">
        <w:rPr>
          <w:lang w:val="uk-UA"/>
        </w:rPr>
        <w:t xml:space="preserve">". </w:t>
      </w:r>
      <w:r w:rsidRPr="0092614A">
        <w:rPr>
          <w:lang w:val="uk-UA"/>
        </w:rPr>
        <w:t>Він розроблений за кваліфікованої консультативної підтримки зарубіжних експертів, зокрема експертів ЄС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Закон акумулює в собі прогресивний досвід, накопичений розвиненими країнами в процесі багаторічного розвитку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Розвиток системи охорони авторського права і суміжних прав значною мірою залежить від роботи Державного агентства України з авторських і суміжних прав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ДААСП України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яке використовує всі можливі важелі і повноваження, надані чинним законодавством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За ініціативою і участю ДААСПу підготовлені і діють постанови Кабінету Міністрів України</w:t>
      </w:r>
      <w:r w:rsidR="0092614A" w:rsidRPr="0092614A">
        <w:rPr>
          <w:lang w:val="uk-UA"/>
        </w:rPr>
        <w:t>: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>"</w:t>
      </w:r>
      <w:r w:rsidR="004842F8" w:rsidRPr="0092614A">
        <w:rPr>
          <w:lang w:val="uk-UA"/>
        </w:rPr>
        <w:t>Про мінімальні ставки авторської винагороди за використання творів літератури і мистецтва</w:t>
      </w:r>
      <w:r>
        <w:rPr>
          <w:lang w:val="uk-UA"/>
        </w:rPr>
        <w:t>", "</w:t>
      </w:r>
      <w:r w:rsidR="004842F8" w:rsidRPr="0092614A">
        <w:rPr>
          <w:lang w:val="uk-UA"/>
        </w:rPr>
        <w:t>Про державну реєстрацію прав автора на твори науки, літератури і мистецтва</w:t>
      </w:r>
      <w:r>
        <w:rPr>
          <w:lang w:val="uk-UA"/>
        </w:rPr>
        <w:t>", "</w:t>
      </w:r>
      <w:r w:rsidR="004842F8" w:rsidRPr="0092614A">
        <w:rPr>
          <w:lang w:val="uk-UA"/>
        </w:rPr>
        <w:t>Про затвердження правил роздрібної торгівлі примірниками аудіовізуальних творів і фонограм</w:t>
      </w:r>
      <w:r>
        <w:rPr>
          <w:lang w:val="uk-UA"/>
        </w:rPr>
        <w:t>", "</w:t>
      </w:r>
      <w:r w:rsidR="004842F8" w:rsidRPr="0092614A">
        <w:rPr>
          <w:lang w:val="uk-UA"/>
        </w:rPr>
        <w:t>Про порядок погодження з Державним агентством з авторських і суміжних прав документів, пов'язаних з імпортом, експортом і оптовою торгівлею аудіовізуальними творами і примірниками фонограм</w:t>
      </w:r>
      <w:r>
        <w:rPr>
          <w:lang w:val="uk-UA"/>
        </w:rPr>
        <w:t>".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Проводиться послідовна робота по удосконаленню існуючої нормативно-правової бази у сфері авторського права і суміжних прав, метою якої є забезпечення правомірного використання творів, комп'ютерних програм, фонограм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На розгляді у Верховній Раді України знаходиться проект Закону України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внесення змін і доповнень до Закону України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авторське право і суміжні права</w:t>
      </w:r>
      <w:r w:rsidR="0092614A">
        <w:rPr>
          <w:lang w:val="uk-UA"/>
        </w:rPr>
        <w:t xml:space="preserve">". </w:t>
      </w:r>
      <w:r w:rsidRPr="0092614A">
        <w:rPr>
          <w:lang w:val="uk-UA"/>
        </w:rPr>
        <w:t>Підготовлені проекти законів України</w:t>
      </w:r>
      <w:r w:rsidR="0092614A" w:rsidRPr="0092614A">
        <w:rPr>
          <w:lang w:val="uk-UA"/>
        </w:rPr>
        <w:t>: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внесення змін і доповнень до Кримінального кодексу України і Кодексу України про адміністративні правопорушення</w:t>
      </w:r>
      <w:r w:rsidR="0092614A">
        <w:rPr>
          <w:lang w:val="uk-UA"/>
        </w:rPr>
        <w:t>", "</w:t>
      </w:r>
      <w:r w:rsidRPr="0092614A">
        <w:rPr>
          <w:lang w:val="uk-UA"/>
        </w:rPr>
        <w:t>Про приєднання України до Конвенції про охорону інтересів виробників фонограм від незаконного відтворення їх фонограм</w:t>
      </w:r>
      <w:r w:rsidR="0092614A">
        <w:rPr>
          <w:lang w:val="uk-UA"/>
        </w:rPr>
        <w:t>", "</w:t>
      </w:r>
      <w:r w:rsidRPr="0092614A">
        <w:rPr>
          <w:lang w:val="uk-UA"/>
        </w:rPr>
        <w:t>Про приєднання України до Римської конвенції про охорону прав виконавців, виробників фонограм та організацій мовлення</w:t>
      </w:r>
      <w:r w:rsidR="0092614A">
        <w:rPr>
          <w:lang w:val="uk-UA"/>
        </w:rPr>
        <w:t>".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Враховуючи задекларований Україною курс на європейську інтеграцію та вимоги, що ставить Європейський Союз до країн, які претендують на повноправне членство в ЄС, головне завдання у сфері авторського права і суміжних прав полягає в удосконаленні захисту прав авторів, виконавців, виробників фонограм, організацій мовлення, в забезпеченні до кінця п'ятого року після набуття чинності Угоди рівня захисту, аналогічного до існуючого в Співтоваристві, включаючи ефективні засоби дотримання таких прав</w:t>
      </w:r>
      <w:r w:rsidR="0092614A" w:rsidRPr="0092614A">
        <w:rPr>
          <w:lang w:val="uk-UA"/>
        </w:rPr>
        <w:t>.</w:t>
      </w:r>
    </w:p>
    <w:p w:rsidR="0092614A" w:rsidRPr="0092614A" w:rsidRDefault="007B2CDA" w:rsidP="007B2CDA">
      <w:pPr>
        <w:pStyle w:val="2"/>
      </w:pPr>
      <w:r>
        <w:rPr>
          <w:lang w:val="uk-UA"/>
        </w:rPr>
        <w:br w:type="page"/>
      </w:r>
      <w:bookmarkStart w:id="5" w:name="_Toc247193154"/>
      <w:r w:rsidR="003C758A" w:rsidRPr="0092614A">
        <w:rPr>
          <w:lang w:val="uk-UA"/>
        </w:rPr>
        <w:t>6</w:t>
      </w:r>
      <w:r w:rsidR="0092614A" w:rsidRPr="0092614A">
        <w:t xml:space="preserve">. </w:t>
      </w:r>
      <w:r w:rsidR="004842F8" w:rsidRPr="0092614A">
        <w:rPr>
          <w:lang w:val="uk-UA"/>
        </w:rPr>
        <w:t>Нормативно-правові акти Європейського Союзу у галузі авторського права і суміжних прав</w:t>
      </w:r>
      <w:bookmarkEnd w:id="5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Органічною частиною міжнародної охорони в галузі авторського права і суміжних прав є директиви Європейських Співтовариств, положення яких істотно впливають на розробку нових міжнародних договорів, національних законодавчих актів на різних континентах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Зокрема директиви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Ради Європи від 14 травня 1991 року № 91/250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правовий захист комп'ютерних програм</w:t>
      </w:r>
      <w:r w:rsidR="0092614A">
        <w:rPr>
          <w:lang w:val="uk-UA"/>
        </w:rPr>
        <w:t>"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Ради Європи від 19 листопада 1992 року № 92/100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право на прокат та деякі суміжні права</w:t>
      </w:r>
      <w:r w:rsidR="0092614A">
        <w:rPr>
          <w:lang w:val="uk-UA"/>
        </w:rPr>
        <w:t>"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Ради Європи від 27 вересня 1993 року № 93/83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координацію певних положень авторського права і суміжних прав щодо радіомовлення через супутники і ретрансляції по дротовому зв'язку</w:t>
      </w:r>
      <w:r w:rsidR="0092614A">
        <w:rPr>
          <w:lang w:val="uk-UA"/>
        </w:rPr>
        <w:t>"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Ради Європи від 23 жовтня 1993 року № 93/98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уніфікацію строку охорони авторського права і деяких суміжних прав</w:t>
      </w:r>
      <w:r w:rsidR="0092614A">
        <w:rPr>
          <w:lang w:val="uk-UA"/>
        </w:rPr>
        <w:t>".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Європейського парламенту і Ради Європи від 11 березня 1996 року № 96/9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Про правовий захист баз даних</w:t>
      </w:r>
      <w:r w:rsidR="0092614A">
        <w:rPr>
          <w:lang w:val="uk-UA"/>
        </w:rPr>
        <w:t>".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Вимоги директив є обов'язковими для всіх держав-членів Європейського Союзу</w:t>
      </w:r>
      <w:r w:rsidR="0092614A" w:rsidRPr="0092614A">
        <w:rPr>
          <w:lang w:val="uk-UA"/>
        </w:rPr>
        <w:t>.</w:t>
      </w:r>
    </w:p>
    <w:p w:rsidR="0092614A" w:rsidRDefault="004842F8" w:rsidP="0092614A">
      <w:r w:rsidRPr="0092614A">
        <w:rPr>
          <w:lang w:val="uk-UA"/>
        </w:rPr>
        <w:t>Важливе значення для розвитку національних систем авторського права і суміжних прав має дослідження Європейських Співтовариств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Зелений документ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Авторське право і суміжні права в інформаційному просторі</w:t>
      </w:r>
      <w:r w:rsidR="0092614A">
        <w:rPr>
          <w:lang w:val="uk-UA"/>
        </w:rPr>
        <w:t>" (</w:t>
      </w:r>
      <w:r w:rsidRPr="0092614A">
        <w:rPr>
          <w:lang w:val="uk-UA"/>
        </w:rPr>
        <w:t xml:space="preserve">1995 </w:t>
      </w:r>
      <w:r w:rsidRPr="0092614A">
        <w:rPr>
          <w:lang w:val="en-US"/>
        </w:rPr>
        <w:t>p</w:t>
      </w:r>
      <w:r w:rsidR="0092614A" w:rsidRPr="0092614A">
        <w:t>).</w:t>
      </w:r>
    </w:p>
    <w:p w:rsidR="007B2CDA" w:rsidRDefault="007B2CDA" w:rsidP="0092614A">
      <w:pPr>
        <w:rPr>
          <w:lang w:val="uk-UA"/>
        </w:rPr>
      </w:pPr>
    </w:p>
    <w:p w:rsidR="0092614A" w:rsidRPr="0092614A" w:rsidRDefault="00DF57C3" w:rsidP="007B2CDA">
      <w:pPr>
        <w:pStyle w:val="2"/>
      </w:pPr>
      <w:bookmarkStart w:id="6" w:name="_Toc247193155"/>
      <w:r w:rsidRPr="0092614A">
        <w:rPr>
          <w:lang w:val="uk-UA"/>
        </w:rPr>
        <w:t>7</w:t>
      </w:r>
      <w:r w:rsidR="0092614A" w:rsidRPr="0092614A">
        <w:t xml:space="preserve">. </w:t>
      </w:r>
      <w:r w:rsidR="004842F8" w:rsidRPr="0092614A">
        <w:rPr>
          <w:lang w:val="uk-UA"/>
        </w:rPr>
        <w:t>Стратегічні напрями інтеграції у галузі авторського права і суміжних прав</w:t>
      </w:r>
      <w:bookmarkEnd w:id="6"/>
    </w:p>
    <w:p w:rsidR="007B2CDA" w:rsidRDefault="007B2CDA" w:rsidP="0092614A"/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 інтеграційному процесі в галузі авторського права і суміжних прав можна виділити такі стратегічні напрями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наближення законодавства України до вимог Європейського Союзу щодо охорони авторського права і суміжних прав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забезпечення правомірного використання в Україні об'єктів авторського права і суміжних прав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розвиток та вдосконалення інституційної бази захисту авторського права і суміжних прав та механізмів її впровадження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На основі стратегічних напрямів була розроблена та затверджена Концепція розвитку стосунків з Європейським Союзом у галузі авторського права і суміжних прав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Концепція спрямована на визначення основних напрямів розвитку стосунків України з ЄС у галузі авторського права і суміжних прав та містить наступні положення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1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Розвиток і вдосконалення національного законодавства шляхом</w:t>
      </w:r>
      <w:r w:rsidR="0092614A" w:rsidRPr="0092614A">
        <w:rPr>
          <w:lang w:val="uk-UA"/>
        </w:rPr>
        <w:t>: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 xml:space="preserve">1.1 </w:t>
      </w:r>
      <w:r w:rsidR="004842F8" w:rsidRPr="0092614A">
        <w:rPr>
          <w:lang w:val="uk-UA"/>
        </w:rPr>
        <w:t>Підготовки нових законопроектів, внесення змін і доповнень до чинного законодавства</w:t>
      </w:r>
      <w:r w:rsidRPr="0092614A">
        <w:rPr>
          <w:lang w:val="uk-UA"/>
        </w:rPr>
        <w:t>;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 xml:space="preserve">1.2 </w:t>
      </w:r>
      <w:r w:rsidR="004842F8" w:rsidRPr="0092614A">
        <w:rPr>
          <w:lang w:val="uk-UA"/>
        </w:rPr>
        <w:t xml:space="preserve">Введення існуючої в </w:t>
      </w:r>
      <w:r w:rsidR="004842F8" w:rsidRPr="0092614A">
        <w:t xml:space="preserve">державах-членах </w:t>
      </w:r>
      <w:r w:rsidR="004842F8" w:rsidRPr="0092614A">
        <w:rPr>
          <w:lang w:val="uk-UA"/>
        </w:rPr>
        <w:t>ЄС кримінальної та адміністративної відповідальності за порушення норм авторського права і суміжних прав</w:t>
      </w:r>
      <w:r w:rsidRPr="0092614A">
        <w:rPr>
          <w:lang w:val="uk-UA"/>
        </w:rPr>
        <w:t>;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 xml:space="preserve">1.3 </w:t>
      </w:r>
      <w:r w:rsidR="004842F8" w:rsidRPr="0092614A">
        <w:rPr>
          <w:lang w:val="uk-UA"/>
        </w:rPr>
        <w:t>Використання в національному законодавстві норм і положень директив ЄС з охорони авторського права і суміжних прав</w:t>
      </w:r>
      <w:r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2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Здійснення кадрового забезпечення системи охорони об'єктів авторського права і суміжних прав шляхом підготовки і перепідготовки спеціалістів у галузі інтелектуальної власності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3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Створення громадських організацій з управління майновими правами на колективній основі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4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Застосування новітньої техніки і прогресивних технологій в галузі автоматизованої обробки інформації, системи збирання, розподілу і виплати авторської винагороди, створення комп'ютерних каталогів</w:t>
      </w:r>
      <w:r w:rsidR="0092614A" w:rsidRPr="0092614A">
        <w:rPr>
          <w:lang w:val="uk-UA"/>
        </w:rPr>
        <w:t>.</w:t>
      </w:r>
    </w:p>
    <w:p w:rsidR="0092614A" w:rsidRPr="0092614A" w:rsidRDefault="007B2CDA" w:rsidP="007B2CDA">
      <w:pPr>
        <w:pStyle w:val="2"/>
      </w:pPr>
      <w:r>
        <w:rPr>
          <w:lang w:val="uk-UA"/>
        </w:rPr>
        <w:br w:type="page"/>
      </w:r>
      <w:bookmarkStart w:id="7" w:name="_Toc247193156"/>
      <w:r w:rsidR="003900F0" w:rsidRPr="0092614A">
        <w:rPr>
          <w:lang w:val="uk-UA"/>
        </w:rPr>
        <w:t>8</w:t>
      </w:r>
      <w:r w:rsidR="0092614A" w:rsidRPr="0092614A">
        <w:t xml:space="preserve">. </w:t>
      </w:r>
      <w:r w:rsidR="004842F8" w:rsidRPr="0092614A">
        <w:rPr>
          <w:lang w:val="uk-UA"/>
        </w:rPr>
        <w:t>Наближення законодавства України до норм і правил ЄС у галузі авторського права і суміжних прав</w:t>
      </w:r>
      <w:bookmarkEnd w:id="7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Наближення законодавства України до законодавства ЄС у галузі авторського права і суміжних прав включає сукупність взаємозв'язаних організаційних та правових заходів, спрямованих на поступове приведення у відповідність чинного законодавства України у галузі авторського права і суміжних прав до сучасної системи охорони об'єктів авторського права і суміжних прав ЄС та створення умов для забезпечення правомірного їх використання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Реформування законодавства України в галузі авторського права і суміжних прав має здійснюватися на загальних засадах наближення законодавства України до нормативно-правових документів ЄС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1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Першочергові заходи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1999</w:t>
      </w:r>
      <w:r w:rsidR="0092614A" w:rsidRPr="0092614A">
        <w:rPr>
          <w:lang w:val="uk-UA"/>
        </w:rPr>
        <w:t>-</w:t>
      </w:r>
      <w:r w:rsidRPr="0092614A">
        <w:rPr>
          <w:lang w:val="uk-UA"/>
        </w:rPr>
        <w:t>2000 роки</w:t>
      </w:r>
      <w:r w:rsidR="0092614A" w:rsidRPr="0092614A">
        <w:rPr>
          <w:lang w:val="uk-UA"/>
        </w:rPr>
        <w:t>):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Внесення змін і доповнень до чинного законодавства України, які мають на меті удосконалення положень авторського права і суміжних прав, створення передумов для дотримання вимог УПС у зазначеній сфері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Цей процес передбачає прийняття, крім уже згаданих, таких Законів України</w:t>
      </w:r>
      <w:r w:rsidR="0092614A" w:rsidRPr="0092614A">
        <w:rPr>
          <w:lang w:val="uk-UA"/>
        </w:rPr>
        <w:t>: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>"</w:t>
      </w:r>
      <w:r w:rsidR="004842F8" w:rsidRPr="0092614A">
        <w:rPr>
          <w:lang w:val="uk-UA"/>
        </w:rPr>
        <w:t>Про внесення змін і доповнень до законодавчих актів України щодо забезпечення правової охорони комп'ютерних програм</w:t>
      </w:r>
      <w:r>
        <w:rPr>
          <w:lang w:val="uk-UA"/>
        </w:rPr>
        <w:t>"</w:t>
      </w:r>
      <w:r w:rsidRPr="0092614A">
        <w:rPr>
          <w:lang w:val="uk-UA"/>
        </w:rPr>
        <w:t>;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>"</w:t>
      </w:r>
      <w:r w:rsidR="004842F8" w:rsidRPr="0092614A">
        <w:rPr>
          <w:lang w:val="uk-UA"/>
        </w:rPr>
        <w:t>Про приєднання України до Конвенції про поширення несучих програм сигналів, що передаються через супутники</w:t>
      </w:r>
      <w:r>
        <w:rPr>
          <w:lang w:val="uk-UA"/>
        </w:rPr>
        <w:t>"</w:t>
      </w:r>
      <w:r w:rsidRPr="0092614A">
        <w:rPr>
          <w:lang w:val="uk-UA"/>
        </w:rPr>
        <w:t>;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>"</w:t>
      </w:r>
      <w:r w:rsidR="004842F8" w:rsidRPr="0092614A">
        <w:rPr>
          <w:lang w:val="uk-UA"/>
        </w:rPr>
        <w:t>Про приєднання України до Договору Всесвітньої організації інтелектуальної власності про авторське право</w:t>
      </w:r>
      <w:r>
        <w:rPr>
          <w:lang w:val="uk-UA"/>
        </w:rPr>
        <w:t>"</w:t>
      </w:r>
      <w:r w:rsidRPr="0092614A">
        <w:rPr>
          <w:lang w:val="uk-UA"/>
        </w:rPr>
        <w:t>;</w:t>
      </w:r>
    </w:p>
    <w:p w:rsidR="0092614A" w:rsidRDefault="0092614A" w:rsidP="0092614A">
      <w:pPr>
        <w:rPr>
          <w:lang w:val="uk-UA"/>
        </w:rPr>
      </w:pPr>
      <w:r>
        <w:rPr>
          <w:lang w:val="uk-UA"/>
        </w:rPr>
        <w:t>"</w:t>
      </w:r>
      <w:r w:rsidR="004842F8" w:rsidRPr="0092614A">
        <w:rPr>
          <w:lang w:val="uk-UA"/>
        </w:rPr>
        <w:t>Про приєднання України до Договору Всесвітньої організації інтелектуальної власності про виконання і фонограми</w:t>
      </w:r>
      <w:r>
        <w:rPr>
          <w:lang w:val="uk-UA"/>
        </w:rPr>
        <w:t>".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2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До заходів першого етапу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2000</w:t>
      </w:r>
      <w:r w:rsidR="0092614A" w:rsidRPr="0092614A">
        <w:rPr>
          <w:lang w:val="uk-UA"/>
        </w:rPr>
        <w:t>-</w:t>
      </w:r>
      <w:r w:rsidRPr="0092614A">
        <w:rPr>
          <w:lang w:val="uk-UA"/>
        </w:rPr>
        <w:t>2007 роки</w:t>
      </w:r>
      <w:r w:rsidR="0092614A" w:rsidRPr="0092614A">
        <w:rPr>
          <w:lang w:val="uk-UA"/>
        </w:rPr>
        <w:t>):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відноситься імплементація положень УПС у галузі авторського права і суміжних прав, створення механізму врахування основних положень ЄС щодо охорони об'єктів авторського права і суміжних прав та вдосконалення нормативно-законодавчої бази у цій сфері з метою забезпечення відповідності національного законодавства європейським стандартам та створення сприятливих умов для зближення правової системи України та ЄС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Кінцевою метою першого етапу наближення законодавства до відповідних положень УПС вважається створення належних правових та економічних умов для укладення угоди про асоційоване членство України в ЄС</w:t>
      </w:r>
      <w:r w:rsidR="0092614A" w:rsidRPr="0092614A">
        <w:rPr>
          <w:lang w:val="uk-UA"/>
        </w:rPr>
        <w:t>.</w:t>
      </w:r>
    </w:p>
    <w:p w:rsidR="007B2CDA" w:rsidRDefault="007B2CDA" w:rsidP="0092614A">
      <w:pPr>
        <w:rPr>
          <w:lang w:val="uk-UA"/>
        </w:rPr>
      </w:pPr>
    </w:p>
    <w:p w:rsidR="0092614A" w:rsidRPr="0092614A" w:rsidRDefault="003900F0" w:rsidP="007B2CDA">
      <w:pPr>
        <w:pStyle w:val="2"/>
        <w:rPr>
          <w:lang w:val="uk-UA"/>
        </w:rPr>
      </w:pPr>
      <w:bookmarkStart w:id="8" w:name="_Toc247193157"/>
      <w:r w:rsidRPr="0092614A">
        <w:rPr>
          <w:lang w:val="uk-UA"/>
        </w:rPr>
        <w:t>9</w:t>
      </w:r>
      <w:r w:rsidR="0092614A" w:rsidRPr="0092614A">
        <w:rPr>
          <w:lang w:val="uk-UA"/>
        </w:rPr>
        <w:t xml:space="preserve">. </w:t>
      </w:r>
      <w:r w:rsidR="004842F8" w:rsidRPr="0092614A">
        <w:rPr>
          <w:lang w:val="uk-UA"/>
        </w:rPr>
        <w:t>Забезпечення правомірного використання в Україні об'єктів авторського права і суміжних прав</w:t>
      </w:r>
      <w:bookmarkEnd w:id="8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Забезпечення правомірного використання в Україні об'єктів авторського права і суміжних прав</w:t>
      </w:r>
      <w:r w:rsidR="0092614A" w:rsidRPr="0092614A">
        <w:rPr>
          <w:lang w:val="uk-UA"/>
        </w:rPr>
        <w:t xml:space="preserve"> - </w:t>
      </w:r>
      <w:r w:rsidRPr="0092614A">
        <w:rPr>
          <w:lang w:val="uk-UA"/>
        </w:rPr>
        <w:t>це захист конституційного права авторів творів науки, літератури, мистецтва, артистів-виконавців, творців звуко</w:t>
      </w:r>
      <w:r w:rsidR="0092614A" w:rsidRPr="0092614A">
        <w:rPr>
          <w:lang w:val="uk-UA"/>
        </w:rPr>
        <w:t xml:space="preserve">- </w:t>
      </w:r>
      <w:r w:rsidRPr="0092614A">
        <w:rPr>
          <w:lang w:val="uk-UA"/>
        </w:rPr>
        <w:t>і відеозаписів, комп'ютерних програм на володіння, користування та розпорядження результатами своєї інтелектуальної праці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На практиці ж бачимо, як неприховане піратськ</w:t>
      </w:r>
      <w:r w:rsidR="007B2CDA">
        <w:rPr>
          <w:lang w:val="uk-UA"/>
        </w:rPr>
        <w:t>і</w:t>
      </w:r>
      <w:r w:rsidRPr="0092614A">
        <w:rPr>
          <w:lang w:val="uk-UA"/>
        </w:rPr>
        <w:t xml:space="preserve"> використовуються численні твори і фонограми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Подолання цього небезпечного для суспільства явища можливе шляхом вжиття заходів системного характеру, енергійним та рішучим формуванням цивілізованого ринку інтелектуальної власності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До першочергових заходів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1999</w:t>
      </w:r>
      <w:r w:rsidR="0092614A" w:rsidRPr="0092614A">
        <w:rPr>
          <w:lang w:val="uk-UA"/>
        </w:rPr>
        <w:t>-</w:t>
      </w:r>
      <w:r w:rsidRPr="0092614A">
        <w:rPr>
          <w:lang w:val="uk-UA"/>
        </w:rPr>
        <w:t>2000 роки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відносяться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запровадження контрольних знаків на примірники аудіовізуальних творів і фонограм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забезпечення розрахунків театрально-концертних організацій, студій звукозапису, організацій телерадіомовлення з авторами за використання творів літератури і мистецтва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встановлення мінімальних ставок авторської винагороди за видання творів науки, літератури і мистецтва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створення громадських організацій виробників і розповсюджувачів аудіовізуальної і фонограмної продукції в Україні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організація науково-виробничого центру з проблем виготовлення кодованих голографічних захисних елементів для об'єктів авторського права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підготовка методичних розробок стосовно боротьби з піратством у сфері аудіовізуальної та фонограмної продукції, комп'ютерних програм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координація діяльності органів виконавчої влади різної функціональної спрямованості як неодмінна умова забезпечення правомірного використання об'єктів інтелектуальної власності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Забезпечення беззастережно правомірного використання в Україні творів вітчизняних і зарубіжних авторів, проведення ефективної боротьби з піратством у сфері звуко</w:t>
      </w:r>
      <w:r w:rsidR="0092614A" w:rsidRPr="0092614A">
        <w:rPr>
          <w:lang w:val="uk-UA"/>
        </w:rPr>
        <w:t xml:space="preserve">- </w:t>
      </w:r>
      <w:r w:rsidRPr="0092614A">
        <w:rPr>
          <w:lang w:val="uk-UA"/>
        </w:rPr>
        <w:t>і відеозаписів, книговидання, поширення комп'ютерних програм дозволять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суттєво поліпшити матеріальне становище представників художньої інтелігенції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покращити фінансування вітчизняної культури і науки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забезпечити виконання Україною міжнародних зобов'язань у сфері охорони об'єктів авторського права і суміжних прав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привести національне законодавство з авторського права і суміжних прав до вимог Угоди про торговельні аспекти прав інтелектуальної власності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Угода ТРІПС</w:t>
      </w:r>
      <w:r w:rsidR="0092614A" w:rsidRPr="0092614A">
        <w:rPr>
          <w:lang w:val="uk-UA"/>
        </w:rPr>
        <w:t>);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інтенсифікувати процес вигідного розвитку міжнародних духовних обмінів, перш за все шляхом експорту на твори науки, літератури і мистецтва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До заходів наступного етапу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2000</w:t>
      </w:r>
      <w:r w:rsidR="0092614A" w:rsidRPr="0092614A">
        <w:rPr>
          <w:lang w:val="uk-UA"/>
        </w:rPr>
        <w:t>-</w:t>
      </w:r>
      <w:r w:rsidRPr="0092614A">
        <w:rPr>
          <w:lang w:val="uk-UA"/>
        </w:rPr>
        <w:t>2007 роки</w:t>
      </w:r>
      <w:r w:rsidR="0092614A" w:rsidRPr="0092614A">
        <w:rPr>
          <w:lang w:val="uk-UA"/>
        </w:rPr>
        <w:t>):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відноситься завершення створення системи, що забезпечує правомірне використання об'єктів авторського права і суміжних прав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Визначення переліку цих заходів має здійснюватися у ході переговорів про приєднання України до ЄС на основі двосторонніх консультацій сторін та з урахуванням рекомендацій органів ЄС і досвіду інших держав-учасниць ЄС</w:t>
      </w:r>
      <w:r w:rsidR="0092614A" w:rsidRPr="0092614A">
        <w:rPr>
          <w:lang w:val="uk-UA"/>
        </w:rPr>
        <w:t>.</w:t>
      </w:r>
    </w:p>
    <w:p w:rsidR="007B2CDA" w:rsidRDefault="007B2CDA" w:rsidP="0092614A">
      <w:pPr>
        <w:rPr>
          <w:lang w:val="uk-UA"/>
        </w:rPr>
      </w:pPr>
    </w:p>
    <w:p w:rsidR="0092614A" w:rsidRPr="0092614A" w:rsidRDefault="00C65F92" w:rsidP="007B2CDA">
      <w:pPr>
        <w:pStyle w:val="2"/>
      </w:pPr>
      <w:bookmarkStart w:id="9" w:name="_Toc247193158"/>
      <w:r w:rsidRPr="0092614A">
        <w:rPr>
          <w:lang w:val="uk-UA"/>
        </w:rPr>
        <w:t>10</w:t>
      </w:r>
      <w:r w:rsidR="0092614A" w:rsidRPr="0092614A">
        <w:t xml:space="preserve">. </w:t>
      </w:r>
      <w:r w:rsidR="004842F8" w:rsidRPr="0092614A">
        <w:rPr>
          <w:lang w:val="uk-UA"/>
        </w:rPr>
        <w:t>Розвиток та удосконалення інституційної бази охорони авторського права і суміжних прав та механізмів її впровадження</w:t>
      </w:r>
      <w:bookmarkEnd w:id="9"/>
    </w:p>
    <w:p w:rsidR="007B2CDA" w:rsidRDefault="007B2CDA" w:rsidP="0092614A">
      <w:pPr>
        <w:rPr>
          <w:lang w:val="uk-UA"/>
        </w:rPr>
      </w:pP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Важливим фактором у процесі забезпечення правомірного використання творів, комп'ютерних програм, фонограм є формування та удосконалення адміністративних структур та юридичних механізмів, що забезпечують охорону авторського права і суміжних прав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1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Перш</w:t>
      </w:r>
      <w:r w:rsidR="003E7350" w:rsidRPr="0092614A">
        <w:rPr>
          <w:lang w:val="uk-UA"/>
        </w:rPr>
        <w:t>очергові заходи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Створення консультативних рад при ДААСПі з представників авторської громадськості, заінтересованих міністерств і відомств, творчих спілок для більш ефективного забезпечення прав і законних інтересів авторів, виконавців, виробників фонограм, організацій мовлення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Складання відповідно до вимог міжнародних конвенцій і угод зведеного каталогу авторів, зведеного каталогу творів, зведеного каталогу користувачів творів</w:t>
      </w:r>
      <w:r w:rsidR="0092614A" w:rsidRPr="0092614A">
        <w:rPr>
          <w:lang w:val="uk-UA"/>
        </w:rPr>
        <w:t xml:space="preserve"> - </w:t>
      </w:r>
      <w:r w:rsidRPr="0092614A">
        <w:rPr>
          <w:lang w:val="uk-UA"/>
        </w:rPr>
        <w:t>платників авторської винагороди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 xml:space="preserve">Забезпечення виплати авторської винагороди за використання творів на радіо і телебаченні, при звукозаписі, за публічне виконання відеофільмів, за </w:t>
      </w:r>
      <w:r w:rsidRPr="0092614A">
        <w:rPr>
          <w:i/>
          <w:iCs/>
          <w:lang w:val="uk-UA"/>
        </w:rPr>
        <w:t xml:space="preserve">виготовлення чи імпорт обладнання, використовуваного для відтворення творів в особистих </w:t>
      </w:r>
      <w:r w:rsidRPr="0092614A">
        <w:rPr>
          <w:lang w:val="uk-UA"/>
        </w:rPr>
        <w:t>цілях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Розробка видавничого проекту, організація і видання бюлетеня з проблем авторського права і суміжних прав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i/>
          <w:iCs/>
          <w:lang w:val="uk-UA"/>
        </w:rPr>
        <w:t>Поліпшення взаємодії інституцій різного рівня у процесі забезпечення правомірного використання творів, комп'ютерних програм, фонограм</w:t>
      </w:r>
      <w:r w:rsidR="0092614A" w:rsidRPr="0092614A">
        <w:rPr>
          <w:i/>
          <w:iCs/>
          <w:lang w:val="uk-UA"/>
        </w:rPr>
        <w:t xml:space="preserve">. </w:t>
      </w:r>
      <w:r w:rsidRPr="0092614A">
        <w:rPr>
          <w:lang w:val="uk-UA"/>
        </w:rPr>
        <w:t xml:space="preserve">Створення </w:t>
      </w:r>
      <w:r w:rsidRPr="0092614A">
        <w:rPr>
          <w:i/>
          <w:iCs/>
          <w:lang w:val="uk-UA"/>
        </w:rPr>
        <w:t xml:space="preserve">міжвідомчої комісії з питань охорони прав та використання об'єктів інтелектуальної </w:t>
      </w:r>
      <w:r w:rsidRPr="0092614A">
        <w:rPr>
          <w:lang w:val="uk-UA"/>
        </w:rPr>
        <w:t>власності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2</w:t>
      </w:r>
      <w:r w:rsidR="0092614A" w:rsidRPr="0092614A">
        <w:rPr>
          <w:lang w:val="uk-UA"/>
        </w:rPr>
        <w:t xml:space="preserve">. </w:t>
      </w:r>
      <w:r w:rsidRPr="0092614A">
        <w:rPr>
          <w:lang w:val="uk-UA"/>
        </w:rPr>
        <w:t>Заход</w:t>
      </w:r>
      <w:r w:rsidR="003E7350" w:rsidRPr="0092614A">
        <w:rPr>
          <w:lang w:val="uk-UA"/>
        </w:rPr>
        <w:t>и першого етапу</w:t>
      </w:r>
      <w:r w:rsidR="0092614A" w:rsidRPr="0092614A">
        <w:rPr>
          <w:lang w:val="uk-UA"/>
        </w:rPr>
        <w:t>: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Укладання двосторонніх угод про взаємне представництво інтересів з авторсько-правовими організаціями держав-членів ЄС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Вивчення і впровадження досвіду держав-членів ЄС у нормотворчій роботі, системі охорони об'єктів авторського права і суміжних прав</w:t>
      </w:r>
      <w:r w:rsidR="0092614A">
        <w:rPr>
          <w:lang w:val="uk-UA"/>
        </w:rPr>
        <w:t xml:space="preserve"> (</w:t>
      </w:r>
      <w:r w:rsidR="007B2CDA">
        <w:rPr>
          <w:lang w:val="uk-UA"/>
        </w:rPr>
        <w:t>практика до</w:t>
      </w:r>
      <w:r w:rsidRPr="0092614A">
        <w:rPr>
          <w:lang w:val="uk-UA"/>
        </w:rPr>
        <w:t>судового і судового розгляду конфліктних справ, боротьба з піратством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управління майновими права на колективній основі, у створенні фондів матеріальної допомоги членам авторсько-правових товариств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Створення цілісної системи охорони об'єктів авторського права і суміжних прав із врахуванням досвіду європейських країн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Розробка комплексу програм для розподілу гонорару у ВКВ за публічне виконання творів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розподіл, виплата, бухгалтерський облік</w:t>
      </w:r>
      <w:r w:rsidR="0092614A" w:rsidRPr="0092614A">
        <w:rPr>
          <w:lang w:val="uk-UA"/>
        </w:rPr>
        <w:t>);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 xml:space="preserve">Створення локальної мережі </w:t>
      </w:r>
      <w:r w:rsidRPr="0092614A">
        <w:t xml:space="preserve">ПК для </w:t>
      </w:r>
      <w:r w:rsidRPr="0092614A">
        <w:rPr>
          <w:lang w:val="uk-UA"/>
        </w:rPr>
        <w:t>роботи з базою даних щодо експорту прав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 xml:space="preserve">Удосконалення системи органів адміністративної юстиції, </w:t>
      </w:r>
      <w:r w:rsidR="003E7350" w:rsidRPr="0092614A">
        <w:rPr>
          <w:lang w:val="uk-UA"/>
        </w:rPr>
        <w:t>які забезпечують правомірне втілення</w:t>
      </w:r>
      <w:r w:rsidRPr="0092614A">
        <w:rPr>
          <w:lang w:val="uk-UA"/>
        </w:rPr>
        <w:t xml:space="preserve"> суміжних прав шляхом утворення нових інституцій у зазначеній системі, зокрема спеціальних структурних одиниць з питань захисту інтелектуальної власності в органах прокуратури та МВС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Розробка та впровадження механізмів міжнародного співробітництва між авторсько-правовими відомствами України та держав-членів ЄС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Утворення спеціального суду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спеціалізація в судах</w:t>
      </w:r>
      <w:r w:rsidR="0092614A" w:rsidRPr="0092614A">
        <w:rPr>
          <w:lang w:val="uk-UA"/>
        </w:rPr>
        <w:t xml:space="preserve">) </w:t>
      </w:r>
      <w:r w:rsidRPr="0092614A">
        <w:rPr>
          <w:lang w:val="uk-UA"/>
        </w:rPr>
        <w:t>з питань інтелектуальної власності</w:t>
      </w:r>
      <w:r w:rsidR="0092614A" w:rsidRPr="0092614A">
        <w:rPr>
          <w:lang w:val="uk-UA"/>
        </w:rPr>
        <w:t xml:space="preserve">: </w:t>
      </w:r>
      <w:r w:rsidRPr="0092614A">
        <w:rPr>
          <w:lang w:val="uk-UA"/>
        </w:rPr>
        <w:t>розробка положень щодо утворення спеціалізованого суду з питань інтелектуальної власності</w:t>
      </w:r>
      <w:r w:rsidR="0092614A" w:rsidRPr="0092614A">
        <w:rPr>
          <w:lang w:val="uk-UA"/>
        </w:rPr>
        <w:t xml:space="preserve">; </w:t>
      </w:r>
      <w:r w:rsidRPr="0092614A">
        <w:rPr>
          <w:lang w:val="uk-UA"/>
        </w:rPr>
        <w:t>наукове обгрунтування концепції створення такого суду</w:t>
      </w:r>
      <w:r w:rsidR="0092614A" w:rsidRPr="0092614A">
        <w:rPr>
          <w:lang w:val="uk-UA"/>
        </w:rPr>
        <w:t xml:space="preserve">; </w:t>
      </w:r>
      <w:r w:rsidRPr="0092614A">
        <w:rPr>
          <w:lang w:val="uk-UA"/>
        </w:rPr>
        <w:t>кваліфікаційна підготовка суддів</w:t>
      </w:r>
      <w:r w:rsidR="0092614A" w:rsidRPr="0092614A">
        <w:rPr>
          <w:lang w:val="uk-UA"/>
        </w:rPr>
        <w:t xml:space="preserve">; </w:t>
      </w:r>
      <w:r w:rsidRPr="0092614A">
        <w:rPr>
          <w:lang w:val="uk-UA"/>
        </w:rPr>
        <w:t>взаємодія ДААСПу із судовими органами</w:t>
      </w:r>
      <w:r w:rsidR="0092614A" w:rsidRPr="0092614A">
        <w:rPr>
          <w:lang w:val="uk-UA"/>
        </w:rPr>
        <w:t>;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Залучення міжнародної технічної допомоги для розвитку та удосконалення інституційної бази охорони авторського права і суміжних прав</w:t>
      </w:r>
      <w:r w:rsidR="0092614A" w:rsidRPr="0092614A">
        <w:rPr>
          <w:lang w:val="uk-UA"/>
        </w:rPr>
        <w:t>.</w:t>
      </w:r>
    </w:p>
    <w:p w:rsidR="0092614A" w:rsidRDefault="004842F8" w:rsidP="0092614A">
      <w:pPr>
        <w:rPr>
          <w:lang w:val="uk-UA"/>
        </w:rPr>
      </w:pPr>
      <w:r w:rsidRPr="0092614A">
        <w:rPr>
          <w:lang w:val="uk-UA"/>
        </w:rPr>
        <w:t>Визначення переліку цих заходів має здійснюватися у ході переговорів про приєднання України до ЄС, на основі двосторонніх консультацій сторін та з урахуванням рекомендацій органів ЄС і досвіду інших держав-учасниць ЄС</w:t>
      </w:r>
      <w:r w:rsidR="0092614A" w:rsidRPr="0092614A">
        <w:rPr>
          <w:lang w:val="uk-UA"/>
        </w:rPr>
        <w:t>.</w:t>
      </w:r>
    </w:p>
    <w:p w:rsidR="003E7350" w:rsidRPr="0092614A" w:rsidRDefault="004842F8" w:rsidP="007B2CDA">
      <w:pPr>
        <w:rPr>
          <w:lang w:val="uk-UA"/>
        </w:rPr>
      </w:pPr>
      <w:r w:rsidRPr="0092614A">
        <w:rPr>
          <w:lang w:val="uk-UA"/>
        </w:rPr>
        <w:t>Фінансове забезпечення Програми інтеграції України до ЄС у галузі авторського права і суміжних прав здійснюватиметься за рахунок коштів Державного агентства України з авторських і суміжних прав, Програми ТАСІС</w:t>
      </w:r>
      <w:r w:rsidR="0092614A">
        <w:rPr>
          <w:lang w:val="uk-UA"/>
        </w:rPr>
        <w:t xml:space="preserve"> "</w:t>
      </w:r>
      <w:r w:rsidRPr="0092614A">
        <w:rPr>
          <w:lang w:val="uk-UA"/>
        </w:rPr>
        <w:t>Інтелектуальна власність</w:t>
      </w:r>
      <w:r w:rsidR="0092614A">
        <w:rPr>
          <w:lang w:val="uk-UA"/>
        </w:rPr>
        <w:t xml:space="preserve">", </w:t>
      </w:r>
      <w:r w:rsidRPr="0092614A">
        <w:rPr>
          <w:lang w:val="uk-UA"/>
        </w:rPr>
        <w:t>яка реалізуватиметься в Україні в 1999</w:t>
      </w:r>
      <w:r w:rsidR="0092614A" w:rsidRPr="0092614A">
        <w:rPr>
          <w:lang w:val="uk-UA"/>
        </w:rPr>
        <w:t>-</w:t>
      </w:r>
      <w:r w:rsidRPr="0092614A">
        <w:rPr>
          <w:lang w:val="uk-UA"/>
        </w:rPr>
        <w:t>2000 роках, фонду солідарності і грантів Міжнародної конфедерації товариств авторів і композиторів</w:t>
      </w:r>
      <w:r w:rsidR="0092614A">
        <w:rPr>
          <w:lang w:val="uk-UA"/>
        </w:rPr>
        <w:t xml:space="preserve"> (</w:t>
      </w:r>
      <w:r w:rsidRPr="0092614A">
        <w:rPr>
          <w:lang w:val="uk-UA"/>
        </w:rPr>
        <w:t>СІЗАК</w:t>
      </w:r>
      <w:r w:rsidR="0092614A" w:rsidRPr="0092614A">
        <w:rPr>
          <w:lang w:val="uk-UA"/>
        </w:rPr>
        <w:t>),</w:t>
      </w:r>
      <w:r w:rsidRPr="0092614A">
        <w:rPr>
          <w:lang w:val="uk-UA"/>
        </w:rPr>
        <w:t xml:space="preserve"> членом якої є ДААСП України</w:t>
      </w:r>
      <w:r w:rsidR="0092614A" w:rsidRPr="0092614A">
        <w:rPr>
          <w:lang w:val="uk-UA"/>
        </w:rPr>
        <w:t>.</w:t>
      </w:r>
      <w:bookmarkStart w:id="10" w:name="_GoBack"/>
      <w:bookmarkEnd w:id="10"/>
    </w:p>
    <w:sectPr w:rsidR="003E7350" w:rsidRPr="0092614A" w:rsidSect="0092614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67E" w:rsidRDefault="0068167E">
      <w:r>
        <w:separator/>
      </w:r>
    </w:p>
  </w:endnote>
  <w:endnote w:type="continuationSeparator" w:id="0">
    <w:p w:rsidR="0068167E" w:rsidRDefault="0068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D9" w:rsidRDefault="00353FD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D9" w:rsidRDefault="00353FD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67E" w:rsidRDefault="0068167E">
      <w:r>
        <w:separator/>
      </w:r>
    </w:p>
  </w:footnote>
  <w:footnote w:type="continuationSeparator" w:id="0">
    <w:p w:rsidR="0068167E" w:rsidRDefault="00681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D9" w:rsidRDefault="000D3A04" w:rsidP="0092614A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53FD9" w:rsidRDefault="00353FD9" w:rsidP="0092614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D9" w:rsidRDefault="00353F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3C5E10"/>
    <w:multiLevelType w:val="hybridMultilevel"/>
    <w:tmpl w:val="A84863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2F8"/>
    <w:rsid w:val="00075EE1"/>
    <w:rsid w:val="000D3A04"/>
    <w:rsid w:val="00197950"/>
    <w:rsid w:val="00284DD8"/>
    <w:rsid w:val="003069C9"/>
    <w:rsid w:val="00353FD9"/>
    <w:rsid w:val="0038512E"/>
    <w:rsid w:val="003900F0"/>
    <w:rsid w:val="003C758A"/>
    <w:rsid w:val="003E7350"/>
    <w:rsid w:val="00424ECD"/>
    <w:rsid w:val="004842F8"/>
    <w:rsid w:val="0068167E"/>
    <w:rsid w:val="00747625"/>
    <w:rsid w:val="007B2CDA"/>
    <w:rsid w:val="007F3628"/>
    <w:rsid w:val="00840B74"/>
    <w:rsid w:val="00882BF1"/>
    <w:rsid w:val="00910D10"/>
    <w:rsid w:val="00911AE2"/>
    <w:rsid w:val="0092614A"/>
    <w:rsid w:val="00966FF7"/>
    <w:rsid w:val="00A164DB"/>
    <w:rsid w:val="00B433B5"/>
    <w:rsid w:val="00BC4755"/>
    <w:rsid w:val="00C65F92"/>
    <w:rsid w:val="00CA527F"/>
    <w:rsid w:val="00DF57C3"/>
    <w:rsid w:val="00FA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4561AA-5E59-45DD-BD3F-440C5333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2614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2614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2614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92614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2614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2614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2614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2614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2614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9261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92614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92614A"/>
    <w:rPr>
      <w:vertAlign w:val="superscript"/>
    </w:rPr>
  </w:style>
  <w:style w:type="paragraph" w:styleId="a7">
    <w:name w:val="Body Text"/>
    <w:basedOn w:val="a2"/>
    <w:link w:val="aa"/>
    <w:uiPriority w:val="99"/>
    <w:rsid w:val="0092614A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92614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92614A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92614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92614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92614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92614A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92614A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92614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92614A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92614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2614A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92614A"/>
  </w:style>
  <w:style w:type="character" w:customStyle="1" w:styleId="af5">
    <w:name w:val="номер страницы"/>
    <w:uiPriority w:val="99"/>
    <w:rsid w:val="0092614A"/>
    <w:rPr>
      <w:sz w:val="28"/>
      <w:szCs w:val="28"/>
    </w:rPr>
  </w:style>
  <w:style w:type="paragraph" w:styleId="af6">
    <w:name w:val="Normal (Web)"/>
    <w:basedOn w:val="a2"/>
    <w:uiPriority w:val="99"/>
    <w:rsid w:val="0092614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92614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2614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2614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2614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2614A"/>
    <w:pPr>
      <w:ind w:left="958"/>
    </w:pPr>
  </w:style>
  <w:style w:type="paragraph" w:styleId="23">
    <w:name w:val="Body Text Indent 2"/>
    <w:basedOn w:val="a2"/>
    <w:link w:val="24"/>
    <w:uiPriority w:val="99"/>
    <w:rsid w:val="0092614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2614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92614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92614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2614A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2614A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2614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2614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2614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2614A"/>
    <w:rPr>
      <w:i/>
      <w:iCs/>
    </w:rPr>
  </w:style>
  <w:style w:type="paragraph" w:customStyle="1" w:styleId="af9">
    <w:name w:val="ТАБЛИЦА"/>
    <w:next w:val="a2"/>
    <w:autoRedefine/>
    <w:uiPriority w:val="99"/>
    <w:rsid w:val="0092614A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92614A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92614A"/>
  </w:style>
  <w:style w:type="table" w:customStyle="1" w:styleId="15">
    <w:name w:val="Стиль таблицы1"/>
    <w:basedOn w:val="a4"/>
    <w:uiPriority w:val="99"/>
    <w:rsid w:val="0092614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92614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92614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92614A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92614A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92614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3618</Words>
  <Characters>20625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КОНЦЕПЦІЯ</vt:lpstr>
    </vt:vector>
  </TitlesOfParts>
  <Company>Организация</Company>
  <LinksUpToDate>false</LinksUpToDate>
  <CharactersWithSpaces>24195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КОНЦЕПЦІЯ</dc:title>
  <dc:subject/>
  <dc:creator>Customer</dc:creator>
  <cp:keywords/>
  <dc:description/>
  <cp:lastModifiedBy>admin</cp:lastModifiedBy>
  <cp:revision>2</cp:revision>
  <dcterms:created xsi:type="dcterms:W3CDTF">2014-03-07T05:39:00Z</dcterms:created>
  <dcterms:modified xsi:type="dcterms:W3CDTF">2014-03-07T05:39:00Z</dcterms:modified>
</cp:coreProperties>
</file>