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46D" w:rsidRDefault="0040246D">
      <w:pPr>
        <w:pStyle w:val="a8"/>
        <w:rPr>
          <w:caps/>
          <w:sz w:val="28"/>
          <w:szCs w:val="28"/>
        </w:rPr>
      </w:pPr>
      <w:r>
        <w:rPr>
          <w:caps/>
          <w:sz w:val="28"/>
          <w:szCs w:val="28"/>
        </w:rPr>
        <w:t>Влияние температуры на миграционно-ускоренное тушение фосфоресценции нафталина кислородом в стеклообразном толуоле</w:t>
      </w:r>
    </w:p>
    <w:p w:rsidR="0040246D" w:rsidRDefault="0040246D">
      <w:pPr>
        <w:pStyle w:val="a8"/>
        <w:ind w:firstLine="570"/>
        <w:rPr>
          <w:caps/>
          <w:sz w:val="28"/>
          <w:szCs w:val="28"/>
        </w:rPr>
      </w:pPr>
    </w:p>
    <w:p w:rsidR="0040246D" w:rsidRDefault="0040246D">
      <w:pPr>
        <w:autoSpaceDE w:val="0"/>
        <w:autoSpaceDN w:val="0"/>
        <w:ind w:firstLine="57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Гаджиалиева И.В., Шаповалова А.М., Куликова О.И.</w:t>
      </w:r>
    </w:p>
    <w:p w:rsidR="0040246D" w:rsidRDefault="0040246D">
      <w:pPr>
        <w:autoSpaceDE w:val="0"/>
        <w:autoSpaceDN w:val="0"/>
        <w:ind w:firstLine="570"/>
        <w:rPr>
          <w:i/>
          <w:iCs/>
          <w:sz w:val="28"/>
          <w:szCs w:val="28"/>
          <w:u w:val="single"/>
        </w:rPr>
      </w:pPr>
    </w:p>
    <w:p w:rsidR="0040246D" w:rsidRDefault="0040246D">
      <w:pPr>
        <w:autoSpaceDE w:val="0"/>
        <w:autoSpaceDN w:val="0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Исследована температурная зависимость эффективности миграционно-ускоренного тушения триплетных возбуждений нафталина молекулами кислорода в необезгаженном стеклообразном растворе толуола. В качестве объектов исследования были выбраны растворы нафталина в стеклообразном толуоле трех концентраций: 0.1; 0.3 и 0.4 М. При концентрации 0.1 М среднее расстояние между молекулами нафталина больше радиуса обменных взаимодействий и, следовательно, миграция по триплетным уровням отсутствует. Для концентраций раствора 0.3 и 0.4 М это расстояние превышает радиус обменных взаимодействий и миграция возбуждений по триплетным уровням уже существует [1].</w:t>
      </w:r>
    </w:p>
    <w:p w:rsidR="0040246D" w:rsidRDefault="0040246D">
      <w:pPr>
        <w:autoSpaceDE w:val="0"/>
        <w:autoSpaceDN w:val="0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экспериментальных методов наряду со спектральными использовались кинетические методы исследования. Измерения производились на спектрофлуориметрической установке, подробное описание которой приведено в [1]. </w:t>
      </w:r>
    </w:p>
    <w:p w:rsidR="0040246D" w:rsidRDefault="0040246D">
      <w:pPr>
        <w:autoSpaceDE w:val="0"/>
        <w:autoSpaceDN w:val="0"/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Кинетические методы позволяли определять константу скорости миграционно-ускоренного тушения триплетных возбуждений нафталина кислородом при различных температурах. В свою очередь, полученная  зависимость константы скорости миграционно-ускоренного тушения от температуры позволяла вычислить энергию активации процесса.</w:t>
      </w:r>
    </w:p>
    <w:p w:rsidR="0040246D" w:rsidRDefault="0040246D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концентрациях  нафталина 0.3 М (рис.1) в области от 77 до   110 К тушение обусловлено наличием кислорода в растворе. Поскольку данный вид тушения существует при одновременном наличии кислорода и миграции возбуждений по триплетным уровням нафталина, можно утверждать, что причиной тушения в области 77-110 К является миграционно-ускоренное тушение возбуждений на молекулах  кислорода. При этом константа скорости миграционно-ускоренного тушения увеличивается с ростом температуры. Ее можно вычислить из результатов кинетических экспериментов:</w:t>
      </w:r>
    </w:p>
    <w:p w:rsidR="0040246D" w:rsidRDefault="003F2020">
      <w:pPr>
        <w:spacing w:before="120"/>
        <w:ind w:firstLine="567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14.25pt">
            <v:imagedata r:id="rId7" o:title=""/>
          </v:shape>
        </w:pict>
      </w:r>
      <w:r w:rsidR="0040246D">
        <w:rPr>
          <w:sz w:val="28"/>
          <w:szCs w:val="28"/>
        </w:rPr>
        <w:t>,</w:t>
      </w:r>
    </w:p>
    <w:p w:rsidR="0040246D" w:rsidRDefault="0040246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3F2020">
        <w:rPr>
          <w:position w:val="-10"/>
          <w:sz w:val="28"/>
          <w:szCs w:val="28"/>
        </w:rPr>
        <w:pict>
          <v:shape id="_x0000_i1026" type="#_x0000_t75" style="width:63.75pt;height:15pt">
            <v:imagedata r:id="rId8" o:title=""/>
          </v:shape>
        </w:pict>
      </w:r>
      <w:r>
        <w:rPr>
          <w:sz w:val="28"/>
          <w:szCs w:val="28"/>
        </w:rPr>
        <w:t xml:space="preserve"> - величина, обратная времени затухания фосфоресценции нафталина при разных температурах; </w:t>
      </w:r>
      <w:r w:rsidR="003F2020">
        <w:rPr>
          <w:position w:val="-10"/>
          <w:sz w:val="28"/>
          <w:szCs w:val="28"/>
        </w:rPr>
        <w:pict>
          <v:shape id="_x0000_i1027" type="#_x0000_t75" style="width:30.75pt;height:17.25pt">
            <v:imagedata r:id="rId9" o:title=""/>
          </v:shape>
        </w:pict>
      </w:r>
      <w:r>
        <w:rPr>
          <w:sz w:val="28"/>
          <w:szCs w:val="28"/>
        </w:rPr>
        <w:t xml:space="preserve"> - величина, обратная времени затухания при 77 К для обезгаженного раствора (поскольку она остается постоянной в данной температурной области).</w:t>
      </w:r>
    </w:p>
    <w:p w:rsidR="0040246D" w:rsidRDefault="003F2020">
      <w:pPr>
        <w:spacing w:before="120"/>
        <w:ind w:firstLine="567"/>
        <w:jc w:val="both"/>
        <w:rPr>
          <w:sz w:val="28"/>
          <w:szCs w:val="28"/>
        </w:rPr>
      </w:pPr>
      <w:r>
        <w:rPr>
          <w:noProof/>
        </w:rPr>
        <w:lastRenderedPageBreak/>
        <w:pict>
          <v:shape id="_x0000_s1026" type="#_x0000_t75" style="position:absolute;left:0;text-align:left;margin-left:0;margin-top:12.65pt;width:300.7pt;height:271.45pt;z-index:251657216">
            <v:imagedata r:id="rId10" o:title=""/>
            <w10:wrap type="square"/>
          </v:shape>
        </w:pict>
      </w:r>
      <w:r w:rsidR="0040246D">
        <w:rPr>
          <w:sz w:val="28"/>
          <w:szCs w:val="28"/>
        </w:rPr>
        <w:t xml:space="preserve">Данные по изменению </w:t>
      </w:r>
      <w:r w:rsidR="0040246D">
        <w:rPr>
          <w:i/>
          <w:iCs/>
          <w:sz w:val="28"/>
          <w:szCs w:val="28"/>
          <w:lang w:val="en-US"/>
        </w:rPr>
        <w:t>k</w:t>
      </w:r>
      <w:r w:rsidR="0040246D">
        <w:rPr>
          <w:i/>
          <w:iCs/>
          <w:sz w:val="28"/>
          <w:szCs w:val="28"/>
          <w:vertAlign w:val="subscript"/>
          <w:lang w:val="en-US"/>
        </w:rPr>
        <w:t>m</w:t>
      </w:r>
      <w:r w:rsidR="0040246D">
        <w:rPr>
          <w:sz w:val="28"/>
          <w:szCs w:val="28"/>
        </w:rPr>
        <w:t xml:space="preserve"> в зависимости от температуры приведены  на рис. 2 в предположении, что эта зависимость имеет аррениусовский характер:</w:t>
      </w:r>
    </w:p>
    <w:p w:rsidR="0040246D" w:rsidRDefault="003F2020">
      <w:pPr>
        <w:spacing w:before="120"/>
        <w:ind w:firstLine="567"/>
        <w:jc w:val="center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28" type="#_x0000_t75" style="width:98.25pt;height:24pt">
            <v:imagedata r:id="rId11" o:title=""/>
          </v:shape>
        </w:pict>
      </w:r>
      <w:r w:rsidR="0040246D">
        <w:rPr>
          <w:sz w:val="28"/>
          <w:szCs w:val="28"/>
        </w:rPr>
        <w:t>.</w:t>
      </w:r>
    </w:p>
    <w:p w:rsidR="0040246D" w:rsidRDefault="0040246D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Опираясь на полученные экспериментальные данные можно отметить, что на начальном участке при концентрации 0.3 М в области от 77 до 102 К точки хорошо укладываются на экспоненту (прямая линия). Для концентрации 0.4 М  - эта область  от 77 до 95 К. Таким образом, можно сделать вывод, что причиной увеличения константы скорости мигационно-ускоренного тушения в этой области является активационный процесс. Энергия активации данного процесса </w:t>
      </w:r>
      <w:r>
        <w:rPr>
          <w:i/>
          <w:iCs/>
          <w:sz w:val="28"/>
          <w:szCs w:val="28"/>
        </w:rPr>
        <w:t>Е</w:t>
      </w:r>
      <w:r>
        <w:rPr>
          <w:i/>
          <w:iCs/>
          <w:sz w:val="28"/>
          <w:szCs w:val="28"/>
          <w:vertAlign w:val="subscript"/>
        </w:rPr>
        <w:t>А</w:t>
      </w:r>
      <w:r>
        <w:rPr>
          <w:sz w:val="28"/>
          <w:szCs w:val="28"/>
        </w:rPr>
        <w:t>, вычисленная из рис.2, для обеих концентраций составляет 220 см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, что в пределах ошибки измерений совпадает с полушириной 0-0 полосы спектра фосфоресценции нафталина (250 см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).</w:t>
      </w:r>
    </w:p>
    <w:p w:rsidR="0040246D" w:rsidRDefault="003F2020">
      <w:pPr>
        <w:spacing w:before="120"/>
        <w:ind w:firstLine="567"/>
        <w:jc w:val="both"/>
        <w:rPr>
          <w:b/>
          <w:bCs/>
          <w:sz w:val="28"/>
          <w:szCs w:val="28"/>
        </w:rPr>
      </w:pPr>
      <w:r>
        <w:rPr>
          <w:noProof/>
        </w:rPr>
        <w:object w:dxaOrig="1440" w:dyaOrig="1440">
          <v:group id="_x0000_s1065" style="position:absolute;left:0;text-align:left;margin-left:18pt;margin-top:1.5pt;width:279pt;height:225pt;z-index:251658240" coordorigin="3321,3654" coordsize="6120,5220">
            <v:group id="_x0000_s1066" style="position:absolute;left:3321;top:3654;width:6120;height:4381" coordorigin="2061,774" coordsize="6120,4381">
              <v:group id="_x0000_s1067" style="position:absolute;left:2061;top:774;width:6120;height:4381" coordorigin="2061,774" coordsize="6120,4381">
                <v:shape id="_x0000_s1068" type="#_x0000_t75" style="position:absolute;left:2061;top:954;width:4321;height:4201" fillcolor="black" strokecolor="white" strokeweight="3e-5mm">
                  <v:imagedata r:id="rId12" o:title=""/>
                  <o:lock v:ext="edit" rotation="t"/>
                </v:shape>
                <v:line id="_x0000_s1069" style="position:absolute" from="2601,3294" to="5841,4554"/>
                <v:line id="_x0000_s1070" style="position:absolute;flip:x y" from="2601,1899" to="5841,3159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1" type="#_x0000_t202" style="position:absolute;left:3141;top:1854;width:360;height:360" filled="f" stroked="f">
                  <v:textbox style="mso-next-textbox:#_x0000_s1071" inset="0,0,0,0">
                    <w:txbxContent>
                      <w:p w:rsidR="00B22C75" w:rsidRDefault="003F2020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pict>
                            <v:shape id="_x0000_i1030" type="#_x0000_t75" style="width:14.25pt;height:13.5pt">
                              <v:imagedata r:id="rId13" o:title=""/>
                            </v:shape>
                          </w:pict>
                        </w:r>
                      </w:p>
                    </w:txbxContent>
                  </v:textbox>
                </v:shape>
                <v:shape id="_x0000_s1072" type="#_x0000_t202" style="position:absolute;left:3681;top:1854;width:360;height:360" filled="f" stroked="f">
                  <v:textbox style="mso-next-textbox:#_x0000_s1072" inset="0,0,0,0">
                    <w:txbxContent>
                      <w:p w:rsidR="00B22C75" w:rsidRDefault="00B22C75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shape>
                <v:shape id="_x0000_s1073" type="#_x0000_t202" style="position:absolute;left:4221;top:1854;width:360;height:360" filled="f" stroked="f">
                  <v:textbox style="mso-next-textbox:#_x0000_s1073" inset="0,0,0,0">
                    <w:txbxContent>
                      <w:p w:rsidR="00B22C75" w:rsidRDefault="00B22C75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110</w:t>
                        </w:r>
                      </w:p>
                    </w:txbxContent>
                  </v:textbox>
                </v:shape>
                <v:shape id="_x0000_s1074" type="#_x0000_t202" style="position:absolute;left:4941;top:1854;width:360;height:360" filled="f" stroked="f">
                  <v:textbox style="mso-next-textbox:#_x0000_s1074" inset="0,0,0,0">
                    <w:txbxContent>
                      <w:p w:rsidR="00B22C75" w:rsidRDefault="00B22C75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120</w:t>
                        </w:r>
                      </w:p>
                    </w:txbxContent>
                  </v:textbox>
                </v:shape>
                <v:shape id="_x0000_s1075" type="#_x0000_t202" style="position:absolute;left:5481;top:1854;width:360;height:360" filled="f" stroked="f">
                  <v:textbox style="mso-next-textbox:#_x0000_s1075" inset="0,0,0,0">
                    <w:txbxContent>
                      <w:p w:rsidR="00B22C75" w:rsidRDefault="00B22C75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130</w:t>
                        </w:r>
                      </w:p>
                    </w:txbxContent>
                  </v:textbox>
                </v:shape>
                <v:shape id="_x0000_s1076" type="#_x0000_t202" style="position:absolute;left:6021;top:1854;width:360;height:360" filled="f" stroked="f">
                  <v:textbox style="mso-next-textbox:#_x0000_s1076" inset="0,0,0,0">
                    <w:txbxContent>
                      <w:p w:rsidR="00B22C75" w:rsidRDefault="00B22C75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140</w:t>
                        </w:r>
                      </w:p>
                    </w:txbxContent>
                  </v:textbox>
                </v:shape>
                <v:shape id="_x0000_s1077" type="#_x0000_t202" style="position:absolute;left:2601;top:774;width:720;height:360" filled="f" stroked="f">
                  <v:textbox style="mso-next-textbox:#_x0000_s1077" inset="0,0,0,0">
                    <w:txbxContent>
                      <w:p w:rsidR="00B22C75" w:rsidRDefault="00B22C75">
                        <w:pPr>
                          <w:rPr>
                            <w:b/>
                            <w:bCs/>
                            <w:i/>
                            <w:iCs/>
                            <w:vertAlign w:val="subscript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  <w:lang w:val="en-US"/>
                          </w:rPr>
                          <w:t>ln k</w:t>
                        </w:r>
                        <w:r>
                          <w:rPr>
                            <w:b/>
                            <w:bCs/>
                            <w:i/>
                            <w:iCs/>
                            <w:vertAlign w:val="subscript"/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shape id="_x0000_s1078" type="#_x0000_t202" style="position:absolute;left:6561;top:2034;width:1620;height:540" filled="f" stroked="f">
                  <v:textbox style="mso-next-textbox:#_x0000_s1078" inset="0,0,0,0">
                    <w:txbxContent>
                      <w:p w:rsidR="00B22C75" w:rsidRDefault="00B22C75">
                        <w:pPr>
                          <w:rPr>
                            <w:b/>
                            <w:bCs/>
                            <w:vertAlign w:val="superscript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*10</w:t>
                        </w:r>
                        <w:r>
                          <w:rPr>
                            <w:b/>
                            <w:bCs/>
                            <w:vertAlign w:val="superscript"/>
                            <w:lang w:val="en-US"/>
                          </w:rPr>
                          <w:t>-4</w:t>
                        </w:r>
                        <w:r>
                          <w:rPr>
                            <w:b/>
                            <w:bCs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i/>
                            <w:iCs/>
                            <w:lang w:val="en-US"/>
                          </w:rPr>
                          <w:t>1/</w:t>
                        </w:r>
                        <w:r>
                          <w:rPr>
                            <w:b/>
                            <w:bCs/>
                            <w:i/>
                            <w:iCs/>
                          </w:rPr>
                          <w:t>Т</w:t>
                        </w:r>
                        <w:r>
                          <w:rPr>
                            <w:b/>
                            <w:bCs/>
                          </w:rPr>
                          <w:t>, К</w:t>
                        </w:r>
                        <w:r>
                          <w:rPr>
                            <w:b/>
                            <w:bCs/>
                            <w:vertAlign w:val="superscript"/>
                          </w:rPr>
                          <w:t>-1</w:t>
                        </w:r>
                      </w:p>
                    </w:txbxContent>
                  </v:textbox>
                </v:shape>
              </v:group>
              <v:shape id="_x0000_s1079" type="#_x0000_t202" style="position:absolute;left:5481;top:1854;width:360;height:360" filled="f" stroked="f">
                <v:textbox style="mso-next-textbox:#_x0000_s1079" inset="0,0,0,0">
                  <w:txbxContent>
                    <w:p w:rsidR="00B22C75" w:rsidRDefault="00B22C7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130</w:t>
                      </w:r>
                    </w:p>
                  </w:txbxContent>
                </v:textbox>
              </v:shape>
              <v:shape id="_x0000_s1080" type="#_x0000_t202" style="position:absolute;left:5661;top:4194;width:360;height:360" filled="f" stroked="f">
                <v:textbox style="mso-next-textbox:#_x0000_s1080" inset="0,0,0,0">
                  <w:txbxContent>
                    <w:p w:rsidR="00B22C75" w:rsidRDefault="00B22C75">
                      <w:pPr>
                        <w:rPr>
                          <w:b/>
                          <w:bCs/>
                          <w:lang w:val="en-US"/>
                        </w:rPr>
                      </w:pPr>
                      <w:r>
                        <w:rPr>
                          <w:b/>
                          <w:bCs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081" type="#_x0000_t202" style="position:absolute;left:5661;top:2754;width:360;height:360" filled="f" stroked="f">
                <v:textbox style="mso-next-textbox:#_x0000_s1081" inset="0,0,0,0">
                  <w:txbxContent>
                    <w:p w:rsidR="00B22C75" w:rsidRDefault="00B22C75">
                      <w:pPr>
                        <w:rPr>
                          <w:b/>
                          <w:bCs/>
                          <w:lang w:val="en-US"/>
                        </w:rPr>
                      </w:pPr>
                      <w:r>
                        <w:rPr>
                          <w:b/>
                          <w:bCs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1082" type="#_x0000_t202" style="position:absolute;left:2961;top:4014;width:720;height:720" filled="f" stroked="f">
                <v:textbox style="mso-next-textbox:#_x0000_s1082" inset="0,0,0,0">
                  <w:txbxContent>
                    <w:p w:rsidR="00B22C75" w:rsidRDefault="00B22C7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▲ </w:t>
                      </w:r>
                      <w:r>
                        <w:t xml:space="preserve">– </w:t>
                      </w:r>
                      <w:r>
                        <w:rPr>
                          <w:b/>
                          <w:bCs/>
                        </w:rPr>
                        <w:t>1</w:t>
                      </w:r>
                    </w:p>
                    <w:p w:rsidR="00B22C75" w:rsidRDefault="00B22C75">
                      <w:pPr>
                        <w:rPr>
                          <w:b/>
                          <w:bCs/>
                        </w:rPr>
                      </w:pPr>
                      <w:r>
                        <w:t xml:space="preserve">■  -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</w:p>
                  </w:txbxContent>
                </v:textbox>
              </v:shape>
            </v:group>
            <v:shape id="_x0000_s1083" type="#_x0000_t202" style="position:absolute;left:3681;top:7974;width:5400;height:900" filled="f" stroked="f">
              <v:textbox style="mso-next-textbox:#_x0000_s1083" inset="0,0,0,0">
                <w:txbxContent>
                  <w:p w:rsidR="00B22C75" w:rsidRDefault="00B22C75">
                    <w:pPr>
                      <w:jc w:val="both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Рис.2. Зависимость константы скорости миграционно-ускоренного тушения от температуры 1 - С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 xml:space="preserve">Н </w:t>
                    </w:r>
                    <w:r>
                      <w:rPr>
                        <w:sz w:val="20"/>
                        <w:szCs w:val="20"/>
                      </w:rPr>
                      <w:t>= 0,3 М,</w:t>
                    </w:r>
                  </w:p>
                  <w:p w:rsidR="00B22C75" w:rsidRDefault="00B22C75">
                    <w:pPr>
                      <w:jc w:val="both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2 - С</w:t>
                    </w:r>
                    <w:r>
                      <w:rPr>
                        <w:sz w:val="20"/>
                        <w:szCs w:val="20"/>
                        <w:vertAlign w:val="subscript"/>
                      </w:rPr>
                      <w:t xml:space="preserve">Н </w:t>
                    </w:r>
                    <w:r>
                      <w:rPr>
                        <w:sz w:val="20"/>
                        <w:szCs w:val="20"/>
                      </w:rPr>
                      <w:t>= 0,4 М.</w:t>
                    </w:r>
                  </w:p>
                </w:txbxContent>
              </v:textbox>
            </v:shape>
            <w10:wrap type="square" side="largest"/>
          </v:group>
          <o:OLEObject Type="Embed" ProgID="Excel.Sheet.8" ShapeID="_x0000_s1068" DrawAspect="Content" ObjectID="_1471684242" r:id="rId14">
            <o:FieldCodes>\s</o:FieldCodes>
          </o:OLEObject>
        </w:object>
      </w:r>
      <w:r w:rsidR="0040246D">
        <w:rPr>
          <w:sz w:val="28"/>
          <w:szCs w:val="28"/>
        </w:rPr>
        <w:t>На основании этого было выдвинуто предположение, что активационным  процессом, приводящим к увеличению скорости миграции с повышением температуры, является увеличение вероятности передачи возбуждений молекулам с более высоким расположением энергетических уровней в пределах их неоднородного уширения (обратная миграция). Следствием этого является  коротковолновое смещение спектра при повышении температуры от 77 К до 110 К для концентраций раствора 0.3 М и 0.4 М на величину более 40 см</w:t>
      </w:r>
      <w:r w:rsidR="0040246D">
        <w:rPr>
          <w:sz w:val="28"/>
          <w:szCs w:val="28"/>
          <w:vertAlign w:val="superscript"/>
        </w:rPr>
        <w:t>-1</w:t>
      </w:r>
      <w:r w:rsidR="0040246D">
        <w:rPr>
          <w:sz w:val="28"/>
          <w:szCs w:val="28"/>
        </w:rPr>
        <w:t>. В отсутствие миграции возбуждений (С</w:t>
      </w:r>
      <w:r w:rsidR="0040246D">
        <w:rPr>
          <w:sz w:val="28"/>
          <w:szCs w:val="28"/>
          <w:vertAlign w:val="subscript"/>
        </w:rPr>
        <w:t xml:space="preserve">Н </w:t>
      </w:r>
      <w:r w:rsidR="0040246D">
        <w:rPr>
          <w:sz w:val="28"/>
          <w:szCs w:val="28"/>
        </w:rPr>
        <w:t xml:space="preserve">= 0.1 М) изменение температуры не влияет на положение максимума 0-0 полосы. </w:t>
      </w:r>
    </w:p>
    <w:p w:rsidR="0040246D" w:rsidRDefault="0040246D">
      <w:pPr>
        <w:pStyle w:val="1"/>
        <w:rPr>
          <w:lang w:val="en-US"/>
        </w:rPr>
      </w:pPr>
      <w:r>
        <w:lastRenderedPageBreak/>
        <w:t>Литература</w:t>
      </w:r>
    </w:p>
    <w:p w:rsidR="0040246D" w:rsidRDefault="0040246D">
      <w:pPr>
        <w:tabs>
          <w:tab w:val="left" w:pos="8580"/>
        </w:tabs>
        <w:spacing w:before="120"/>
        <w:ind w:firstLine="567"/>
        <w:jc w:val="center"/>
        <w:rPr>
          <w:b/>
          <w:bCs/>
          <w:sz w:val="28"/>
          <w:szCs w:val="28"/>
          <w:lang w:val="en-US"/>
        </w:rPr>
      </w:pPr>
    </w:p>
    <w:p w:rsidR="0040246D" w:rsidRDefault="0040246D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Дерябин М.И., Вашкевич О.В., Шальнев А.Ю. Миграционно – ускоренное тушение кислородом триплетных возбуждений органических молекул в толуоле при 77 К// Известия высших учебных заведений. Физика. – 2004. – №5 – С. 89-82.</w:t>
      </w:r>
    </w:p>
    <w:p w:rsidR="0040246D" w:rsidRDefault="0040246D">
      <w:pPr>
        <w:tabs>
          <w:tab w:val="left" w:pos="8580"/>
        </w:tabs>
        <w:spacing w:before="120"/>
        <w:ind w:firstLine="567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sectPr w:rsidR="0040246D">
      <w:headerReference w:type="default" r:id="rId15"/>
      <w:pgSz w:w="11906" w:h="16838" w:code="9"/>
      <w:pgMar w:top="936" w:right="1219" w:bottom="1021" w:left="1219" w:header="709" w:footer="1049" w:gutter="0"/>
      <w:cols w:space="708" w:equalWidth="0">
        <w:col w:w="946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46D" w:rsidRDefault="0040246D">
      <w:r>
        <w:separator/>
      </w:r>
    </w:p>
  </w:endnote>
  <w:endnote w:type="continuationSeparator" w:id="0">
    <w:p w:rsidR="0040246D" w:rsidRDefault="00402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46D" w:rsidRDefault="0040246D">
      <w:r>
        <w:separator/>
      </w:r>
    </w:p>
  </w:footnote>
  <w:footnote w:type="continuationSeparator" w:id="0">
    <w:p w:rsidR="0040246D" w:rsidRDefault="00402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46D" w:rsidRDefault="00B22C75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40246D" w:rsidRDefault="0040246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FF4902"/>
    <w:multiLevelType w:val="singleLevel"/>
    <w:tmpl w:val="9C980A58"/>
    <w:lvl w:ilvl="0">
      <w:start w:val="14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C75"/>
    <w:rsid w:val="003F2020"/>
    <w:rsid w:val="0040246D"/>
    <w:rsid w:val="00B22C75"/>
    <w:rsid w:val="00E1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0"/>
    <o:shapelayout v:ext="edit">
      <o:idmap v:ext="edit" data="1"/>
    </o:shapelayout>
  </w:shapeDefaults>
  <w:decimalSymbol w:val=","/>
  <w:listSeparator w:val=";"/>
  <w14:defaultImageDpi w14:val="0"/>
  <w15:chartTrackingRefBased/>
  <w15:docId w15:val="{8C1C7F59-C34F-4E13-92D7-0A549C3D6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8580"/>
      </w:tabs>
      <w:spacing w:before="120"/>
      <w:ind w:firstLine="567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left" w:pos="567"/>
      </w:tabs>
      <w:autoSpaceDE w:val="0"/>
      <w:autoSpaceDN w:val="0"/>
      <w:jc w:val="center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pPr>
      <w:autoSpaceDE w:val="0"/>
      <w:autoSpaceDN w:val="0"/>
      <w:jc w:val="center"/>
    </w:pPr>
    <w:rPr>
      <w:b/>
      <w:bCs/>
    </w:rPr>
  </w:style>
  <w:style w:type="character" w:customStyle="1" w:styleId="a9">
    <w:name w:val="Назва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______Microsoft_Excel_97-20031.xls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исследовании влияния температуры на миграционно-ускоренное тушение триплетных возбуждений кислородом в качестве объекта бы</vt:lpstr>
    </vt:vector>
  </TitlesOfParts>
  <Company>SSU</Company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исследовании влияния температуры на миграционно-ускоренное тушение триплетных возбуждений кислородом в качестве объекта бы</dc:title>
  <dc:subject/>
  <dc:creator>k-fmf-gph</dc:creator>
  <cp:keywords/>
  <dc:description/>
  <cp:lastModifiedBy>Irina</cp:lastModifiedBy>
  <cp:revision>2</cp:revision>
  <dcterms:created xsi:type="dcterms:W3CDTF">2014-09-08T09:24:00Z</dcterms:created>
  <dcterms:modified xsi:type="dcterms:W3CDTF">2014-09-08T09:24:00Z</dcterms:modified>
</cp:coreProperties>
</file>