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C2D" w:rsidRPr="001A1D8A" w:rsidRDefault="00675C2D" w:rsidP="00675C2D">
      <w:pPr>
        <w:spacing w:before="120"/>
        <w:jc w:val="center"/>
        <w:rPr>
          <w:b/>
          <w:bCs/>
          <w:sz w:val="32"/>
          <w:szCs w:val="32"/>
        </w:rPr>
      </w:pPr>
      <w:r w:rsidRPr="001A1D8A">
        <w:rPr>
          <w:b/>
          <w:bCs/>
          <w:sz w:val="32"/>
          <w:szCs w:val="32"/>
        </w:rPr>
        <w:t>Психологические аспекты рекламы</w:t>
      </w:r>
    </w:p>
    <w:p w:rsidR="00675C2D" w:rsidRPr="001A1D8A" w:rsidRDefault="00675C2D" w:rsidP="00675C2D">
      <w:pPr>
        <w:spacing w:before="120"/>
        <w:jc w:val="center"/>
        <w:rPr>
          <w:sz w:val="28"/>
          <w:szCs w:val="28"/>
        </w:rPr>
      </w:pPr>
      <w:r w:rsidRPr="001A1D8A">
        <w:rPr>
          <w:sz w:val="28"/>
          <w:szCs w:val="28"/>
        </w:rPr>
        <w:t xml:space="preserve">Евгений Викторович Ромат, профессор Киевского национального торгово-экономического университета, заместитель председателя правления Союза рекламистов Украины.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Общефирменные цели часто выражаются финансовыми категориями (доходы, прибыль на вложенный капитал и т.п.), цели маркетинга часто касаются результатов поведенческого характера (рост посещаемости магазина, количество покупаемых товаров и т.п.), а цели рекламы, если рассматривать их под этим углом, заключаются в воздействии на происходящее в сознании людей. Другими словами, объявления очень редко оказываются в состоянии завершить акт купли-продажи или вызвать определенное действие в простой причинно-следственной хронологии. Они, скорее, воздействуют на наши знания, на наши чувства.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Насущные проблемы рекламного бизнеса, его материальная поддержка, в свою очередь, способствуют активным исследованиям в области психологии. Взаимосвязь эта настолько тесная, что в примерно в 1960-е гг. стало выделяться такое направление экономической психологии, как психология рекламы. В последние десятилетия она получила бурное развитие и приобрела статус самостоятельной прикладной социально-психологической науки. С другой стороны, необходимо согласиться с тем, что психология рекламы может рассматриваться как одно из направлений дисциплины «Поведение потребителей» (или «Психология потребителей»).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Кроме этапов непосредственного принятия решения о покупке, достаточно важным для определения места рекламного воздействия на потребителя является рассмотрение этапов самого процесса потребления. Так, выделяется четыре основных этапа этого процесса: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Развитие и восприятие потребности или желания.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Предпокупочное планирование и принятие решения о покупке.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Собственно совершение покупки.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Послепокупочное поведение (в том числе повторная покупка).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Современные рекламные специалисты США придерживаются теории трех психологических состояний: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Человек знает, что с ним происходит, и может объяснить это.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Человек отдает себе отчет в своих чувствах, но не может объяснить их причину.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Человек ничего не знает ни о своем состоянии, ни о вызвавших его причинах.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Особенно усиленно изучаются в последнее время состояния второе и третье.Обычно выделяют такие основные уровни психологического воздействия рекламы: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когнитивный (познавательный аспект, передача информации, сообщения);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аффективный (эмоциональный аспект, формирование отношения);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суггестивный (внушение):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конативный (определение поведения, бихевиористская стадия).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Сущность когнитивного воздействия состоит в передаче определенного объема информации, совокупности данных о товаре; факторов, характеризующих его качество и т.п.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Целью аффективного воздействия является превращение массива передаваемой информации в систему установок, мотивов и принципов получателя обращения. Инструментами формирования отношения являются частое повторение одних и тех же аргументов, приведение логических доказательств сказанного, формирование благоприятных ассоциаций и т.д.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Внушение предполагает использование как осознаваемых психологических элементов, так и элементов бессознательного. Это связано с тем, чтоопределенная часть рекламного послания может усваиваться адресатом, минуя сферу активного мышления. Результатом внушения может быть убежденность. получаемая без логических доказательств.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Конативное воздействие обращения реализуется в «подталкивании» получателя к действию (конечно, к покупке), подсказывание ему ожидаемых от него действий.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Осознание необходимости этих основных уровней воздействия рекламного обращения на сознание человека легло в основу множества рекламных моделей. Схемы некоторых наиболее известных и распространенных моделей разработки рекламных обращений приведены в таблице.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Таблица.Основные характеристики некоторых рекламных моделей (формул)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586"/>
        <w:gridCol w:w="1569"/>
        <w:gridCol w:w="1618"/>
        <w:gridCol w:w="1605"/>
        <w:gridCol w:w="1575"/>
        <w:gridCol w:w="1412"/>
      </w:tblGrid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Направление воздействия / Модель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Когнитивное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Аффективное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Суггестивное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Конативное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Аффектив-</w:t>
            </w:r>
          </w:p>
          <w:p w:rsidR="00675C2D" w:rsidRPr="001A1D8A" w:rsidRDefault="00675C2D" w:rsidP="00F84026">
            <w:r w:rsidRPr="001A1D8A">
              <w:t>ное (после покупки)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AIDA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Внимание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Интерес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Желание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Действие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АССА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Внимание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Восприятие аргументов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Желание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Действие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DIBABA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Определение потребностей и желаний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Отождес-</w:t>
            </w:r>
          </w:p>
          <w:p w:rsidR="00675C2D" w:rsidRPr="001A1D8A" w:rsidRDefault="00675C2D" w:rsidP="00F84026">
            <w:r w:rsidRPr="001A1D8A">
              <w:t>твление потреби-</w:t>
            </w:r>
          </w:p>
          <w:p w:rsidR="00675C2D" w:rsidRPr="001A1D8A" w:rsidRDefault="00675C2D" w:rsidP="00F84026">
            <w:r w:rsidRPr="001A1D8A">
              <w:t>тельских нужд с предло-</w:t>
            </w:r>
          </w:p>
          <w:p w:rsidR="00675C2D" w:rsidRPr="001A1D8A" w:rsidRDefault="00675C2D" w:rsidP="00F84026">
            <w:r w:rsidRPr="001A1D8A">
              <w:t>жением рекламы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Желание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Подталки-</w:t>
            </w:r>
          </w:p>
          <w:p w:rsidR="00675C2D" w:rsidRPr="001A1D8A" w:rsidRDefault="00675C2D" w:rsidP="00F84026">
            <w:r w:rsidRPr="001A1D8A">
              <w:t>вание покупателя к необхо-</w:t>
            </w:r>
          </w:p>
          <w:p w:rsidR="00675C2D" w:rsidRPr="001A1D8A" w:rsidRDefault="00675C2D" w:rsidP="00F84026">
            <w:r w:rsidRPr="001A1D8A">
              <w:t>димым выводам о покупке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DAGMAR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Получение информации о марке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Ассими-</w:t>
            </w:r>
          </w:p>
          <w:p w:rsidR="00675C2D" w:rsidRPr="001A1D8A" w:rsidRDefault="00675C2D" w:rsidP="00F84026">
            <w:r w:rsidRPr="001A1D8A">
              <w:t>ляция (осознание качества товара)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Убеждение (формиро-</w:t>
            </w:r>
          </w:p>
          <w:p w:rsidR="00675C2D" w:rsidRPr="001A1D8A" w:rsidRDefault="00675C2D" w:rsidP="00F84026">
            <w:r w:rsidRPr="001A1D8A">
              <w:t>вание психоло-</w:t>
            </w:r>
          </w:p>
          <w:p w:rsidR="00675C2D" w:rsidRPr="001A1D8A" w:rsidRDefault="00675C2D" w:rsidP="00F84026">
            <w:r w:rsidRPr="001A1D8A">
              <w:t>гической предрасполо-</w:t>
            </w:r>
          </w:p>
          <w:p w:rsidR="00675C2D" w:rsidRPr="001A1D8A" w:rsidRDefault="00675C2D" w:rsidP="00F84026">
            <w:r w:rsidRPr="001A1D8A">
              <w:t>женности к покупке)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Действие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«Одобрение»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Осознание потребности покупателя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Интерес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Оценка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Проверка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Одобрение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Модель «Сильной рекламы»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Осведом-</w:t>
            </w:r>
          </w:p>
          <w:p w:rsidR="00675C2D" w:rsidRPr="001A1D8A" w:rsidRDefault="00675C2D" w:rsidP="00F84026">
            <w:r w:rsidRPr="001A1D8A">
              <w:t>ленность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Обдумы-</w:t>
            </w:r>
          </w:p>
          <w:p w:rsidR="00675C2D" w:rsidRPr="001A1D8A" w:rsidRDefault="00675C2D" w:rsidP="00F84026">
            <w:r w:rsidRPr="001A1D8A">
              <w:t>вание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Эмоцио-</w:t>
            </w:r>
          </w:p>
          <w:p w:rsidR="00675C2D" w:rsidRPr="001A1D8A" w:rsidRDefault="00675C2D" w:rsidP="00F84026">
            <w:r w:rsidRPr="001A1D8A">
              <w:t>нальная оценка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Действие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</w:tr>
      <w:tr w:rsidR="00675C2D" w:rsidRPr="001A1D8A" w:rsidTr="00F84026">
        <w:trPr>
          <w:jc w:val="center"/>
        </w:trPr>
        <w:tc>
          <w:tcPr>
            <w:tcW w:w="84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Модель «Слабой рекламы»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Осведом-</w:t>
            </w:r>
          </w:p>
          <w:p w:rsidR="00675C2D" w:rsidRPr="001A1D8A" w:rsidRDefault="00675C2D" w:rsidP="00F84026">
            <w:r w:rsidRPr="001A1D8A">
              <w:t>ленность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—</w:t>
            </w:r>
          </w:p>
        </w:tc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Эксперимент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5C2D" w:rsidRPr="001A1D8A" w:rsidRDefault="00675C2D" w:rsidP="00F84026">
            <w:r w:rsidRPr="001A1D8A">
              <w:t>Убеждение</w:t>
            </w:r>
          </w:p>
        </w:tc>
      </w:tr>
    </w:tbl>
    <w:p w:rsidR="00675C2D" w:rsidRPr="001A1D8A" w:rsidRDefault="00675C2D" w:rsidP="00675C2D">
      <w:pPr>
        <w:spacing w:before="120"/>
        <w:ind w:firstLine="567"/>
        <w:jc w:val="both"/>
      </w:pPr>
      <w:r w:rsidRPr="001A1D8A">
        <w:t>Самой старой и самой известной рекламной моделью является AIDA ( attention — interest — desire — action, т.е. внимание — интерес — желание — действие). Она предложена американским рекламистом Элмером Левисом еще в 1896 г. Суть ее состоит в том, что идеальное рекламное обращение, в первую очередь, должно привлекать непроизвольное внимание. Пути достижения этой цели достаточно разнообразны: использование контрастов, яркое, оригинальное цветовое оформление; броский рисунок; курьезные решения в расположении обращения (например, помещение текста рекламного послания «вверх ногами»); шокирование аудитории и т.н.После того, как внимание аудитории привлечено, обращение должно удержать ее интерес. Для этого оно может содержать обещание удовлетворения потребностей адресата, быть оригинальным, интересным но форме и лаконичным.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В соответствии с моделью AIDA обращение должно также возбудить желание адресата опробовать рекламируемый товар, стать его владельцем. Наконец, в обращении должна быть «подсказка» получателю, что он должен сделать. Например: «Позвоните сегодня же», «Требуйте в аптеках вашего города», «Приходите и убедитесь сами» и т.п. Один из наиболее удачных примеров — политическая реклама в ходе общероссийского референдума 1993 г. под девизом: «Да. Да. Нет. Да».Модификацией формулы AIDA является модель AIDMA. включающая пятый компонент — мотивацию (motive).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По мнению большинства современных специалистов по рекламе, эти модели недостаточно учитывают сложность процесса принятия решения о покупке современным потребителем. В настоящее время формулы AIDA и AIDMA имеют на практике ограниченное применение. В то же время они знаменуют целую эпоху в развитии теории и практики рекламы. Несколько меньшее распространение получили модели ACCA и DIBABA.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АССА как рекламная формула характеризуется тем, что сводит результаты рекламного воздействия к определению аудитории, прошедшей через один из четырех этапов потребительского поведения — внимание (attention), восприятие аргументов (comprehension), убеждение (conviction) и действие (action).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Формула DIBABA предложена Г. Гольдманом в 1953 г. Название модели также является аббревиатурой немецких определений шести фаз процесса продажи: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определение потребностей и желаний потенциальных покупателей;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отождествление потребительских нужд с предложением рекламы;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«подталкивание» покупателя к необходимым выводам о покупке, которые ассоциируются с его потребностями;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учет предполагаемой реакции покупателя: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вызов у покупателя желания приобрести товар;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создание благоприятной для покупки обстановки.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Этапной в процессе развития подходов к формированию рекламных обращений стала модель DAGMAR, изложенная американским рекламистом Расселом Колли в 1961 г.. Название формулы включает начальные буквы английского определения «Defining advertising goals — measuring advertising results» (определение рекламных целей — измерение рекламных результатов). Согласно модели, акт покупки проходит такие фазы: 1) узнавание марки (бренда) товара; 2) ассимиляция — осведомление адресата о качестве товара: 3) убеждение — психологическое предрасположение к покупке; 4) действие совершение покупки адресатом рекламы. Эффект рекламы определяется приростом числа покупателей на каждой из указанных фаз. Как видим, использование указанной модели предполагает активное использование коммуникатором технологий брендинга. Именно с узнавания получателем бренда начинается воздействие рекламного обращения.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Качественное отличие модели DAGMAR от подходов, ориентированных на действия, — это исходная посылка: совершение покупки определяется всеми основными элементами комплекса маркетинга. Реклама же в этом комплексе — один из важнейших, но не самодостаточный элемент. Последователи Р. Колли, находящиеся на тех же позициях, представляют так называемую дагмаровскую школу.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Из более поздних рекламных формул можно отметить модель «Одобрение», предполагающую прохождение потенциальным покупателем следующих фаз: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осознание необходимости покупки;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возникновение интереса к рекламируемому товару;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оценка его основных качеств;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проверка, опробование качества;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 xml:space="preserve">одобрение. 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Используемые модели «сильной рекламы» и «слабой рекламы» являются реализацией концепции иерархии воздействий, которая связана непосредственно с теорией психологии. Так, модель «сильной рекламы», более распространенная в Северной Америке, исходит из следующего. После того, как в мозг человека поступает информация, тут же возникает эмоциональная реакция, стимулирующая приобретение товара. Данная схема имеет определенное сходство с классической теорией условного рефлекса И.П. Павлова.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Модель «слабой рекламы», больше сторонников имеющая в Европе, предполагает следующую схему воздействия. Потребитель, получая осведомленность о товаре из рекламы, идет на «эксперимент» — он опробует товар. И только после того, как товар ему поправился, будет покупать его в дальнейшем. Схема сходна с психологической теорией «базового рефлекса» Скиннера. При этом реклама обладает только слабым действием, направленным на укрепление привычки или на уменьшение несоответствия между ожиданиями и реальностью. Потребителям нравится продукт, потому что они им пользуются; покупатели игнорируют рекламу просто потому, что им не нравится предлагаемый товар.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Модель VIPS была предложена английским рекламистом Дэвидом Бернстайном. Данной моделью он подчеркивал необходимость непосредственного влияния рекламы на потенциального потребителя. Составляющие модели таковы: visibility, identity, promise, simple-mindedness (соответственно: видимость, идентификация, обещание, целеустремленность). Некоторые авторы последнюю букву формулы S расшифровывают как simplicity (простота). Интерпретация модели такова: реклама должна быть видимой, т.е. легко обращать на себя внимание. Кроме того, она должна быть адресована точно в соответствии с конкретными потребностями потенциального потребителя и содержать обещание их удовлетворения. Наконец, реклама должна мотивировать целеустремленность получателя в покупке рекламируемого товара.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Модель коммуникаций предусматривает активную роль рекламы, предоставляющую изначальную информацию о товаре. За этим следует запоминание товара, формирование психологической установки на покупку и намерение приобрести товар. Процесс заканчивается актом покупки.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Подытоживая краткий обзор рекламных моделей, необходимо отметить, что они не являются взаимоисключающими. Практически всякое рекламное объявление ориентирует получателя на совершение покупки. В то же время эффективность любой рекламной деятельности может быть оценена только в случае четко определенных перед нею целей в рамках системного подхода к маркетинговой деятельности.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При разработке рекламного обращения важно учитывав психологические закономерности восприятия послания получателями. Например, при разработке рекламного обращения большое внимание уделяется ассоциациям, которые могут возникнуть в процессе декодирования послания. Незапланированная, особенно отрицательная, ассоциация, возникающая в момент приема обращения, может значительно снизить эффект всей кампании, стать психологической помехой в рекламной коммуникации.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В некоторых случаях характер восприятия адресатом сообщения может в значительной степени отличаться от контекста, внешних условий, обстановки в момент рекламного контакта. Например, фирменным слоганом страховой компании «Харьков» был: «Встреча с нами — сюрприз!». Очевидно, копирайтеры хотели подчеркнуть положительную эмоциональную сторону сотрудничества с данной страховой компанией. Ведь понятие «сюрприз» воспринимается большинством как приятная неожиданность. В данном же случае необходимо отметить, что неожиданность — не лучшая ассоциация с финансовой фирмой. В отношениях с такими партнерами клиенты, в большинстве случаев, ожидают стабильности и постоянства.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Большое значение в восприятии рекламного обращения имеет его цветовое решение. Цветная реклама привлекает внимание раньше и дольше, чем черно-белая. При этом лучше всего воспринимаются черные буквы на желтом фоне, зеленые и красные на белом. Черные буквы на белом фоне занимают лишь шестое место в данном ранжировании.</w:t>
      </w:r>
    </w:p>
    <w:p w:rsidR="00675C2D" w:rsidRPr="001A1D8A" w:rsidRDefault="00675C2D" w:rsidP="00675C2D">
      <w:pPr>
        <w:spacing w:before="120"/>
        <w:ind w:firstLine="567"/>
        <w:jc w:val="both"/>
      </w:pPr>
      <w:r w:rsidRPr="001A1D8A">
        <w:t>Психологи также утверждают, что иллюстрации, изображающие людей, привлекают внимание примерно на 23 % больше, чем изображения неодушевленных предметов. Общепризнанным является мнение, что среди всех персонажей рекламных обращений наиболее высокий удельный вес благоприятного отношения аудитории имеют дети, женщины и собаки.</w:t>
      </w:r>
    </w:p>
    <w:p w:rsidR="00675C2D" w:rsidRDefault="00675C2D">
      <w:bookmarkStart w:id="0" w:name="_GoBack"/>
      <w:bookmarkEnd w:id="0"/>
    </w:p>
    <w:sectPr w:rsidR="0067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C2D"/>
    <w:rsid w:val="00107F5C"/>
    <w:rsid w:val="001A1D8A"/>
    <w:rsid w:val="001F1B12"/>
    <w:rsid w:val="00675C2D"/>
    <w:rsid w:val="00C56C7B"/>
    <w:rsid w:val="00E43CE0"/>
    <w:rsid w:val="00F8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581CAF-4093-4750-B020-E6088A19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C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5C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1944</Words>
  <Characters>11081</Characters>
  <Application>Microsoft Office Word</Application>
  <DocSecurity>0</DocSecurity>
  <Lines>92</Lines>
  <Paragraphs>25</Paragraphs>
  <ScaleCrop>false</ScaleCrop>
  <Company>Home</Company>
  <LinksUpToDate>false</LinksUpToDate>
  <CharactersWithSpaces>13000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аспекты рекламы</dc:title>
  <dc:subject/>
  <dc:creator>Alena</dc:creator>
  <cp:keywords/>
  <dc:description/>
  <cp:lastModifiedBy>admin</cp:lastModifiedBy>
  <cp:revision>2</cp:revision>
  <dcterms:created xsi:type="dcterms:W3CDTF">2014-02-19T16:47:00Z</dcterms:created>
  <dcterms:modified xsi:type="dcterms:W3CDTF">2014-02-19T16:47:00Z</dcterms:modified>
</cp:coreProperties>
</file>