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32" w:rsidRDefault="00282432">
      <w:pPr>
        <w:rPr>
          <w:lang w:val="en-US"/>
        </w:rPr>
      </w:pPr>
    </w:p>
    <w:p w:rsid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</w:p>
    <w:p w:rsidR="00282432" w:rsidRP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  <w:r>
        <w:rPr>
          <w:noProof w:val="0"/>
          <w:lang w:val="uk-UA"/>
        </w:rPr>
        <w:t xml:space="preserve">Реферат: </w:t>
      </w:r>
    </w:p>
    <w:p w:rsid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  <w:r>
        <w:rPr>
          <w:noProof w:val="0"/>
          <w:lang w:val="uk-UA"/>
        </w:rPr>
        <w:t>Принципи міжнародного екологічного права</w:t>
      </w:r>
    </w:p>
    <w:p w:rsidR="00282432" w:rsidRDefault="00282432">
      <w:pPr>
        <w:pStyle w:val="af3"/>
        <w:rPr>
          <w:noProof w:val="0"/>
          <w:lang w:val="uk-UA"/>
        </w:rPr>
      </w:pPr>
    </w:p>
    <w:p w:rsidR="00282432" w:rsidRDefault="00282432">
      <w:pPr>
        <w:pStyle w:val="af3"/>
        <w:rPr>
          <w:noProof w:val="0"/>
          <w:lang w:val="uk-UA"/>
        </w:rPr>
      </w:pPr>
      <w:r>
        <w:rPr>
          <w:noProof w:val="0"/>
          <w:lang w:val="uk-UA"/>
        </w:rPr>
        <w:br w:type="page"/>
        <w:t>План</w:t>
      </w:r>
    </w:p>
    <w:p w:rsidR="00282432" w:rsidRPr="00282432" w:rsidRDefault="00282432">
      <w:pPr>
        <w:pStyle w:val="10"/>
        <w:rPr>
          <w:lang w:val="ru-RU"/>
        </w:rPr>
      </w:pPr>
      <w:r w:rsidRPr="00282432">
        <w:rPr>
          <w:lang w:val="ru-RU"/>
        </w:rPr>
        <w:t>Вступ</w:t>
      </w:r>
      <w:r w:rsidRPr="00282432">
        <w:rPr>
          <w:lang w:val="ru-RU"/>
        </w:rPr>
        <w:tab/>
        <w:t>3</w:t>
      </w:r>
    </w:p>
    <w:p w:rsidR="00282432" w:rsidRPr="00282432" w:rsidRDefault="00282432">
      <w:pPr>
        <w:pStyle w:val="22"/>
        <w:rPr>
          <w:lang w:val="ru-RU"/>
        </w:rPr>
      </w:pPr>
      <w:r w:rsidRPr="00282432">
        <w:rPr>
          <w:lang w:val="ru-RU"/>
        </w:rPr>
        <w:t>1. Принципи міжнародного екологічного права</w:t>
      </w:r>
      <w:r w:rsidRPr="00282432">
        <w:rPr>
          <w:lang w:val="ru-RU"/>
        </w:rPr>
        <w:tab/>
        <w:t>5</w:t>
      </w:r>
    </w:p>
    <w:p w:rsidR="00282432" w:rsidRPr="00282432" w:rsidRDefault="00282432">
      <w:pPr>
        <w:pStyle w:val="10"/>
        <w:rPr>
          <w:lang w:val="ru-RU"/>
        </w:rPr>
      </w:pPr>
      <w:r w:rsidRPr="00282432">
        <w:rPr>
          <w:lang w:val="ru-RU"/>
        </w:rPr>
        <w:t>Висновок</w:t>
      </w:r>
      <w:r w:rsidRPr="00282432">
        <w:rPr>
          <w:lang w:val="ru-RU"/>
        </w:rPr>
        <w:tab/>
        <w:t>8</w:t>
      </w:r>
    </w:p>
    <w:p w:rsidR="00282432" w:rsidRPr="00282432" w:rsidRDefault="00282432">
      <w:pPr>
        <w:pStyle w:val="10"/>
        <w:rPr>
          <w:lang w:val="ru-RU"/>
        </w:rPr>
      </w:pPr>
      <w:r w:rsidRPr="00282432">
        <w:rPr>
          <w:lang w:val="ru-RU"/>
        </w:rPr>
        <w:t>Література</w:t>
      </w:r>
      <w:r w:rsidRPr="00282432">
        <w:rPr>
          <w:lang w:val="ru-RU"/>
        </w:rPr>
        <w:tab/>
        <w:t>9</w:t>
      </w:r>
    </w:p>
    <w:p w:rsidR="00282432" w:rsidRDefault="00282432">
      <w:pPr>
        <w:rPr>
          <w:lang w:val="uk-UA"/>
        </w:rPr>
      </w:pPr>
    </w:p>
    <w:p w:rsidR="00282432" w:rsidRDefault="00282432">
      <w:pPr>
        <w:pStyle w:val="1"/>
        <w:rPr>
          <w:noProof w:val="0"/>
          <w:lang w:val="uk-UA"/>
        </w:rPr>
      </w:pPr>
      <w:r>
        <w:rPr>
          <w:noProof w:val="0"/>
          <w:lang w:val="uk-UA"/>
        </w:rPr>
        <w:br w:type="page"/>
      </w:r>
      <w:bookmarkStart w:id="0" w:name="_Toc221244067"/>
      <w:r>
        <w:rPr>
          <w:noProof w:val="0"/>
          <w:lang w:val="uk-UA"/>
        </w:rPr>
        <w:t>Вступ</w:t>
      </w:r>
      <w:bookmarkEnd w:id="0"/>
    </w:p>
    <w:p w:rsidR="00282432" w:rsidRDefault="00282432">
      <w:pPr>
        <w:rPr>
          <w:lang w:val="uk-UA"/>
        </w:rPr>
      </w:pPr>
    </w:p>
    <w:p w:rsidR="00282432" w:rsidRDefault="00282432">
      <w:pPr>
        <w:rPr>
          <w:lang w:val="uk-UA"/>
        </w:rPr>
      </w:pPr>
      <w:r>
        <w:rPr>
          <w:lang w:val="uk-UA"/>
        </w:rPr>
        <w:t xml:space="preserve">Засади функціонування міжнародного права навколишнього середовища виявляються в його принципах. Принципи визначають, як відомо, основні риси і характер галузі права, дають бачення тих засад, на яких будується дана сфера міжнародно-правового регулювання.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Оскільки міжнародне екологічне право є галуззю міжнародного права, то основні загальновизнані принципи міжнародного права поширюються на цю сферу міжнародного регулювання.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До таких принципів належать: принцип поваги до державного суверенітету, невтручання у внутрішні справи інших держав, принцип добровільного виконання міжнародних зобов’язань, мирного вирішення спорів та деякі інші. Вони зафіксовані у Статуті ООН, у Декларації про принципи міжнародного права, що стосуються дружніх відносин і співробітництва між державами, схваленої 25 сесією Генеральної Асамблеї ООН, та в інших міжнародних документах. Принципи міжнародного екологічного права поділяються на загальновизнані принципи міжнародного права і спеціальні, галузеві принципи міжнародного права навколишнього середовища.  Загальновизнані принципи міжнародного права стосуються усіх його підгалузей, у тому числі міжнародного права навколишнього середовища.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Основні з них закріплені у Статуті ООН. Загальні принципи міжнародного права закріплені також у вигляді звичаїв: суверенної рівності держави; добросусідства; міжнародного співробітництва, добросовісного виконання міжнародних зобов’язань; міжнародної відповідальності держав; мирного вирішення спорів; незастосування сили або погрози силою; співробітництва держав; невтручання у внутрішні справи держав; незаподіяння шкоди; непорушності державних кордонів; територіальної цілісності; поваги прав і свобод людини та деякі інші.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Ці принципи поширюються і на сферу міжнародного екологічного права, проявляючись у формі такого використання природних ресурсів однією державою, яка не заподіює шкоди іншій державі, міжнародного співробітництва у сфері охорони довкілля. </w:t>
      </w:r>
    </w:p>
    <w:p w:rsidR="00282432" w:rsidRDefault="00282432">
      <w:pPr>
        <w:rPr>
          <w:lang w:val="uk-UA"/>
        </w:rPr>
      </w:pPr>
    </w:p>
    <w:p w:rsidR="00282432" w:rsidRDefault="00282432">
      <w:pPr>
        <w:pStyle w:val="2"/>
        <w:rPr>
          <w:noProof w:val="0"/>
          <w:lang w:val="uk-UA"/>
        </w:rPr>
      </w:pPr>
      <w:r>
        <w:rPr>
          <w:noProof w:val="0"/>
          <w:lang w:val="uk-UA"/>
        </w:rPr>
        <w:br w:type="page"/>
      </w:r>
      <w:bookmarkStart w:id="1" w:name="_Toc221244068"/>
      <w:r>
        <w:rPr>
          <w:noProof w:val="0"/>
          <w:lang w:val="uk-UA"/>
        </w:rPr>
        <w:t>1. Принципи міжнародного екологічного права</w:t>
      </w:r>
      <w:bookmarkEnd w:id="1"/>
    </w:p>
    <w:p w:rsidR="00282432" w:rsidRDefault="00282432">
      <w:pPr>
        <w:rPr>
          <w:lang w:val="uk-UA"/>
        </w:rPr>
      </w:pPr>
    </w:p>
    <w:p w:rsidR="00282432" w:rsidRDefault="00282432">
      <w:pPr>
        <w:rPr>
          <w:lang w:val="uk-UA"/>
        </w:rPr>
      </w:pPr>
      <w:r>
        <w:rPr>
          <w:lang w:val="uk-UA"/>
        </w:rPr>
        <w:t xml:space="preserve">Спеціальні (галузеві) принципи міжнародного права навколишнього середовища найбільш повно зафіксовані у Стокгольмській декларації з навколишнього середовища (26 принципів) і Декларації Ріо-де-Жанейро з навколишнього середовища і розвитку (27 принципів). Вони також відображені у Всесвітній хартії природи та інших актах міжнародного права навколишнього середовища. </w:t>
      </w:r>
    </w:p>
    <w:p w:rsidR="00282432" w:rsidRDefault="00282432">
      <w:pPr>
        <w:rPr>
          <w:lang w:val="uk-UA"/>
        </w:rPr>
      </w:pPr>
      <w:r>
        <w:rPr>
          <w:lang w:val="uk-UA"/>
        </w:rPr>
        <w:t>До цих принципів, зокрема, належать:</w:t>
      </w:r>
    </w:p>
    <w:p w:rsidR="00282432" w:rsidRDefault="00282432">
      <w:pPr>
        <w:rPr>
          <w:lang w:val="uk-UA"/>
        </w:rPr>
      </w:pPr>
      <w:r>
        <w:rPr>
          <w:lang w:val="uk-UA"/>
        </w:rPr>
        <w:t>- суверенне право держав розробляти свої природні ресурси і їх відповідальність у рамках національної юрисдикції не заподіювати шкоди навколишньому середовищу інших держав;</w:t>
      </w:r>
    </w:p>
    <w:p w:rsidR="00282432" w:rsidRDefault="00282432">
      <w:pPr>
        <w:rPr>
          <w:lang w:val="uk-UA"/>
        </w:rPr>
      </w:pPr>
      <w:r>
        <w:rPr>
          <w:lang w:val="uk-UA"/>
        </w:rPr>
        <w:t>- міжнародного співробітництва держав у сфері охорони довкілля на основі рівноправ’я;</w:t>
      </w:r>
    </w:p>
    <w:p w:rsidR="00282432" w:rsidRDefault="00282432">
      <w:pPr>
        <w:rPr>
          <w:lang w:val="uk-UA"/>
        </w:rPr>
      </w:pPr>
      <w:r>
        <w:rPr>
          <w:lang w:val="uk-UA"/>
        </w:rPr>
        <w:t>- попередження забруднення морів та заподіяння шкоди навколишньому середовищу;</w:t>
      </w:r>
    </w:p>
    <w:p w:rsidR="00282432" w:rsidRDefault="00282432">
      <w:pPr>
        <w:rPr>
          <w:lang w:val="uk-UA"/>
        </w:rPr>
      </w:pPr>
      <w:r>
        <w:rPr>
          <w:lang w:val="uk-UA"/>
        </w:rPr>
        <w:t>- право людини на сприятливі умови життя в навколишньому середовищі, її відповідальності за охорону і поліпшення навколишнього середовища на благо теперішнього і майбутніх поколінь;</w:t>
      </w:r>
    </w:p>
    <w:p w:rsidR="00282432" w:rsidRDefault="00282432">
      <w:pPr>
        <w:rPr>
          <w:lang w:val="uk-UA"/>
        </w:rPr>
      </w:pPr>
      <w:r>
        <w:rPr>
          <w:lang w:val="uk-UA"/>
        </w:rPr>
        <w:t>- суверенітет держав над власними природними ресурсами та їх раціональне використання;</w:t>
      </w:r>
    </w:p>
    <w:p w:rsidR="00282432" w:rsidRDefault="00282432">
      <w:pPr>
        <w:rPr>
          <w:lang w:val="uk-UA"/>
        </w:rPr>
      </w:pPr>
      <w:r>
        <w:rPr>
          <w:lang w:val="uk-UA"/>
        </w:rPr>
        <w:t>- стабільний розвиток, що передбачає екологізацію економічного і соціального розвитку;</w:t>
      </w:r>
    </w:p>
    <w:p w:rsidR="00282432" w:rsidRDefault="00282432">
      <w:pPr>
        <w:rPr>
          <w:lang w:val="uk-UA"/>
        </w:rPr>
      </w:pPr>
      <w:r>
        <w:rPr>
          <w:lang w:val="uk-UA"/>
        </w:rPr>
        <w:t>- екологічна безпека держав на засадах взаємного співробітництва;</w:t>
      </w:r>
    </w:p>
    <w:p w:rsidR="00282432" w:rsidRDefault="00282432">
      <w:pPr>
        <w:rPr>
          <w:lang w:val="uk-UA"/>
        </w:rPr>
      </w:pPr>
      <w:r>
        <w:rPr>
          <w:lang w:val="uk-UA"/>
        </w:rPr>
        <w:t>- перестороги в екологічній діяльності;</w:t>
      </w:r>
    </w:p>
    <w:p w:rsidR="00282432" w:rsidRDefault="00282432">
      <w:pPr>
        <w:rPr>
          <w:lang w:val="uk-UA"/>
        </w:rPr>
      </w:pPr>
      <w:r>
        <w:rPr>
          <w:lang w:val="uk-UA"/>
        </w:rPr>
        <w:t>- екологічне співробітництво держав на засадах рівноправності;</w:t>
      </w:r>
    </w:p>
    <w:p w:rsidR="00282432" w:rsidRDefault="00282432">
      <w:pPr>
        <w:rPr>
          <w:lang w:val="uk-UA"/>
        </w:rPr>
      </w:pPr>
      <w:r>
        <w:rPr>
          <w:lang w:val="uk-UA"/>
        </w:rPr>
        <w:t>- скоординований підхід до планування й управління в галузі охорони навколишнього середовища;</w:t>
      </w:r>
    </w:p>
    <w:p w:rsidR="00282432" w:rsidRDefault="00282432">
      <w:pPr>
        <w:rPr>
          <w:lang w:val="uk-UA"/>
        </w:rPr>
      </w:pPr>
      <w:r>
        <w:rPr>
          <w:lang w:val="uk-UA"/>
        </w:rPr>
        <w:t>- ефективна і динамічна роль міжнародних організацій у галузі охорони і поліпшення навколишнього середовища;</w:t>
      </w:r>
    </w:p>
    <w:p w:rsidR="00282432" w:rsidRDefault="00282432">
      <w:pPr>
        <w:rPr>
          <w:lang w:val="uk-UA"/>
        </w:rPr>
      </w:pPr>
      <w:r>
        <w:rPr>
          <w:lang w:val="uk-UA"/>
        </w:rPr>
        <w:t>- наукова обгрунтованість екологічних заходів;</w:t>
      </w:r>
    </w:p>
    <w:p w:rsidR="00282432" w:rsidRDefault="00282432">
      <w:pPr>
        <w:rPr>
          <w:lang w:val="uk-UA"/>
        </w:rPr>
      </w:pPr>
      <w:r>
        <w:rPr>
          <w:lang w:val="uk-UA"/>
        </w:rPr>
        <w:t>- контроль за додержанням узгоджених між державами екологічних вимог;</w:t>
      </w:r>
    </w:p>
    <w:p w:rsidR="00282432" w:rsidRDefault="00282432">
      <w:pPr>
        <w:rPr>
          <w:lang w:val="uk-UA"/>
        </w:rPr>
      </w:pPr>
      <w:r>
        <w:rPr>
          <w:lang w:val="uk-UA"/>
        </w:rPr>
        <w:t>- доступ громадськості до екологічної інформації й розв’язання екологічних проблем;</w:t>
      </w:r>
    </w:p>
    <w:p w:rsidR="00282432" w:rsidRDefault="00282432">
      <w:pPr>
        <w:rPr>
          <w:lang w:val="uk-UA"/>
        </w:rPr>
      </w:pPr>
      <w:r>
        <w:rPr>
          <w:lang w:val="uk-UA"/>
        </w:rPr>
        <w:t>- поширення екологічної інформації та відповідних знань серед населення;</w:t>
      </w:r>
    </w:p>
    <w:p w:rsidR="00282432" w:rsidRDefault="00282432">
      <w:pPr>
        <w:rPr>
          <w:lang w:val="uk-UA"/>
        </w:rPr>
      </w:pPr>
      <w:r>
        <w:rPr>
          <w:lang w:val="uk-UA"/>
        </w:rPr>
        <w:t>- відшкодування шкоди, завданої довкіллю, зокрема на засадах “забруднювач платить”;</w:t>
      </w:r>
    </w:p>
    <w:p w:rsidR="00282432" w:rsidRDefault="00282432">
      <w:pPr>
        <w:rPr>
          <w:lang w:val="uk-UA"/>
        </w:rPr>
      </w:pPr>
      <w:r>
        <w:rPr>
          <w:lang w:val="uk-UA"/>
        </w:rPr>
        <w:t>- мирне врегулювання екологічних спорів між суб’єктами міжнародного права навколишнього середовища;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- міжнародна відповідальність за екологічні правопорушення.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У Заключному акті наради по співробітництву в Європі охорона навколишнього середовища на благо теперішнього і майбутніх поколінь розглядається як одне із завдань держави по забезпеченню добробуту народу і економічного розвитку. Цей обов’язок держав закріплений також у резолюції “Про історичну відповідальність держав за збереження природи Землі для теперішнього і майбутнього поколінь”, прийнятій 35-ю сесією Генеральної Асамблеї ООН. Подальший розвиток принципи міжнародного права навколишнього середовища одержали в Декларації з навколишнього середовища і розвитку, прийнятій на конференції ООН у Ріо-де-Жанейро в 1992 році.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Право людини на життя у сприятливому навколишньому середовищі трансформувалося у право на здоров’я і плідне життя в гармонії з природою.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Принцип попередження, що одержує свій розвиток у теорії міжнародного права навколишнього середовища, у Декларації Ріо закріплений ширше - як обов’язок держав вживати заходів попередження серйозної та незворотної шкоди навколишньому середовищу та погіршення його стану.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Держави повинні застосовувати національний інструмент оцінки впливу на навколишнє середовище тих видів діяльності, що плануються і можуть мати суттєвий негативний вплив на довкілля.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Новим принципом, що був сформульований у Декларації Ріо, є принцип сталого розвитку, який означає, що сучасний економічний розвиток не повинен здійснюватись на шкоду інтересам навколишнього середовища. Для досягнення інтересів сталого розвитку охорона довкілля повинна складати невід’ємну частину процесу розвитку і не може розглядатися окремо від нього.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На конференції з навколишнього середовища і розвитку визнано, що розвинені держави несуть відповідальність за забезпечення сталого розвитку з врахуванням негативного впливу їхніх суспільств на навколишнє середовище в глобальному масштабі і технологій та фінансових ресурсів, якими вони володіють. Розвинені держави повинні передавати новітні технології, ділитися знаннями і ресурсами з країнами, що розвиваються, для досягнення цілей сталого розвитку. </w:t>
      </w:r>
    </w:p>
    <w:p w:rsidR="00282432" w:rsidRDefault="00282432">
      <w:pPr>
        <w:pStyle w:val="1"/>
        <w:rPr>
          <w:noProof w:val="0"/>
          <w:lang w:val="uk-UA"/>
        </w:rPr>
      </w:pPr>
      <w:r>
        <w:rPr>
          <w:noProof w:val="0"/>
          <w:lang w:val="uk-UA"/>
        </w:rPr>
        <w:br w:type="page"/>
      </w:r>
      <w:bookmarkStart w:id="2" w:name="_Toc221244069"/>
      <w:r>
        <w:rPr>
          <w:noProof w:val="0"/>
          <w:lang w:val="uk-UA"/>
        </w:rPr>
        <w:t>Висновок</w:t>
      </w:r>
      <w:bookmarkEnd w:id="2"/>
    </w:p>
    <w:p w:rsidR="00282432" w:rsidRDefault="00282432">
      <w:pPr>
        <w:rPr>
          <w:lang w:val="uk-UA"/>
        </w:rPr>
      </w:pPr>
    </w:p>
    <w:p w:rsidR="00282432" w:rsidRDefault="00282432">
      <w:pPr>
        <w:rPr>
          <w:lang w:val="uk-UA"/>
        </w:rPr>
      </w:pPr>
      <w:r>
        <w:rPr>
          <w:lang w:val="uk-UA"/>
        </w:rPr>
        <w:t xml:space="preserve">Одним з основних досягнень Конференції ООН з навколишнього середовища і розвитку було закріплення принципів доступу громадськості до екологічної інформації і вирішення екологічних проблем за участю зацікавлених громадян. Ці принципи одержали подальший розвиток на III Пан-Європейській конференції міністрів охорони навколишнього середовища в Софії в 1995 році і закріплені у Конвенції ООН про доступ громадськості до інформації, участі у прийнятті рішень та доступ до правосуддя з питань навколишнього середовища, підписаній на IV Пан-Європейській конференції міністрів охорони навколишнього середовища в 1998 році.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Принцип “забруднювач платить” є економічним механізмом стимулювання правомірної поведінки підприємств та інших господарських суб’єктів, попередження забруднення довкілля, а також асигнування коштів на контроль за забрудненням. На міжнародному рівні країни погодилися, що витрати на контроль за забрудненням повинні покриватися тими, хто забруднює. А останні включають їх у вартість товарів і послуг, що відбивається на інтересах споживачів. Цей принцип вимагає від забруднювачів нести витрати на проведення заходів з підтримання належного стану довкілля, з урахуванням інтересів держав і без заподіяння шкоди міжнародній торгівлі і інвестуванню. </w:t>
      </w:r>
    </w:p>
    <w:p w:rsidR="00282432" w:rsidRDefault="00282432">
      <w:pPr>
        <w:rPr>
          <w:lang w:val="uk-UA"/>
        </w:rPr>
      </w:pPr>
      <w:r>
        <w:rPr>
          <w:lang w:val="uk-UA"/>
        </w:rPr>
        <w:t xml:space="preserve">Цей принцип є також формою податку, платежів або покарання за забруднення. В останні роки формуються принципи забезпечення екологічної безпеки, принципи міжнародної відповідальності держав за шкоду, заподіяну навколишньому середовищу за межами національної юрисдикції, та інші. </w:t>
      </w:r>
    </w:p>
    <w:p w:rsidR="00282432" w:rsidRDefault="00282432">
      <w:pPr>
        <w:rPr>
          <w:lang w:val="uk-UA"/>
        </w:rPr>
      </w:pPr>
    </w:p>
    <w:p w:rsidR="00282432" w:rsidRDefault="00282432">
      <w:pPr>
        <w:pStyle w:val="1"/>
        <w:rPr>
          <w:noProof w:val="0"/>
          <w:lang w:val="uk-UA"/>
        </w:rPr>
      </w:pPr>
      <w:r>
        <w:rPr>
          <w:noProof w:val="0"/>
          <w:lang w:val="uk-UA"/>
        </w:rPr>
        <w:br w:type="page"/>
      </w:r>
      <w:bookmarkStart w:id="3" w:name="_Toc221244070"/>
      <w:r>
        <w:rPr>
          <w:noProof w:val="0"/>
          <w:lang w:val="uk-UA"/>
        </w:rPr>
        <w:t>Література</w:t>
      </w:r>
      <w:bookmarkEnd w:id="3"/>
    </w:p>
    <w:p w:rsidR="00282432" w:rsidRDefault="00282432">
      <w:pPr>
        <w:rPr>
          <w:lang w:val="uk-UA"/>
        </w:rPr>
      </w:pP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Баб’як О. С, Біленчук П.Д., Чирва Ю.О. Екологічне право України: Навчальний посібник. - К.: Атіка, 2000. - 216 с.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Балюк Г. І. Екологічне право України. Конспект лекції у схемах (Загальна і Особлива частина): Навч. Посібник. – К.: Хрінком Інтер, 2006. – 192 с.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>Екологічне право. Особлива частина Підручник. За редакцією академіка АПрН України, В. І. Андрейцева.К.: Істина, 2001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Екологічне право України: Підручник / За ред.А.П. Гетьмана, М.В. Шульги. - X., 2005.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>Екологічне право України За редакцією професорів В.К. Попова і А.П. Гетьмани. Харків, “Право”. 2001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>Екологічне право України. Академічний курс: Підручник / За заг. ред. Ю.С. Шемшученка. - К.: ТОВ “Видавництво “Юридична думка”, 2005. - 848 с/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Закон України “Про охорону навколишнього середовища”. – К., 1991.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>Закон України “Про охорону атмосферного повітря”. – К., 1992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Бринчук М.М. Правовая охрана атмосферного воздуха. - М., 1986.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Габитов Р. X. Воздухоохранное право. - Уфа, 1999.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Габитов Р. X Теоретические проблемы организации правовой охраны атмосферы Земли в современных условиях. - Уфа, 2000.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Кузнецова О. К, Радчик О.Л. Загрязнение окружающей среды отходами и опасными веществами. - М., 2001.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Роун Ш. Озоновый кризис. Пятнадцатилетняя эволюция неожиданной глобальной опасности. - М., 1993.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Фомин Г. С, Фомина С.Н. Воздух: контроль загрязнений по международным стандартам. - М., 1993. </w:t>
      </w:r>
    </w:p>
    <w:p w:rsidR="00282432" w:rsidRDefault="00282432" w:rsidP="00282432">
      <w:pPr>
        <w:pStyle w:val="a0"/>
        <w:tabs>
          <w:tab w:val="left" w:pos="567"/>
        </w:tabs>
        <w:ind w:firstLine="0"/>
      </w:pPr>
      <w:r>
        <w:t xml:space="preserve">Шемшученко Ю.С. Правовые проблемы экологии. - К., 1989. </w:t>
      </w:r>
      <w:bookmarkStart w:id="4" w:name="_GoBack"/>
      <w:bookmarkEnd w:id="4"/>
    </w:p>
    <w:sectPr w:rsidR="0028243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03" w:rsidRDefault="00BD6103">
      <w:r>
        <w:separator/>
      </w:r>
    </w:p>
  </w:endnote>
  <w:endnote w:type="continuationSeparator" w:id="0">
    <w:p w:rsidR="00BD6103" w:rsidRDefault="00BD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432" w:rsidRDefault="00282432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432" w:rsidRDefault="0028243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03" w:rsidRDefault="00BD6103">
      <w:r>
        <w:separator/>
      </w:r>
    </w:p>
  </w:footnote>
  <w:footnote w:type="continuationSeparator" w:id="0">
    <w:p w:rsidR="00BD6103" w:rsidRDefault="00BD6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432" w:rsidRDefault="0038666A">
    <w:pPr>
      <w:pStyle w:val="aa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282432" w:rsidRDefault="0028243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432" w:rsidRDefault="0028243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D1CA0"/>
    <w:multiLevelType w:val="multilevel"/>
    <w:tmpl w:val="3A2E87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84336"/>
    <w:multiLevelType w:val="singleLevel"/>
    <w:tmpl w:val="659A4312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2352297D"/>
    <w:multiLevelType w:val="singleLevel"/>
    <w:tmpl w:val="81C25DD6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abstractNum w:abstractNumId="3">
    <w:nsid w:val="331F6BB9"/>
    <w:multiLevelType w:val="multilevel"/>
    <w:tmpl w:val="79D697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0C318C"/>
    <w:multiLevelType w:val="multilevel"/>
    <w:tmpl w:val="56462FB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DD34BEA"/>
    <w:multiLevelType w:val="singleLevel"/>
    <w:tmpl w:val="862CC4FC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840"/>
    <w:rsid w:val="00282432"/>
    <w:rsid w:val="0038666A"/>
    <w:rsid w:val="00462C26"/>
    <w:rsid w:val="00531578"/>
    <w:rsid w:val="009E6840"/>
    <w:rsid w:val="00B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312FA8-DFD4-4026-BBD0-A8E53315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заголовок 1"/>
    <w:next w:val="a2"/>
    <w:uiPriority w:val="99"/>
    <w:pPr>
      <w:keepNext/>
      <w:autoSpaceDE w:val="0"/>
      <w:autoSpaceDN w:val="0"/>
      <w:spacing w:line="360" w:lineRule="auto"/>
      <w:jc w:val="center"/>
      <w:outlineLvl w:val="0"/>
    </w:pPr>
    <w:rPr>
      <w:b/>
      <w:bCs/>
      <w:caps/>
      <w:noProof/>
      <w:kern w:val="16"/>
      <w:sz w:val="28"/>
      <w:szCs w:val="28"/>
      <w:lang w:val="en-US"/>
    </w:rPr>
  </w:style>
  <w:style w:type="paragraph" w:customStyle="1" w:styleId="2">
    <w:name w:val="заголовок 2"/>
    <w:next w:val="a2"/>
    <w:uiPriority w:val="99"/>
    <w:pPr>
      <w:keepNext/>
      <w:autoSpaceDE w:val="0"/>
      <w:autoSpaceDN w:val="0"/>
      <w:spacing w:line="360" w:lineRule="auto"/>
      <w:jc w:val="center"/>
      <w:outlineLvl w:val="1"/>
    </w:pPr>
    <w:rPr>
      <w:b/>
      <w:bCs/>
      <w:i/>
      <w:iCs/>
      <w:smallCaps/>
      <w:noProof/>
      <w:kern w:val="16"/>
      <w:sz w:val="28"/>
      <w:szCs w:val="28"/>
      <w:lang w:val="en-US"/>
    </w:rPr>
  </w:style>
  <w:style w:type="paragraph" w:customStyle="1" w:styleId="3">
    <w:name w:val="заголовок 3"/>
    <w:basedOn w:val="a2"/>
    <w:next w:val="a2"/>
    <w:uiPriority w:val="99"/>
    <w:pPr>
      <w:keepNext/>
    </w:pPr>
    <w:rPr>
      <w:b/>
      <w:bCs/>
      <w:noProof/>
      <w:lang w:val="en-US"/>
    </w:rPr>
  </w:style>
  <w:style w:type="paragraph" w:customStyle="1" w:styleId="4">
    <w:name w:val="заголовок 4"/>
    <w:next w:val="a2"/>
    <w:uiPriority w:val="99"/>
    <w:pPr>
      <w:keepNext/>
      <w:autoSpaceDE w:val="0"/>
      <w:autoSpaceDN w:val="0"/>
      <w:spacing w:line="360" w:lineRule="auto"/>
      <w:jc w:val="center"/>
      <w:outlineLvl w:val="3"/>
    </w:pPr>
    <w:rPr>
      <w:i/>
      <w:iCs/>
      <w:smallCaps/>
      <w:noProof/>
      <w:sz w:val="28"/>
      <w:szCs w:val="28"/>
      <w:lang w:val="en-US"/>
    </w:rPr>
  </w:style>
  <w:style w:type="paragraph" w:customStyle="1" w:styleId="5">
    <w:name w:val="заголовок 5"/>
    <w:basedOn w:val="a2"/>
    <w:next w:val="a2"/>
    <w:uiPriority w:val="99"/>
    <w:pPr>
      <w:keepNext/>
      <w:ind w:left="1440"/>
    </w:pPr>
    <w:rPr>
      <w:b/>
      <w:bCs/>
    </w:rPr>
  </w:style>
  <w:style w:type="paragraph" w:customStyle="1" w:styleId="6">
    <w:name w:val="заголовок 6"/>
    <w:basedOn w:val="a2"/>
    <w:next w:val="a2"/>
    <w:uiPriority w:val="99"/>
    <w:pPr>
      <w:keepNext/>
      <w:jc w:val="center"/>
    </w:pPr>
    <w:rPr>
      <w:b/>
      <w:bCs/>
      <w:sz w:val="30"/>
      <w:szCs w:val="30"/>
    </w:rPr>
  </w:style>
  <w:style w:type="character" w:customStyle="1" w:styleId="a6">
    <w:name w:val="Основной шрифт"/>
    <w:uiPriority w:val="99"/>
  </w:style>
  <w:style w:type="paragraph" w:styleId="20">
    <w:name w:val="Body Text Indent 2"/>
    <w:basedOn w:val="a2"/>
    <w:link w:val="21"/>
    <w:uiPriority w:val="9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460" w:line="300" w:lineRule="auto"/>
      <w:jc w:val="center"/>
    </w:pPr>
    <w:rPr>
      <w:sz w:val="72"/>
      <w:szCs w:val="72"/>
      <w:lang w:val="uk-UA"/>
    </w:rPr>
  </w:style>
  <w:style w:type="paragraph" w:styleId="a7">
    <w:name w:val="List Paragraph"/>
    <w:basedOn w:val="a2"/>
    <w:uiPriority w:val="99"/>
    <w:qFormat/>
    <w:pPr>
      <w:ind w:left="720"/>
    </w:pPr>
  </w:style>
  <w:style w:type="paragraph" w:styleId="a8">
    <w:name w:val="Body Text Indent"/>
    <w:basedOn w:val="a2"/>
    <w:link w:val="a9"/>
    <w:uiPriority w:val="99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a">
    <w:name w:val="header"/>
    <w:basedOn w:val="a2"/>
    <w:next w:val="ab"/>
    <w:link w:val="ac"/>
    <w:uiPriority w:val="99"/>
    <w:pPr>
      <w:tabs>
        <w:tab w:val="center" w:pos="4677"/>
        <w:tab w:val="right" w:pos="9355"/>
      </w:tabs>
      <w:jc w:val="right"/>
    </w:pPr>
    <w:rPr>
      <w:noProof/>
      <w:kern w:val="16"/>
      <w:lang w:val="en-US"/>
    </w:rPr>
  </w:style>
  <w:style w:type="character" w:customStyle="1" w:styleId="ac">
    <w:name w:val="Верхний колонтитул Знак"/>
    <w:link w:val="aa"/>
    <w:uiPriority w:val="99"/>
    <w:rPr>
      <w:kern w:val="16"/>
      <w:sz w:val="24"/>
      <w:szCs w:val="24"/>
    </w:rPr>
  </w:style>
  <w:style w:type="paragraph" w:styleId="ab">
    <w:name w:val="Body Text"/>
    <w:basedOn w:val="a2"/>
    <w:link w:val="ad"/>
    <w:uiPriority w:val="99"/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pPr>
      <w:autoSpaceDE w:val="0"/>
      <w:autoSpaceDN w:val="0"/>
      <w:spacing w:line="360" w:lineRule="auto"/>
      <w:ind w:firstLine="709"/>
      <w:jc w:val="both"/>
    </w:pPr>
    <w:rPr>
      <w:b/>
      <w:bCs/>
      <w:i/>
      <w:iCs/>
      <w:noProof/>
      <w:sz w:val="28"/>
      <w:szCs w:val="28"/>
      <w:lang w:val="en-US"/>
    </w:rPr>
  </w:style>
  <w:style w:type="character" w:customStyle="1" w:styleId="af">
    <w:name w:val="знак сноски"/>
    <w:uiPriority w:val="99"/>
    <w:rPr>
      <w:vertAlign w:val="superscript"/>
    </w:rPr>
  </w:style>
  <w:style w:type="paragraph" w:customStyle="1" w:styleId="a0">
    <w:name w:val="Лит"/>
    <w:uiPriority w:val="99"/>
    <w:pPr>
      <w:numPr>
        <w:numId w:val="4"/>
      </w:numPr>
      <w:autoSpaceDE w:val="0"/>
      <w:autoSpaceDN w:val="0"/>
      <w:spacing w:line="360" w:lineRule="auto"/>
    </w:pPr>
    <w:rPr>
      <w:sz w:val="28"/>
      <w:szCs w:val="28"/>
      <w:lang w:val="uk-UA"/>
    </w:rPr>
  </w:style>
  <w:style w:type="paragraph" w:customStyle="1" w:styleId="10">
    <w:name w:val="оглавление 1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caps/>
      <w:noProof/>
      <w:lang w:val="en-US"/>
    </w:rPr>
  </w:style>
  <w:style w:type="paragraph" w:customStyle="1" w:styleId="22">
    <w:name w:val="оглавление 2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smallCaps/>
      <w:noProof/>
      <w:lang w:val="en-US"/>
    </w:rPr>
  </w:style>
  <w:style w:type="paragraph" w:customStyle="1" w:styleId="30">
    <w:name w:val="оглавление 3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noProof/>
      <w:lang w:val="en-US"/>
    </w:rPr>
  </w:style>
  <w:style w:type="paragraph" w:customStyle="1" w:styleId="40">
    <w:name w:val="оглавление 4"/>
    <w:basedOn w:val="a2"/>
    <w:next w:val="a2"/>
    <w:autoRedefine/>
    <w:uiPriority w:val="99"/>
    <w:pPr>
      <w:ind w:firstLine="0"/>
    </w:pPr>
  </w:style>
  <w:style w:type="paragraph" w:customStyle="1" w:styleId="af0">
    <w:name w:val="сноска"/>
    <w:uiPriority w:val="99"/>
    <w:pPr>
      <w:autoSpaceDE w:val="0"/>
      <w:autoSpaceDN w:val="0"/>
      <w:ind w:firstLine="720"/>
    </w:pPr>
    <w:rPr>
      <w:noProof/>
      <w:lang w:val="en-US"/>
    </w:rPr>
  </w:style>
  <w:style w:type="paragraph" w:customStyle="1" w:styleId="a">
    <w:name w:val="список ненумерованный"/>
    <w:uiPriority w:val="99"/>
    <w:pPr>
      <w:numPr>
        <w:numId w:val="5"/>
      </w:numPr>
      <w:autoSpaceDE w:val="0"/>
      <w:autoSpaceDN w:val="0"/>
      <w:spacing w:line="360" w:lineRule="auto"/>
      <w:jc w:val="both"/>
    </w:pPr>
    <w:rPr>
      <w:noProof/>
      <w:sz w:val="28"/>
      <w:szCs w:val="28"/>
      <w:lang w:val="en-US"/>
    </w:rPr>
  </w:style>
  <w:style w:type="paragraph" w:customStyle="1" w:styleId="a1">
    <w:name w:val="список нумерованный"/>
    <w:uiPriority w:val="99"/>
    <w:pPr>
      <w:numPr>
        <w:numId w:val="6"/>
      </w:numPr>
      <w:tabs>
        <w:tab w:val="num" w:pos="1276"/>
      </w:tabs>
      <w:autoSpaceDE w:val="0"/>
      <w:autoSpaceDN w:val="0"/>
      <w:spacing w:line="360" w:lineRule="auto"/>
    </w:pPr>
    <w:rPr>
      <w:noProof/>
      <w:sz w:val="28"/>
      <w:szCs w:val="28"/>
      <w:lang w:val="en-US"/>
    </w:rPr>
  </w:style>
  <w:style w:type="paragraph" w:customStyle="1" w:styleId="af1">
    <w:name w:val="схема"/>
    <w:uiPriority w:val="99"/>
    <w:pPr>
      <w:autoSpaceDE w:val="0"/>
      <w:autoSpaceDN w:val="0"/>
      <w:jc w:val="center"/>
    </w:pPr>
    <w:rPr>
      <w:noProof/>
      <w:sz w:val="24"/>
      <w:szCs w:val="24"/>
      <w:lang w:val="en-US"/>
    </w:rPr>
  </w:style>
  <w:style w:type="paragraph" w:customStyle="1" w:styleId="af2">
    <w:name w:val="ТАБЛИЦА"/>
    <w:uiPriority w:val="99"/>
    <w:pPr>
      <w:autoSpaceDE w:val="0"/>
      <w:autoSpaceDN w:val="0"/>
      <w:jc w:val="center"/>
    </w:pPr>
    <w:rPr>
      <w:noProof/>
      <w:lang w:val="en-US"/>
    </w:rPr>
  </w:style>
  <w:style w:type="paragraph" w:customStyle="1" w:styleId="af3">
    <w:name w:val="титут"/>
    <w:uiPriority w:val="99"/>
    <w:pPr>
      <w:autoSpaceDE w:val="0"/>
      <w:autoSpaceDN w:val="0"/>
      <w:spacing w:line="360" w:lineRule="auto"/>
      <w:jc w:val="center"/>
    </w:pPr>
    <w:rPr>
      <w:noProof/>
      <w:sz w:val="28"/>
      <w:szCs w:val="28"/>
      <w:lang w:val="en-US"/>
    </w:rPr>
  </w:style>
  <w:style w:type="paragraph" w:styleId="af4">
    <w:name w:val="footer"/>
    <w:basedOn w:val="a2"/>
    <w:link w:val="af5"/>
    <w:uiPriority w:val="99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link w:val="af4"/>
    <w:uiPriority w:val="99"/>
    <w:semiHidden/>
    <w:rPr>
      <w:sz w:val="28"/>
      <w:szCs w:val="28"/>
    </w:rPr>
  </w:style>
  <w:style w:type="character" w:customStyle="1" w:styleId="af6">
    <w:name w:val="номер страницы"/>
    <w:uiPriority w:val="99"/>
  </w:style>
  <w:style w:type="paragraph" w:customStyle="1" w:styleId="50">
    <w:name w:val="оглавление 5"/>
    <w:basedOn w:val="a2"/>
    <w:next w:val="a2"/>
    <w:autoRedefine/>
    <w:uiPriority w:val="99"/>
    <w:pPr>
      <w:ind w:left="1120"/>
    </w:pPr>
  </w:style>
  <w:style w:type="paragraph" w:customStyle="1" w:styleId="60">
    <w:name w:val="оглавление 6"/>
    <w:basedOn w:val="a2"/>
    <w:next w:val="a2"/>
    <w:autoRedefine/>
    <w:uiPriority w:val="99"/>
    <w:pPr>
      <w:ind w:left="1400"/>
    </w:pPr>
  </w:style>
  <w:style w:type="paragraph" w:customStyle="1" w:styleId="7">
    <w:name w:val="оглавление 7"/>
    <w:basedOn w:val="a2"/>
    <w:next w:val="a2"/>
    <w:autoRedefine/>
    <w:uiPriority w:val="99"/>
    <w:pPr>
      <w:ind w:left="1680"/>
    </w:pPr>
  </w:style>
  <w:style w:type="paragraph" w:customStyle="1" w:styleId="8">
    <w:name w:val="оглавление 8"/>
    <w:basedOn w:val="a2"/>
    <w:next w:val="a2"/>
    <w:autoRedefine/>
    <w:uiPriority w:val="99"/>
    <w:pPr>
      <w:ind w:left="1960"/>
    </w:pPr>
  </w:style>
  <w:style w:type="paragraph" w:customStyle="1" w:styleId="9">
    <w:name w:val="оглавление 9"/>
    <w:basedOn w:val="a2"/>
    <w:next w:val="a2"/>
    <w:autoRedefine/>
    <w:uiPriority w:val="99"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2014-03-07T02:26:00Z</dcterms:created>
  <dcterms:modified xsi:type="dcterms:W3CDTF">2014-03-07T02:26:00Z</dcterms:modified>
</cp:coreProperties>
</file>