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0B1" w:rsidRPr="00D55A1E" w:rsidRDefault="00FA30B1" w:rsidP="00FA30B1">
      <w:pPr>
        <w:spacing w:before="120"/>
        <w:jc w:val="center"/>
        <w:rPr>
          <w:b/>
          <w:bCs/>
          <w:sz w:val="32"/>
          <w:szCs w:val="32"/>
        </w:rPr>
      </w:pPr>
      <w:r w:rsidRPr="00D55A1E">
        <w:rPr>
          <w:b/>
          <w:bCs/>
          <w:sz w:val="32"/>
          <w:szCs w:val="32"/>
        </w:rPr>
        <w:t xml:space="preserve">Молитвы, канты, марши эпохи Петра </w:t>
      </w:r>
    </w:p>
    <w:p w:rsidR="00FA30B1" w:rsidRPr="00D55A1E" w:rsidRDefault="00FA30B1" w:rsidP="00FA30B1">
      <w:pPr>
        <w:spacing w:before="120"/>
        <w:ind w:firstLine="567"/>
        <w:jc w:val="both"/>
        <w:rPr>
          <w:sz w:val="28"/>
          <w:szCs w:val="28"/>
        </w:rPr>
      </w:pPr>
      <w:r w:rsidRPr="00D55A1E">
        <w:rPr>
          <w:rStyle w:val="text1"/>
          <w:sz w:val="28"/>
          <w:szCs w:val="28"/>
        </w:rPr>
        <w:t xml:space="preserve">Грачев В. Н. 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Во времена Петра I (1672-1725 гг.)</w:t>
      </w:r>
      <w:r>
        <w:t xml:space="preserve"> </w:t>
      </w:r>
      <w:r w:rsidRPr="0071128B">
        <w:t>в связи с выдающимися победами русского оружия большое распространение получили</w:t>
      </w:r>
      <w:r>
        <w:t xml:space="preserve"> </w:t>
      </w:r>
      <w:r w:rsidRPr="0071128B">
        <w:t>торжества и празднества с участием музыки. Как справедливо отмечает Т. Ливанова, «такие торжества следовали одно за другим: в 1702 г. — по случаю взятия Шлиссельбурга, в 1703 г. — снова по случаю побед над шведами, в 1704 г. — взятие Нарвы и Дерпта, в 1709 г. — победа под Полтавой, в 1721 г. — заключение Ништадтского мира, в 1722 г. — взятие Дербента...»(1)</w:t>
      </w:r>
      <w:r>
        <w:t xml:space="preserve"> 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Русские славильные песнопения в тот период представляли собой довольно пеструю картину.</w:t>
      </w:r>
      <w:r>
        <w:t xml:space="preserve"> </w:t>
      </w:r>
      <w:r w:rsidRPr="0071128B">
        <w:t>Появившиеся тогда светские и полусветские жанры музыки панегирического содержания: торжественные виваты и канты («виватные канты»), псальмы (псалмы) западного гомофонно-гармонического склада, прославлявшие деяния царя, но не порывавшие с церковной традицией, соседствовали с одноголосными величальными напевами-молитвами в традициях знаменного пения. По аналогии с богослужебными напевами, канты создавались к определенным датам и торжественным событиям. На одно событие, как и для богослужения, слагалось сразу множество (не один десяток) таких песнопений. Вместе с символикой триумфальных врат, с торжественной канонадой, с красочным блеском фейерверков и иллюминаций, трубными фанфарами, риторикой панегирических пьес и вышеупомянутыми более традиционными полуцерковными славильными напевами, они составляли атрибутику прославления, бытовавшую в то время.(2)</w:t>
      </w:r>
      <w:r>
        <w:t xml:space="preserve"> </w:t>
      </w:r>
    </w:p>
    <w:p w:rsidR="00FA30B1" w:rsidRDefault="00FA30B1" w:rsidP="00FA30B1">
      <w:pPr>
        <w:spacing w:before="120"/>
        <w:ind w:firstLine="567"/>
        <w:jc w:val="both"/>
      </w:pPr>
      <w:r w:rsidRPr="0071128B">
        <w:t xml:space="preserve">В конце XVII-начале XVIII вв. русские славильные напевы стали обогащаться инструментальным сопровождением: сигналами фанфар, музыкой литавр («гласами трубными и мусикийскими» — как написал современник).(3) Иностранный путешественник отметил, что, в связи с торжествами по случаю взятия Нотенбурга, «наверху [триумфальных] ворот была устроена вислая площадка, на которой стояли, по два в ряд, восемь молодых юношей, великолепно разодетых, сливавших свое пение с музыкой»(4) (тогда как ранее встречались только отзывы о негативном отношении русских к инструментальному сопровождению пения). На возможное исполнение хоровой партии в унисон с инструментальным аккомпанементом указывает и фанфарный склад фактуры ряда виватов и кантов той поры. Но дошедшие до нас нотные записи фиксируют только слова и вокальные партии величальных напевов той поры и более позднего периода (гимн в вокально-хоровом изложении со словами писали чуть ли не до начала XIX в.). Почему так? По-видимому, примат слова и пения, идущие от традиции богослужения, оставлял за рамками важнейшего, необходимейшего даже такие важные (с художественной точки зрения) атрибуты, как инструментальное сопровождение. При этом фанфарные сигналы с литаврами в кантах, по-видимому, исполнялись «по правилам», а не по нотам. 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Наиболее известные канты гимнического содержания были созданы по случаю победы под Полтавой (свыше 20 наименований) и на</w:t>
      </w:r>
      <w:r>
        <w:t xml:space="preserve"> </w:t>
      </w:r>
      <w:r w:rsidRPr="0071128B">
        <w:t>заключение</w:t>
      </w:r>
      <w:r>
        <w:t xml:space="preserve"> </w:t>
      </w:r>
      <w:r w:rsidRPr="0071128B">
        <w:t>Ништадтского мира. Исполнение кантов и виватов тогда заканчивалось пением молитвы «Многие лета».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Поскольку в эпоху Петра Россия</w:t>
      </w:r>
      <w:r>
        <w:t xml:space="preserve"> </w:t>
      </w:r>
      <w:r w:rsidRPr="0071128B">
        <w:t>много и успешно воевала, большое значение</w:t>
      </w:r>
      <w:r>
        <w:t xml:space="preserve"> </w:t>
      </w:r>
      <w:r w:rsidRPr="0071128B">
        <w:t>приобрела музыка маршей, наиболее торжественные из которых</w:t>
      </w:r>
      <w:r>
        <w:t xml:space="preserve"> </w:t>
      </w:r>
      <w:r w:rsidRPr="0071128B">
        <w:t>создавались по случаю побед и</w:t>
      </w:r>
      <w:r>
        <w:t xml:space="preserve"> </w:t>
      </w:r>
      <w:r w:rsidRPr="0071128B">
        <w:t>воспринимались как гимны — символы тех событий.</w:t>
      </w:r>
      <w:r>
        <w:t xml:space="preserve"> 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Канты, марши и духовные гимны эпохи Петра I еще не претендовали на роль единого гимна. Исполняемые «от случая к случаю» они не имели универсального</w:t>
      </w:r>
      <w:r>
        <w:t xml:space="preserve"> </w:t>
      </w:r>
      <w:r w:rsidRPr="0071128B">
        <w:t>значения</w:t>
      </w:r>
      <w:r>
        <w:t xml:space="preserve"> </w:t>
      </w:r>
      <w:r w:rsidRPr="0071128B">
        <w:t>вне конкретного праздника или</w:t>
      </w:r>
      <w:r>
        <w:t xml:space="preserve"> </w:t>
      </w:r>
      <w:r w:rsidRPr="0071128B">
        <w:t>сходных событий: годовщин побед, царских именин, триумфальных шествий. Функцию государственного гимна</w:t>
      </w:r>
      <w:r>
        <w:t xml:space="preserve"> </w:t>
      </w:r>
      <w:r w:rsidRPr="0071128B">
        <w:t>выполняла как бы вся музыка церемоний и празднеств в целом,</w:t>
      </w:r>
      <w:r>
        <w:t xml:space="preserve"> </w:t>
      </w:r>
      <w:r w:rsidRPr="0071128B">
        <w:t>созданная в тот период. Но некоторые гимны</w:t>
      </w:r>
      <w:r>
        <w:t xml:space="preserve"> </w:t>
      </w:r>
      <w:r w:rsidRPr="0071128B">
        <w:t>уже выделялись на общем фоне как более часто</w:t>
      </w:r>
      <w:r>
        <w:t xml:space="preserve"> </w:t>
      </w:r>
      <w:r w:rsidRPr="0071128B">
        <w:t>исполняемые или наиболее популярные.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В течение всего XVIII в., наряду с кантами, в России часто исполнялся общеевропейский гимн «Тебе, Бога, хвалим», приписываемый Амвросию Медиоламскому. Его играли на полях сражений в Северной войне и во время триумфальных празднеств в честь побед русского оружия. Сохранились воспоминания о том, что по случаю заключения Ништадтского мира со Швецией в 1721 г. царь Петр I пел этот гимн, стоя на коленях, со слезами на глазах вместе с певчими Троицкого собора.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«Тебе, Бога, хвалим» сохранил свое значение в XVIII в., оставаясь составной частью различных церемоний. Его пели во время царских именинных праздников, в конце торжественных молебнов, после застольных здравиц. В 1788 г. главнокомандующий русской армии князь Г. А. Потемкин по случаю взятия Очакова</w:t>
      </w:r>
      <w:r>
        <w:t xml:space="preserve"> </w:t>
      </w:r>
      <w:r w:rsidRPr="0071128B">
        <w:t>устроил грандиозные торжества. Этот бесстрашный полководец и блестящий вельможа эпохи Екатерины II был очень набожным человеком. Поэтому стержнем музыкального оформления праздника стала оратория</w:t>
      </w:r>
      <w:r>
        <w:t xml:space="preserve"> </w:t>
      </w:r>
      <w:r w:rsidRPr="0071128B">
        <w:t>Дж. Сарти «Тебе, Бога, хвалим» с музыкой гимна, аранжированного для хора в 300 человек,</w:t>
      </w:r>
      <w:r>
        <w:t xml:space="preserve"> </w:t>
      </w:r>
      <w:r w:rsidRPr="0071128B">
        <w:t>симфонического,</w:t>
      </w:r>
      <w:r>
        <w:t xml:space="preserve"> </w:t>
      </w:r>
      <w:r w:rsidRPr="0071128B">
        <w:t>рогового оркестров, к которым присоединялся колокольный звон и торжественная пальба из десяти пушек.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В XIX в. этот гимн продолжал использоваться в церемониях тезоименитства, при</w:t>
      </w:r>
      <w:r>
        <w:t xml:space="preserve"> </w:t>
      </w:r>
      <w:r w:rsidRPr="0071128B">
        <w:t>коронациях императоров. В ХХ в. он утратил свое значение.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Царь Петр I, в отличие от своего отца Алексея Михайловича,</w:t>
      </w:r>
      <w:r>
        <w:t xml:space="preserve"> </w:t>
      </w:r>
      <w:r w:rsidRPr="0071128B">
        <w:t>не отличался особой набожностью. Гениально одаренный от природы, он был</w:t>
      </w:r>
      <w:r>
        <w:t xml:space="preserve"> </w:t>
      </w:r>
      <w:r w:rsidRPr="0071128B">
        <w:t>убежденным гуманистом и государственником, порой, забывавшим о том, Кто даровал ему выдающиеся способности и власть. Ради возвеличивания государства Российского, он считал возможным использовать любое принуждение по отношению к сословиям и отдельным гражданам.</w:t>
      </w:r>
      <w:r>
        <w:t xml:space="preserve"> </w:t>
      </w:r>
      <w:r w:rsidRPr="0071128B">
        <w:t>Его он использовал и по отношению к церкви, сведя ее роль до уровня отдельного департамента в структуре</w:t>
      </w:r>
      <w:r>
        <w:t xml:space="preserve"> </w:t>
      </w:r>
      <w:r w:rsidRPr="0071128B">
        <w:t xml:space="preserve">государственных министерств. 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В то же время Петр I был</w:t>
      </w:r>
      <w:r>
        <w:t xml:space="preserve"> </w:t>
      </w:r>
      <w:r w:rsidRPr="0071128B">
        <w:t>не только замечательным зодчим, архитектором, инженером, моряком, строителем, плотником, кузнецом, врачом, цирюльником, но и великим Воином.</w:t>
      </w:r>
      <w:r>
        <w:t xml:space="preserve"> </w:t>
      </w:r>
      <w:r w:rsidRPr="0071128B">
        <w:t>Во время своих многочисленных походов он нередко сам водил войска и, в частности,</w:t>
      </w:r>
      <w:r>
        <w:t xml:space="preserve"> </w:t>
      </w:r>
      <w:r w:rsidRPr="0071128B">
        <w:t>созданный им лейб-гвардии Преображенский полк в бой</w:t>
      </w:r>
      <w:r>
        <w:t xml:space="preserve"> </w:t>
      </w:r>
      <w:r w:rsidRPr="0071128B">
        <w:t>и побеждал. Побеждал на суше и на море. Малыми силами, ошеломляя противника личной храбростью и удалью, брал на абордаж</w:t>
      </w:r>
      <w:r>
        <w:t xml:space="preserve"> </w:t>
      </w:r>
      <w:r w:rsidRPr="0071128B">
        <w:t>шведские фрегаты. Благодаря его выдающимся победам, пределы России были раздвинуты далеко на север и на запад. Склонность к силовым решениям в эпоху Петра, в ущерб молитвенной практике, наложила отпечаток на характер ее символики.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Хотя официально в качестве гимна или «главного вивата» царь его не утверждал,</w:t>
      </w:r>
      <w:r>
        <w:t xml:space="preserve"> </w:t>
      </w:r>
      <w:r w:rsidRPr="0071128B">
        <w:t>естественным итогом царствования Петра I оказался «Преображенский марш Петра Великого» в качестве символа эпохи его победоносных войн.</w:t>
      </w:r>
      <w:r>
        <w:t xml:space="preserve"> 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Эта музыка как олицетворение величия и мощи России, «распрямляющей свои плечи», уже к концу жизни Петра I звучала в качестве победного гимна в годовщины побед русского оружия под</w:t>
      </w:r>
      <w:r>
        <w:t xml:space="preserve"> </w:t>
      </w:r>
      <w:r w:rsidRPr="0071128B">
        <w:t>Полтавой, в честь взятия Нарвы, в ознаменование морских побед у Гангута и Гренгама. Ее также исполняли во время Ништадтского триумфа, после возвращения царя из Персидского похода (1722) и т. д. Чтобы подчеркнуть значение побед Петра, к маршу-гимну спустя некоторое время были присочинены следующие слова:</w:t>
      </w:r>
      <w:r>
        <w:t xml:space="preserve"> </w:t>
      </w:r>
    </w:p>
    <w:p w:rsidR="00FA30B1" w:rsidRDefault="00FA30B1" w:rsidP="00FA30B1">
      <w:pPr>
        <w:spacing w:before="120"/>
        <w:ind w:firstLine="567"/>
        <w:jc w:val="both"/>
      </w:pPr>
      <w:r w:rsidRPr="0071128B">
        <w:t xml:space="preserve">Славны были наши деды, 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Закаленные в боях.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Их парил орел победы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На полтавских берегах.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Били турка, били шведа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Под знаменами Петра.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Раздавался гром победы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И кричали мы Ура!</w:t>
      </w:r>
      <w:r>
        <w:t xml:space="preserve">  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До появления «Гром победы, раздавайся» «Преображенский марш» в сочетании с «Тебе, Бога, хвалим», использовали в роли церемониального гимна</w:t>
      </w:r>
      <w:r>
        <w:t xml:space="preserve"> </w:t>
      </w:r>
      <w:r w:rsidRPr="0071128B">
        <w:t>при выходах императора на параде (встречный марш), на официальных приемах, по случаю тезоименитства: в день святого покровителя царской фамилии.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Одновременно «Преображенский марш» оставался полковой музыкой русской армии. Хотя он написан как встречный марш, его, в силу</w:t>
      </w:r>
      <w:r>
        <w:t xml:space="preserve"> </w:t>
      </w:r>
      <w:r w:rsidRPr="0071128B">
        <w:t>огромной популярности, использовали и в качестве походного, строевого</w:t>
      </w:r>
      <w:r>
        <w:t xml:space="preserve"> </w:t>
      </w:r>
      <w:r w:rsidRPr="0071128B">
        <w:t>марша. С ним шла в атаку русская армия под командованием Суворова, штурмуя Измаил (1790), он звучал во время сражения под Бородино (1812), под Лейпцигом (1813) и на высотах Монмартра перед взятием Парижа.(5) Во время Отечественной войны с Наполеоном</w:t>
      </w:r>
      <w:r>
        <w:t xml:space="preserve"> </w:t>
      </w:r>
      <w:r w:rsidRPr="0071128B">
        <w:t>С. Марин написал</w:t>
      </w:r>
      <w:r>
        <w:t xml:space="preserve"> </w:t>
      </w:r>
      <w:r w:rsidRPr="0071128B">
        <w:t>слова, чтобы на музыку марша можно было петь песню для воодушевления</w:t>
      </w:r>
      <w:r>
        <w:t xml:space="preserve"> </w:t>
      </w:r>
      <w:r w:rsidRPr="0071128B">
        <w:t>солдат во время переходов или при торжественном вступлении в европейские города. Вот ее текст: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Пойдем, братцы, за границу</w:t>
      </w:r>
      <w:r>
        <w:t xml:space="preserve"> 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Бить Отечества врагов;.</w:t>
      </w:r>
      <w:r>
        <w:t xml:space="preserve"> 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Вспомним матушку-царицу,</w:t>
      </w:r>
      <w:r>
        <w:t xml:space="preserve"> 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Вспомним век ее каков!</w:t>
      </w:r>
      <w:r>
        <w:t xml:space="preserve"> 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Славный век Екатерины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Нам напомнит каждый шаг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Те поля, леса, долины,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Где бежал от русских враг!</w:t>
      </w:r>
      <w:r>
        <w:t xml:space="preserve"> 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Вот Суворов где сражался!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Там Румянцев где разил!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Каждый воин отличался,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Путь ко славе находил!</w:t>
      </w:r>
      <w:r>
        <w:t xml:space="preserve">  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 xml:space="preserve">В XIX в. с появлением официальных гимнов «Марш Преображенского полка» остался главным маршем России. Кроме того, он, наряду с «Тебе, Бога, хвалим», участвовал в музыкальном оформлении коронации российских императоров. Знаменитый марш-гимн играли в конце церемонии в момент орудийного салюта. 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В ХХ в. «Марш преображенского полка» продолжал оставаться и гимном, и маршем. С 1917 г. его использовали в качестве гимна в Белой армии, но, одновременно, он оказался</w:t>
      </w:r>
      <w:r>
        <w:t xml:space="preserve"> </w:t>
      </w:r>
      <w:r w:rsidRPr="0071128B">
        <w:t>и любимым маршем Красной армии. И поныне его играют в новой России</w:t>
      </w:r>
      <w:r>
        <w:t xml:space="preserve"> </w:t>
      </w:r>
      <w:r w:rsidRPr="0071128B">
        <w:t xml:space="preserve">в особо торжественные моменты, например, при выносе знамени, при встрече высоких персон. 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Музыка «Преображенского марша Петра Великого» звучит не просто торжественно, но и как-то особенно задорно и победительно. Как будто в ней</w:t>
      </w:r>
      <w:r>
        <w:t xml:space="preserve"> </w:t>
      </w:r>
      <w:r w:rsidRPr="0071128B">
        <w:t>ожили</w:t>
      </w:r>
      <w:r>
        <w:t xml:space="preserve"> </w:t>
      </w:r>
      <w:r w:rsidRPr="0071128B">
        <w:t>строки пушкинской «Полтавы»: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И се — равнину оглашая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Далече</w:t>
      </w:r>
      <w:r>
        <w:t xml:space="preserve"> </w:t>
      </w:r>
      <w:r w:rsidRPr="0071128B">
        <w:t>грянуло ура: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Полки увидели Петра.</w:t>
      </w:r>
      <w:r>
        <w:t xml:space="preserve"> 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И он промчался пред полками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Могущ и радостен, как бой,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Он поле пожирал очами.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Радостно-торжественный</w:t>
      </w:r>
      <w:r>
        <w:t xml:space="preserve"> </w:t>
      </w:r>
      <w:r w:rsidRPr="0071128B">
        <w:t>настрой гимна-марша рождается из</w:t>
      </w:r>
      <w:r>
        <w:t xml:space="preserve"> </w:t>
      </w:r>
      <w:r w:rsidRPr="0071128B">
        <w:t>сочетания эмблематики золотого хода валторн в мелодике с фанфарными однотонными сакральными сигналами труб в его инструментальном сопровождении. Последние звучат практически непрерывно, сообщая маршу фанфарный характер и особую приподнятость и величие. «Преображенский марш» написан в европейском стиле в традициях франко-немецкой охотничьей музыки — отсюда преобладание золотого хода в его интонациях. Русский колорит запечатлелся в нем, благодаря уходу в параллельный минор в средней части сложной трехчастной формы — известный знак русской национальной школы. Сопоставление различных вариантов слов с музыой</w:t>
      </w:r>
      <w:r>
        <w:t xml:space="preserve"> </w:t>
      </w:r>
      <w:r w:rsidRPr="0071128B">
        <w:t>марша позволяет предположить, что в начале он был написан в простой трехчастной форме. Уход в соль-минор и последующее трио в си-бемоль мажор, скорее всего, были присочинены позднее, по-видимому, А. Дерфельдтом.</w:t>
      </w:r>
    </w:p>
    <w:p w:rsidR="00FA30B1" w:rsidRPr="0071128B" w:rsidRDefault="00FA30B1" w:rsidP="00FA30B1">
      <w:pPr>
        <w:spacing w:before="120"/>
        <w:ind w:firstLine="567"/>
        <w:jc w:val="both"/>
      </w:pPr>
      <w:r w:rsidRPr="0071128B">
        <w:t>У Преображенского марша-гимна за время его существования появилось много названий. В XIX в. он обычно издавался как «Марш лейб-гвардии Преображенского полка». В настоящей Хрестоматии он дается в полном виде с дополнительными трио, но под</w:t>
      </w:r>
      <w:r>
        <w:t xml:space="preserve"> </w:t>
      </w:r>
      <w:r w:rsidRPr="0071128B">
        <w:t>первоначальным названием: «Пребраженский марш Петра Великого».</w:t>
      </w:r>
    </w:p>
    <w:p w:rsidR="00FA30B1" w:rsidRPr="00D55A1E" w:rsidRDefault="00FA30B1" w:rsidP="00FA30B1">
      <w:pPr>
        <w:spacing w:before="120"/>
        <w:jc w:val="center"/>
        <w:rPr>
          <w:b/>
          <w:bCs/>
          <w:sz w:val="28"/>
          <w:szCs w:val="28"/>
        </w:rPr>
      </w:pPr>
      <w:r w:rsidRPr="00D55A1E">
        <w:rPr>
          <w:b/>
          <w:bCs/>
          <w:sz w:val="28"/>
          <w:szCs w:val="28"/>
        </w:rPr>
        <w:t>Список литературы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1.</w:t>
      </w:r>
      <w:r>
        <w:t xml:space="preserve"> </w:t>
      </w:r>
      <w:r w:rsidRPr="0071128B">
        <w:t>Ливанова Т. Очерки и материалы по истории русской музыкальной культуры. М., Искусство, 1938. С. 223.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2.</w:t>
      </w:r>
      <w:r>
        <w:t xml:space="preserve"> </w:t>
      </w:r>
      <w:r w:rsidRPr="0071128B">
        <w:t>См. там же. С. 223.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3.</w:t>
      </w:r>
      <w:r>
        <w:t xml:space="preserve"> </w:t>
      </w:r>
      <w:r w:rsidRPr="0071128B">
        <w:t>Имеется в виду описание триумфального въезда Петра Великого в Москву по случаю победы над Швецией (1721). См.: Голиков. «Дополнения к деяниям Петра Великого». Т. VIII.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4.</w:t>
      </w:r>
      <w:r>
        <w:t xml:space="preserve"> </w:t>
      </w:r>
      <w:r w:rsidRPr="0071128B">
        <w:t>Корнилий де-Бруин. Путешествие через Московию. Чтения в Обществе истории и древностей российских. СПб, 1842. Кн. I.</w:t>
      </w:r>
    </w:p>
    <w:p w:rsidR="00FA30B1" w:rsidRDefault="00FA30B1" w:rsidP="00FA30B1">
      <w:pPr>
        <w:spacing w:before="120"/>
        <w:ind w:firstLine="567"/>
        <w:jc w:val="both"/>
      </w:pPr>
      <w:r w:rsidRPr="0071128B">
        <w:t>5.</w:t>
      </w:r>
      <w:r>
        <w:t xml:space="preserve"> </w:t>
      </w:r>
      <w:r w:rsidRPr="0071128B">
        <w:t>Перед штурмом Парижа</w:t>
      </w:r>
      <w:r>
        <w:t xml:space="preserve"> </w:t>
      </w:r>
      <w:r w:rsidRPr="0071128B">
        <w:t>русские</w:t>
      </w:r>
      <w:r>
        <w:t xml:space="preserve"> </w:t>
      </w:r>
      <w:r w:rsidRPr="0071128B">
        <w:t>устроили</w:t>
      </w:r>
      <w:r>
        <w:t xml:space="preserve"> </w:t>
      </w:r>
      <w:r w:rsidRPr="0071128B">
        <w:t>демонстрацию мощи боевого духа своей армии. Все войсковые</w:t>
      </w:r>
      <w:r>
        <w:t xml:space="preserve"> </w:t>
      </w:r>
      <w:r w:rsidRPr="0071128B">
        <w:t>оркестры один за другим играли военные марши и в том числе — «Марш Преображенского полка» на высотах</w:t>
      </w:r>
      <w:r>
        <w:t xml:space="preserve"> </w:t>
      </w:r>
      <w:r w:rsidRPr="0071128B">
        <w:t>Монмартра,</w:t>
      </w:r>
      <w:r>
        <w:t xml:space="preserve"> </w:t>
      </w:r>
      <w:r w:rsidRPr="0071128B">
        <w:t>доминирующих над</w:t>
      </w:r>
      <w:r>
        <w:t xml:space="preserve"> </w:t>
      </w:r>
      <w:r w:rsidRPr="0071128B">
        <w:t>городом.</w:t>
      </w:r>
      <w:r>
        <w:t xml:space="preserve"> </w:t>
      </w:r>
      <w:r w:rsidRPr="0071128B">
        <w:t>Их звучание, парализуя волю к сопротивлению у французов, как бы утверждало: «К Парижу пришла победоносная</w:t>
      </w:r>
      <w:r>
        <w:t xml:space="preserve"> </w:t>
      </w:r>
      <w:r w:rsidRPr="0071128B">
        <w:t>русская армия под знаменами Суворова, Румянцева, Потемкина. Сдавайтесь!»</w:t>
      </w:r>
      <w:bookmarkStart w:id="0" w:name="_GoBack"/>
      <w:bookmarkEnd w:id="0"/>
    </w:p>
    <w:sectPr w:rsidR="00FA30B1" w:rsidSect="008205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30B1"/>
    <w:rsid w:val="005F369E"/>
    <w:rsid w:val="0071128B"/>
    <w:rsid w:val="00820540"/>
    <w:rsid w:val="009C5115"/>
    <w:rsid w:val="00A23E50"/>
    <w:rsid w:val="00D55A1E"/>
    <w:rsid w:val="00F236A2"/>
    <w:rsid w:val="00FA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524B762-784B-4919-AC66-A321FB600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0B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uiPriority w:val="99"/>
    <w:rsid w:val="00FA30B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7124</Words>
  <Characters>4061</Characters>
  <Application>Microsoft Office Word</Application>
  <DocSecurity>0</DocSecurity>
  <Lines>33</Lines>
  <Paragraphs>22</Paragraphs>
  <ScaleCrop>false</ScaleCrop>
  <Company>Home</Company>
  <LinksUpToDate>false</LinksUpToDate>
  <CharactersWithSpaces>11163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Молитвы, канты, марши эпохи Петра </dc:title>
  <dc:subject/>
  <dc:creator>User</dc:creator>
  <cp:keywords/>
  <dc:description/>
  <cp:lastModifiedBy>admin</cp:lastModifiedBy>
  <cp:revision>2</cp:revision>
  <dcterms:created xsi:type="dcterms:W3CDTF">2014-01-25T15:31:00Z</dcterms:created>
  <dcterms:modified xsi:type="dcterms:W3CDTF">2014-01-25T15:31:00Z</dcterms:modified>
</cp:coreProperties>
</file>