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F4B" w:rsidRPr="00BF5F4B" w:rsidRDefault="00BF5F4B" w:rsidP="00BF5F4B">
      <w:pPr>
        <w:spacing w:before="120"/>
        <w:jc w:val="center"/>
        <w:rPr>
          <w:b/>
          <w:sz w:val="32"/>
        </w:rPr>
      </w:pPr>
      <w:r w:rsidRPr="00BF5F4B">
        <w:rPr>
          <w:b/>
          <w:sz w:val="32"/>
        </w:rPr>
        <w:t>Государственный реестр объектов и участников Системы сертификации ГОСТ Р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Системы сертификации являются одним из объектов регистрации в Государственном реестре объектов Системы сертификации ГОСТ Р.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Государственный реестр (Госреестр) — совокупность информации в электронном виде и фонд документов о системах</w:t>
      </w:r>
      <w:r>
        <w:t xml:space="preserve">, </w:t>
      </w:r>
      <w:r w:rsidRPr="0032766E">
        <w:t>объектах и участниках сертификации</w:t>
      </w:r>
      <w:r>
        <w:t xml:space="preserve">, </w:t>
      </w:r>
      <w:r w:rsidRPr="0032766E">
        <w:t>зарегистрированных с целью придания им юридической силы. При ведении Госреестра выполняются следующие работы: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проверка комплектности и правильности оформления документов</w:t>
      </w:r>
      <w:r>
        <w:t xml:space="preserve">, </w:t>
      </w:r>
      <w:r w:rsidRPr="0032766E">
        <w:t>представляемых на регистрацию</w:t>
      </w:r>
      <w:r>
        <w:t xml:space="preserve">, </w:t>
      </w:r>
      <w:r w:rsidRPr="0032766E">
        <w:t>и присвоение номеров Госреестра объектам регистрации;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государственная регистрация систем сертификации и знаков соответствия</w:t>
      </w:r>
      <w:r>
        <w:t xml:space="preserve">, </w:t>
      </w:r>
      <w:r w:rsidRPr="0032766E">
        <w:t>действующих в Российской Федерации;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регистрация и ведение объектов и участников Системы сертификации ГОСТ Р</w:t>
      </w:r>
      <w:r>
        <w:t xml:space="preserve">, </w:t>
      </w:r>
      <w:r w:rsidRPr="0032766E">
        <w:t>в том числе: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документов Системы сертификации ГОСТ Р;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подсистем сертификации однородной продукции;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результатов аккредитации и уполномочивания</w:t>
      </w:r>
      <w:r>
        <w:t xml:space="preserve">, </w:t>
      </w:r>
      <w:r w:rsidRPr="0032766E">
        <w:t>проводимых в рамках Системы сертификации ГОСТ Р;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сертификатов</w:t>
      </w:r>
      <w:r>
        <w:t xml:space="preserve">, </w:t>
      </w:r>
      <w:r w:rsidRPr="0032766E">
        <w:t>выданных в Системе сертификации ГОСТ Р;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актуализация данных Госреестра;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ведение действующего фонда и архива материалов по объектам регистрации в Госреестре;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участие в создании и ведении автоматизированной системы Госреестра (АПС «Госреестр»). Объектами регистрации в Госреестре являются: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документ «Номенклатура продукции</w:t>
      </w:r>
      <w:r>
        <w:t xml:space="preserve">, </w:t>
      </w:r>
      <w:r w:rsidRPr="0032766E">
        <w:t>в отношении которой законодательными актами Российской Федерации предусмотрена обязательная сертификация»;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основополагающие документы Системы (Порядок проведения сертификации</w:t>
      </w:r>
      <w:r>
        <w:t xml:space="preserve">, </w:t>
      </w:r>
      <w:r w:rsidRPr="0032766E">
        <w:t>Положение о системе сертификации и др.);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системы сертификации однородной продукции и услуг</w:t>
      </w:r>
      <w:r>
        <w:t xml:space="preserve">, </w:t>
      </w:r>
      <w:r w:rsidRPr="0032766E">
        <w:t>действующие в составе Системы в качестве ее подсистем;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центральные органы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органы по сертификации и сертификационные центры;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испытательные лаборатории;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сертификаты соответствия</w:t>
      </w:r>
      <w:r>
        <w:t xml:space="preserve">, </w:t>
      </w:r>
      <w:r w:rsidRPr="0032766E">
        <w:t>выданные в Системе</w:t>
      </w:r>
      <w:r>
        <w:t xml:space="preserve">, </w:t>
      </w:r>
      <w:r w:rsidRPr="0032766E">
        <w:t>и декларации о соответствии</w:t>
      </w:r>
      <w:r>
        <w:t xml:space="preserve">, </w:t>
      </w:r>
      <w:r w:rsidRPr="0032766E">
        <w:t>принятые изготовителем продукции или исполнителем услуги.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Общая структура регистрационных номеров объектов и участников Системы в Госреестре следующая: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РОСС ХХ. ХХХХ. ХХХХХХ.</w:t>
      </w:r>
    </w:p>
    <w:p w:rsidR="00BF5F4B" w:rsidRDefault="00BF5F4B" w:rsidP="00BF5F4B">
      <w:pPr>
        <w:spacing w:before="120"/>
        <w:ind w:firstLine="567"/>
        <w:jc w:val="both"/>
      </w:pPr>
      <w:r>
        <w:t xml:space="preserve">  </w:t>
      </w:r>
      <w:r w:rsidRPr="0032766E">
        <w:t>1</w:t>
      </w:r>
      <w:r>
        <w:t xml:space="preserve"> </w:t>
      </w:r>
      <w:r w:rsidRPr="0032766E">
        <w:t>2</w:t>
      </w:r>
      <w:r>
        <w:t xml:space="preserve"> </w:t>
      </w:r>
      <w:r w:rsidRPr="0032766E">
        <w:t>3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Аббревиатура РОСС означает принадлежность к РФ; 1 — код страны согласно Общероссийскому классификатору стран мира</w:t>
      </w:r>
      <w:r>
        <w:t xml:space="preserve">, </w:t>
      </w:r>
      <w:r w:rsidRPr="0032766E">
        <w:t xml:space="preserve">который обозначается двумя заглавными </w:t>
      </w:r>
      <w:r w:rsidRPr="0032766E">
        <w:lastRenderedPageBreak/>
        <w:t>буквами алфавита</w:t>
      </w:r>
      <w:r>
        <w:t xml:space="preserve">, </w:t>
      </w:r>
      <w:r w:rsidRPr="0032766E">
        <w:t>например</w:t>
      </w:r>
      <w:r>
        <w:t xml:space="preserve">, </w:t>
      </w:r>
      <w:r w:rsidRPr="0032766E">
        <w:t>для России — RU; 2 — для объектов и участников Системы (за исключением сертификатов соответствия) код органа</w:t>
      </w:r>
      <w:r>
        <w:t xml:space="preserve">, </w:t>
      </w:r>
      <w:r w:rsidRPr="0032766E">
        <w:t>организующего работы с объектом регистрации</w:t>
      </w:r>
      <w:r>
        <w:t xml:space="preserve">, </w:t>
      </w:r>
      <w:r w:rsidRPr="0032766E">
        <w:t>например</w:t>
      </w:r>
      <w:r>
        <w:t xml:space="preserve">, </w:t>
      </w:r>
      <w:r w:rsidRPr="0032766E">
        <w:t>для Госстандарта (ныне Ростехрегулирование) — 0001</w:t>
      </w:r>
      <w:r>
        <w:t xml:space="preserve">, </w:t>
      </w:r>
      <w:r w:rsidRPr="0032766E">
        <w:t>а для сертификатов соответствия и деклараций о соответствии — последние четыре знака регистрационного номера органа по сертификации</w:t>
      </w:r>
      <w:r>
        <w:t xml:space="preserve">, </w:t>
      </w:r>
      <w:r w:rsidRPr="0032766E">
        <w:t>выдавшего сертификат соответствия или декларацию о соответствии; 3 — код типа объекта регистрации (первые два знака) и его номер (оставшиеся четыре знака)</w:t>
      </w:r>
      <w:r>
        <w:t xml:space="preserve">, </w:t>
      </w:r>
      <w:r w:rsidRPr="0032766E">
        <w:t>которые определяются конкретным типом объекта или участника Системы и его порядковым номером при регистрации.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Код типа объекта регистрации состоит из буквенных и буквенно-цифровых кодов</w:t>
      </w:r>
      <w:r>
        <w:t xml:space="preserve">, </w:t>
      </w:r>
      <w:r w:rsidRPr="0032766E">
        <w:t>идентифицирующих этот объект. Например</w:t>
      </w:r>
      <w:r>
        <w:t xml:space="preserve">, </w:t>
      </w:r>
      <w:r w:rsidRPr="0032766E">
        <w:t>в регистрационном номере РОСС RU.0001.13MC55 цифра 13 означает</w:t>
      </w:r>
      <w:r>
        <w:t xml:space="preserve">, </w:t>
      </w:r>
      <w:r w:rsidRPr="0032766E">
        <w:t>что объектом регистрации является орган по сертификации систем качества и производств</w:t>
      </w:r>
      <w:r>
        <w:t xml:space="preserve">, </w:t>
      </w:r>
      <w:r w:rsidRPr="0032766E">
        <w:t>а обозначение ИС — система качества и производства; в номере РОСС ЮХ0001.12УН02 цифра 12 означает орган по сертификации услуг</w:t>
      </w:r>
      <w:r>
        <w:t xml:space="preserve">, </w:t>
      </w:r>
      <w:r w:rsidRPr="0032766E">
        <w:t>УН — услуги в науке; в номере РОСС RU.0001.22HIII06</w:t>
      </w:r>
      <w:r>
        <w:t xml:space="preserve"> - </w:t>
      </w:r>
      <w:r w:rsidRPr="0032766E">
        <w:t>22</w:t>
      </w:r>
      <w:r>
        <w:t xml:space="preserve"> - </w:t>
      </w:r>
      <w:r w:rsidRPr="0032766E">
        <w:t>технически компетентная испытательная лаборатория</w:t>
      </w:r>
      <w:r>
        <w:t xml:space="preserve">, </w:t>
      </w:r>
      <w:r w:rsidRPr="0032766E">
        <w:t>ШП — подшипники.</w:t>
      </w:r>
    </w:p>
    <w:p w:rsidR="00BF5F4B" w:rsidRPr="00BF5F4B" w:rsidRDefault="00BF5F4B" w:rsidP="00BF5F4B">
      <w:pPr>
        <w:spacing w:before="120"/>
        <w:jc w:val="center"/>
        <w:rPr>
          <w:b/>
          <w:sz w:val="28"/>
        </w:rPr>
      </w:pPr>
      <w:r w:rsidRPr="00BF5F4B">
        <w:rPr>
          <w:b/>
          <w:sz w:val="28"/>
        </w:rPr>
        <w:t>Орган по сертификации продукции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Орган по сертификации (ОС) — это юридическое лицо или индивидуальный предприниматель</w:t>
      </w:r>
      <w:r>
        <w:t xml:space="preserve">, </w:t>
      </w:r>
      <w:r w:rsidRPr="0032766E">
        <w:t>аккредитованные в установленном порядке для выполнения работ по сертификации.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Основные функции органа по сертификации изложены в Федеральном законе «О техническом регулировании». Орган по сертификации: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привлекает на договорной основе для проведения испытаний и измерений аккредитованные испытательные лаборатории;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осуществляет контроль за объектами сертификации</w:t>
      </w:r>
      <w:r>
        <w:t xml:space="preserve">, </w:t>
      </w:r>
      <w:r w:rsidRPr="0032766E">
        <w:t>если такой контроль предусмотрен соответствующей схемой обязательной сертификации или договором;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ведет реестр выданных сертификатов соответствия;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информирует соответствующие органы государственного контроля за соблюдением требований технических регламентов о продукции</w:t>
      </w:r>
      <w:r>
        <w:t xml:space="preserve">, </w:t>
      </w:r>
      <w:r w:rsidRPr="0032766E">
        <w:t>поступившей на сертификацию</w:t>
      </w:r>
      <w:r>
        <w:t xml:space="preserve">, </w:t>
      </w:r>
      <w:r w:rsidRPr="0032766E">
        <w:t>но не прошедшей ее;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выдает сертификаты соответствия</w:t>
      </w:r>
      <w:r>
        <w:t xml:space="preserve">, </w:t>
      </w:r>
      <w:r w:rsidRPr="0032766E">
        <w:t>приостанавливает или прекращает действие выданных им сертификатов соответствия и информирует об этом федеральный орган исполнительной власти</w:t>
      </w:r>
      <w:r>
        <w:t xml:space="preserve">, </w:t>
      </w:r>
      <w:r w:rsidRPr="0032766E">
        <w:t>организующий формирование и ведение единого реестра сертификатов соответствия</w:t>
      </w:r>
      <w:r>
        <w:t xml:space="preserve">, </w:t>
      </w:r>
      <w:r w:rsidRPr="0032766E">
        <w:t>и органы государственного контроля (надзора) за соблюдением требований технических регламентов;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обеспечивает предоставление заявителям информации о порядке проведения обязательной сертификации;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определяет стоимость работ по сертификации</w:t>
      </w:r>
      <w:r>
        <w:t xml:space="preserve">, </w:t>
      </w:r>
      <w:r w:rsidRPr="0032766E">
        <w:t>выполняемых в соответствии с договором с заявителем;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— в порядке</w:t>
      </w:r>
      <w:r>
        <w:t xml:space="preserve">, </w:t>
      </w:r>
      <w:r w:rsidRPr="0032766E">
        <w:t>установленном соответствующим техническим регламентом</w:t>
      </w:r>
      <w:r>
        <w:t xml:space="preserve">, </w:t>
      </w:r>
      <w:r w:rsidRPr="0032766E">
        <w:t>принимает решение о продлении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срока действия сертификата соответствия</w:t>
      </w:r>
      <w:r>
        <w:t xml:space="preserve">, </w:t>
      </w:r>
      <w:r w:rsidRPr="0032766E">
        <w:t xml:space="preserve">в том числе по результатам проведенного контроля 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за сертифицированными объектами.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Функции центрального органа системы сертификации</w:t>
      </w:r>
      <w:r>
        <w:t xml:space="preserve">, </w:t>
      </w:r>
      <w:r w:rsidRPr="0032766E">
        <w:t>который</w:t>
      </w:r>
      <w:r>
        <w:t xml:space="preserve">, </w:t>
      </w:r>
      <w:r w:rsidRPr="0032766E">
        <w:t>как правило</w:t>
      </w:r>
      <w:r>
        <w:t xml:space="preserve">, </w:t>
      </w:r>
      <w:r w:rsidRPr="0032766E">
        <w:t>организует работы в системе сертификации однородной продукции</w:t>
      </w:r>
      <w:r>
        <w:t xml:space="preserve">, </w:t>
      </w:r>
      <w:r w:rsidRPr="0032766E">
        <w:t>следующие: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организует работы по формированию системы сертификации однородной продукции и осуществляет руководство ею</w:t>
      </w:r>
      <w:r>
        <w:t xml:space="preserve">, </w:t>
      </w:r>
      <w:r w:rsidRPr="0032766E">
        <w:t>координирует деятельность органов по сертификации и испытательных лабораторий</w:t>
      </w:r>
      <w:r>
        <w:t xml:space="preserve">, </w:t>
      </w:r>
      <w:r w:rsidRPr="0032766E">
        <w:t>входящих в систему;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разрабатывает предложения по номенклатуре продукции</w:t>
      </w:r>
      <w:r>
        <w:t xml:space="preserve">, </w:t>
      </w:r>
      <w:r w:rsidRPr="0032766E">
        <w:t>сертифицируемой в системе;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участвует в работах по совершенствованию фонда нормативных документов</w:t>
      </w:r>
      <w:r>
        <w:t xml:space="preserve">, </w:t>
      </w:r>
      <w:r w:rsidRPr="0032766E">
        <w:t>на соответствие которым проводится сертификация в системе;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рассматривает апелляции по поводу действий органов по сертификации и испытательных лабораторий</w:t>
      </w:r>
      <w:r>
        <w:t xml:space="preserve">, </w:t>
      </w:r>
      <w:r w:rsidRPr="0032766E">
        <w:t>участвующих в системе;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ведет учет органов по сертификации и испытательных лабораторий</w:t>
      </w:r>
      <w:r>
        <w:t xml:space="preserve">, </w:t>
      </w:r>
      <w:r w:rsidRPr="0032766E">
        <w:t>входящих в систему выданных (аннулированных) сертификатов соответствия</w:t>
      </w:r>
      <w:r>
        <w:t xml:space="preserve">, </w:t>
      </w:r>
      <w:r w:rsidRPr="0032766E">
        <w:t>обеспечивает информацией о них</w:t>
      </w:r>
      <w:r>
        <w:t xml:space="preserve">, </w:t>
      </w:r>
      <w:r w:rsidRPr="0032766E">
        <w:t>а также о правилах системы.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Организационная структура органа по сертификации обеспечивает возможность выполнения всех возложенных на него функций по сертификации в соответствии с областью аккредитации (рис. 11.11).</w:t>
      </w:r>
    </w:p>
    <w:p w:rsidR="00BF5F4B" w:rsidRPr="0032766E" w:rsidRDefault="00601961" w:rsidP="00BF5F4B">
      <w:pPr>
        <w:spacing w:before="120"/>
        <w:ind w:firstLine="567"/>
        <w:jc w:val="both"/>
      </w:pPr>
      <w:r>
        <w:pict>
          <v:group id="_x0000_s1026" editas="canvas" style="width:457.8pt;height:270.2pt;mso-position-horizontal-relative:char;mso-position-vertical-relative:line" coordorigin="2362,1711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2;top:1711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3660;top:1831;width:4722;height:36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</w:pPr>
                    <w:r>
                      <w:t>Координационный (управляющий) совет</w:t>
                    </w:r>
                  </w:p>
                </w:txbxContent>
              </v:textbox>
            </v:rect>
            <v:rect id="_x0000_s1029" style="position:absolute;left:4841;top:3031;width:2360;height:1320" strokeweight="3.5pt">
              <v:stroke linestyle="thinThin"/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Руководитель</w:t>
                    </w:r>
                  </w:p>
                  <w:p w:rsidR="00BF5F4B" w:rsidRDefault="00BF5F4B" w:rsidP="00BF5F4B"/>
                  <w:p w:rsidR="00BF5F4B" w:rsidRDefault="00BF5F4B" w:rsidP="00BF5F4B"/>
                  <w:p w:rsidR="00BF5F4B" w:rsidRDefault="00BF5F4B" w:rsidP="00BF5F4B">
                    <w:pPr>
                      <w:jc w:val="center"/>
                    </w:pPr>
                    <w:r>
                      <w:t>Персонал</w:t>
                    </w:r>
                  </w:p>
                </w:txbxContent>
              </v:textbox>
            </v:rect>
            <v:rect id="_x0000_s1030" style="position:absolute;left:7555;top:3271;width:1654;height:60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</w:pPr>
                    <w:r>
                      <w:t>Апелляционная комиссия</w:t>
                    </w:r>
                  </w:p>
                </w:txbxContent>
              </v:textbox>
            </v:rect>
            <v:rect id="_x0000_s1031" style="position:absolute;left:4132;top:5311;width:3896;height:36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</w:pPr>
                    <w:r>
                      <w:t>Испытательная лаборатория</w:t>
                    </w:r>
                  </w:p>
                </w:txbxContent>
              </v:textbox>
            </v:rect>
            <v:rect id="_x0000_s1032" style="position:absolute;left:2362;top:4351;width:1653;height:60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</w:pPr>
                    <w:r>
                      <w:t>Комиссия по сертификации</w:t>
                    </w:r>
                  </w:p>
                </w:txbxContent>
              </v:textbox>
            </v:rect>
            <v:rect id="_x0000_s1033" style="position:absolute;left:2362;top:3271;width:1653;height:84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  <w:rPr>
                        <w:sz w:val="16"/>
                      </w:rPr>
                    </w:pPr>
                  </w:p>
                  <w:p w:rsidR="00BF5F4B" w:rsidRDefault="00BF5F4B" w:rsidP="00BF5F4B">
                    <w:pPr>
                      <w:jc w:val="center"/>
                    </w:pPr>
                    <w:r>
                      <w:t>Ответственный за систему качества</w:t>
                    </w:r>
                  </w:p>
                </w:txbxContent>
              </v:textbox>
            </v:rect>
            <v:rect id="_x0000_s1034" style="position:absolute;left:2362;top:2431;width:1653;height:600">
              <v:textbox inset="2.1265mm,1.0632mm,2.1265mm,1.0632mm">
                <w:txbxContent>
                  <w:p w:rsidR="00BF5F4B" w:rsidRDefault="00BF5F4B" w:rsidP="00BF5F4B">
                    <w:pPr>
                      <w:jc w:val="center"/>
                    </w:pPr>
                    <w:r>
                      <w:t>Наблюдательный совет</w:t>
                    </w:r>
                  </w:p>
                </w:txbxContent>
              </v:textbox>
            </v:rect>
            <v:line id="_x0000_s1035" style="position:absolute" from="6021,4351" to="6022,5311">
              <v:stroke dashstyle="dash"/>
            </v:line>
            <v:line id="_x0000_s1036" style="position:absolute" from="6021,2191" to="6022,3031"/>
            <v:line id="_x0000_s1037" style="position:absolute" from="7201,3631" to="7555,3631"/>
            <v:line id="_x0000_s1038" style="position:absolute;flip:y" from="5195,2671" to="5195,3031"/>
            <v:line id="_x0000_s1039" style="position:absolute;flip:x" from="4014,2671" to="5195,2671"/>
            <v:line id="_x0000_s1040" style="position:absolute;flip:x" from="4014,3751" to="4841,3751"/>
            <v:line id="_x0000_s1041" style="position:absolute" from="5195,4351" to="5195,4711"/>
            <v:line id="_x0000_s1042" style="position:absolute;flip:x" from="4014,4711" to="5195,4711"/>
            <w10:wrap type="none"/>
            <w10:anchorlock/>
          </v:group>
        </w:pict>
      </w:r>
    </w:p>
    <w:p w:rsidR="00BF5F4B" w:rsidRDefault="00BF5F4B" w:rsidP="00BF5F4B">
      <w:pPr>
        <w:spacing w:before="120"/>
        <w:ind w:firstLine="567"/>
        <w:jc w:val="both"/>
      </w:pPr>
      <w:r w:rsidRPr="0032766E">
        <w:t>Рис. 11.11 Типовая структура органа по сертификации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Орган по сертификации должен иметь документально оформленную систему менеджмента качества</w:t>
      </w:r>
      <w:r>
        <w:t xml:space="preserve">, </w:t>
      </w:r>
      <w:r w:rsidRPr="0032766E">
        <w:t>отвечающую характеру и объему выполнения работ по сертификации. Поэтому в структуре органа по сертификации выделяется ответственный за систему менеджмента качества. Основополагающим документом системы менеджмента качества должно быть Руководство по качеству</w:t>
      </w:r>
      <w:r>
        <w:t xml:space="preserve">, </w:t>
      </w:r>
      <w:r w:rsidRPr="0032766E">
        <w:t>обеспечивающее уверенность в возможности органа по сертификации действовать в системе сертификации. Руководство по качеству органа по сертификации включает: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заявление органа по сертификации о политике в области качества;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информацию о правовом положении органа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сведения о составе и квалификации работников</w:t>
      </w:r>
      <w:r>
        <w:t xml:space="preserve">, </w:t>
      </w:r>
      <w:r w:rsidRPr="0032766E">
        <w:t>организационной структуре органа по сертификации</w:t>
      </w:r>
      <w:r>
        <w:t xml:space="preserve">, </w:t>
      </w:r>
      <w:r w:rsidRPr="0032766E">
        <w:t>распределении функций</w:t>
      </w:r>
      <w:r>
        <w:t xml:space="preserve">, </w:t>
      </w:r>
      <w:r w:rsidRPr="0032766E">
        <w:t>правах</w:t>
      </w:r>
      <w:r>
        <w:t xml:space="preserve">, </w:t>
      </w:r>
      <w:r w:rsidRPr="0032766E">
        <w:t>обязанностях и ответственности подразделений и работников;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задачи и функции руководства органа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информацию об организации обучения и повышения квалификации персонала</w:t>
      </w:r>
      <w:r>
        <w:t xml:space="preserve">, </w:t>
      </w:r>
      <w:r w:rsidRPr="0032766E">
        <w:t>занимающегося сертификацией;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процедуры сертификации или ссылки на документы</w:t>
      </w:r>
      <w:r>
        <w:t xml:space="preserve">, </w:t>
      </w:r>
      <w:r w:rsidRPr="0032766E">
        <w:t>где они описаны;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типовые программы проведения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порядок оплаты работ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порядок привлечения внештатных экспертов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процедуры инспекционного контроля за сертифицированными объектами или ссылки на документы</w:t>
      </w:r>
      <w:r>
        <w:t xml:space="preserve">, </w:t>
      </w:r>
      <w:r w:rsidRPr="0032766E">
        <w:t>где они описаны;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процедуры апелляций;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—</w:t>
      </w:r>
      <w:r>
        <w:t xml:space="preserve"> </w:t>
      </w:r>
      <w:r w:rsidRPr="0032766E">
        <w:t>порядок аннулирования и приостановки действия</w:t>
      </w:r>
      <w:r>
        <w:t xml:space="preserve"> </w:t>
      </w:r>
      <w:r w:rsidRPr="0032766E">
        <w:t>сертификата;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—порядок разработки и внесения изменений в документацию</w:t>
      </w:r>
      <w:r>
        <w:t xml:space="preserve">, </w:t>
      </w:r>
      <w:r w:rsidRPr="0032766E">
        <w:t>относящуюся к деятельности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порядок регистрации</w:t>
      </w:r>
      <w:r>
        <w:t xml:space="preserve">, </w:t>
      </w:r>
      <w:r w:rsidRPr="0032766E">
        <w:t>учета и хранения информации о деятельности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журналы регистрации материалов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должностные инструкции работников</w:t>
      </w:r>
      <w:r>
        <w:t xml:space="preserve">, </w:t>
      </w:r>
      <w:r w:rsidRPr="0032766E">
        <w:t>занимающихся сертификацией;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правила</w:t>
      </w:r>
      <w:r>
        <w:t xml:space="preserve">, </w:t>
      </w:r>
      <w:r w:rsidRPr="0032766E">
        <w:t>обеспечивающие конфиденциальность информации</w:t>
      </w:r>
      <w:r>
        <w:t xml:space="preserve">, </w:t>
      </w:r>
      <w:r w:rsidRPr="0032766E">
        <w:t>получаемой в ходе деятельности органа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порядок публикации результатов работ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порядок проведения внутренней проверки системы качества органа по сертификации;</w:t>
      </w:r>
    </w:p>
    <w:p w:rsidR="00BF5F4B" w:rsidRPr="0032766E" w:rsidRDefault="00BF5F4B" w:rsidP="00BF5F4B">
      <w:pPr>
        <w:spacing w:before="120"/>
        <w:ind w:firstLine="567"/>
        <w:jc w:val="both"/>
      </w:pPr>
      <w:r w:rsidRPr="0032766E">
        <w:t>формы рабочих документов (заявки на проведение работ по сертификации</w:t>
      </w:r>
      <w:r>
        <w:t xml:space="preserve">, </w:t>
      </w:r>
      <w:r w:rsidRPr="0032766E">
        <w:t>сертификаты и др.);</w:t>
      </w:r>
    </w:p>
    <w:p w:rsidR="00BF5F4B" w:rsidRDefault="00BF5F4B" w:rsidP="00BF5F4B">
      <w:pPr>
        <w:spacing w:before="120"/>
        <w:ind w:firstLine="567"/>
        <w:jc w:val="both"/>
      </w:pPr>
      <w:r w:rsidRPr="0032766E">
        <w:t>порядок ведения архивов.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F4B"/>
    <w:rsid w:val="001A35F6"/>
    <w:rsid w:val="0032766E"/>
    <w:rsid w:val="00601961"/>
    <w:rsid w:val="00811DD4"/>
    <w:rsid w:val="00BF5F4B"/>
    <w:rsid w:val="00C3097C"/>
    <w:rsid w:val="00E40C96"/>
    <w:rsid w:val="00E9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D977D3D5-EA5F-46AF-8FE7-D99D940F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F4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6844</Characters>
  <Application>Microsoft Office Word</Application>
  <DocSecurity>0</DocSecurity>
  <Lines>57</Lines>
  <Paragraphs>16</Paragraphs>
  <ScaleCrop>false</ScaleCrop>
  <Company>Home</Company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реестр объектов и участников Системы сертификации ГОСТ Р</dc:title>
  <dc:subject/>
  <dc:creator>User</dc:creator>
  <cp:keywords/>
  <dc:description/>
  <cp:lastModifiedBy>Irina</cp:lastModifiedBy>
  <cp:revision>2</cp:revision>
  <dcterms:created xsi:type="dcterms:W3CDTF">2014-07-19T13:41:00Z</dcterms:created>
  <dcterms:modified xsi:type="dcterms:W3CDTF">2014-07-19T13:41:00Z</dcterms:modified>
</cp:coreProperties>
</file>