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D9B" w:rsidRPr="00F53034" w:rsidRDefault="00AA1D9B" w:rsidP="00AA1D9B">
      <w:pPr>
        <w:spacing w:before="120"/>
        <w:jc w:val="center"/>
        <w:rPr>
          <w:b/>
          <w:sz w:val="32"/>
        </w:rPr>
      </w:pPr>
      <w:r w:rsidRPr="00F53034">
        <w:rPr>
          <w:b/>
          <w:sz w:val="32"/>
        </w:rPr>
        <w:t>Снижение расхода топлива на Старобешевской ТЭС путем дополнительного подогрева аэросмеси в системах пылеприготовления</w:t>
      </w:r>
    </w:p>
    <w:p w:rsidR="00AA1D9B" w:rsidRPr="00F53034" w:rsidRDefault="00AA1D9B" w:rsidP="00AA1D9B">
      <w:pPr>
        <w:spacing w:before="120"/>
        <w:jc w:val="center"/>
        <w:rPr>
          <w:sz w:val="28"/>
        </w:rPr>
      </w:pPr>
      <w:r w:rsidRPr="00F53034">
        <w:rPr>
          <w:sz w:val="28"/>
        </w:rPr>
        <w:t>Кулык А.С., Ревко Е.В.</w:t>
      </w:r>
    </w:p>
    <w:p w:rsidR="00AA1D9B" w:rsidRPr="00F53034" w:rsidRDefault="00AA1D9B" w:rsidP="00AA1D9B">
      <w:pPr>
        <w:spacing w:before="120"/>
        <w:ind w:firstLine="567"/>
        <w:jc w:val="both"/>
      </w:pPr>
      <w:r w:rsidRPr="00F53034">
        <w:t>Донецкая область</w:t>
      </w:r>
      <w:r>
        <w:t xml:space="preserve">, </w:t>
      </w:r>
      <w:r w:rsidRPr="00F53034">
        <w:t>как один из самых развитых промышленных регионов</w:t>
      </w:r>
      <w:r>
        <w:t xml:space="preserve">, </w:t>
      </w:r>
      <w:r w:rsidRPr="00F53034">
        <w:t>имеющая в своем потенциале несколько мощных ТЭС</w:t>
      </w:r>
      <w:r>
        <w:t xml:space="preserve">, </w:t>
      </w:r>
      <w:r w:rsidRPr="00F53034">
        <w:t>по прежнему прочно удерживает первое место в Украине по объему выбросов загрязняющих веществ в атмосферу (40% от общегосударственного объема). Большинство ТЭС</w:t>
      </w:r>
      <w:r>
        <w:t xml:space="preserve">, </w:t>
      </w:r>
      <w:r w:rsidRPr="00F53034">
        <w:t>в том числе и Старобешевская</w:t>
      </w:r>
      <w:r>
        <w:t xml:space="preserve">, </w:t>
      </w:r>
      <w:r w:rsidRPr="00F53034">
        <w:t>были введены в эксплуатацию еще в 50-70-е годы</w:t>
      </w:r>
      <w:r>
        <w:t xml:space="preserve">, </w:t>
      </w:r>
      <w:r w:rsidRPr="00F53034">
        <w:t>и сегодня как экономические</w:t>
      </w:r>
      <w:r>
        <w:t xml:space="preserve">, </w:t>
      </w:r>
      <w:r w:rsidRPr="00F53034">
        <w:t xml:space="preserve">так и экологические показатели этих электростанций не соответствуют современным требованиям. </w:t>
      </w:r>
    </w:p>
    <w:p w:rsidR="00AA1D9B" w:rsidRPr="00F53034" w:rsidRDefault="00AA1D9B" w:rsidP="00AA1D9B">
      <w:pPr>
        <w:spacing w:before="120"/>
        <w:ind w:firstLine="567"/>
        <w:jc w:val="both"/>
      </w:pPr>
      <w:r w:rsidRPr="00F53034">
        <w:t>К основным мероприятиям по экономии топлива на Старобешевской ТЭС относятся восстановление зажигательных поясов котла</w:t>
      </w:r>
      <w:r>
        <w:t xml:space="preserve">, </w:t>
      </w:r>
      <w:r w:rsidRPr="00F53034">
        <w:t>замена и ремонт радиальных уплотнений РВП котельных агрегатов</w:t>
      </w:r>
      <w:r>
        <w:t xml:space="preserve">, </w:t>
      </w:r>
      <w:r w:rsidRPr="00F53034">
        <w:t>частичная замена газоходов</w:t>
      </w:r>
      <w:r>
        <w:t xml:space="preserve">, </w:t>
      </w:r>
      <w:r w:rsidRPr="00F53034">
        <w:t>восстановление обмуровки топки</w:t>
      </w:r>
      <w:r>
        <w:t xml:space="preserve">, </w:t>
      </w:r>
      <w:r w:rsidRPr="00F53034">
        <w:t>кислотная промывка котлов и совершенствование системы пылеприготовления. Основным оборудованием тепловой части блока 175 МВт данной электрической станции является котельный агрегат ТП – 100 и паровая турбина К – 200 – 130 – 3. Котел</w:t>
      </w:r>
      <w:r>
        <w:t xml:space="preserve">, </w:t>
      </w:r>
      <w:r w:rsidRPr="00F53034">
        <w:t>сжигающий АШ</w:t>
      </w:r>
      <w:r>
        <w:t xml:space="preserve">, </w:t>
      </w:r>
      <w:r w:rsidRPr="00F53034">
        <w:t>оборудован двумя индивидуальными системами пылеприготовления с промежуточным бункером</w:t>
      </w:r>
      <w:r>
        <w:t xml:space="preserve">, </w:t>
      </w:r>
      <w:r w:rsidRPr="00F53034">
        <w:t>в которых предусмотрен транспорт пыли в горелки отработавшим сушильным агентом с температурой 90-100 ºС</w:t>
      </w:r>
      <w:r>
        <w:t xml:space="preserve">, </w:t>
      </w:r>
      <w:r w:rsidRPr="00F53034">
        <w:t>что не соответствует современным условиям по организации сжигания АШ ухудшенного качества на котлах с жидким шлакоудалением. Ввод в корень факела горелки аэросмеси с низкой температурой не позволяет обеспечить условия для надежного воспламенения пыли</w:t>
      </w:r>
      <w:r>
        <w:t xml:space="preserve">, </w:t>
      </w:r>
      <w:r w:rsidRPr="00F53034">
        <w:t xml:space="preserve">что приводит к перерасходу топлива на подсветку. </w:t>
      </w:r>
    </w:p>
    <w:p w:rsidR="00AA1D9B" w:rsidRPr="00F53034" w:rsidRDefault="00AA1D9B" w:rsidP="00AA1D9B">
      <w:pPr>
        <w:spacing w:before="120"/>
        <w:ind w:firstLine="567"/>
        <w:jc w:val="both"/>
      </w:pPr>
      <w:r w:rsidRPr="00F53034">
        <w:t>С целью решения проблемы дополнительного подогрева аэросмеси перед горелками до температуры 300 ºС предлагается использование рекуперативного теплообменника типа «труба в трубе»</w:t>
      </w:r>
      <w:r>
        <w:t xml:space="preserve">, </w:t>
      </w:r>
      <w:r w:rsidRPr="00F53034">
        <w:t xml:space="preserve">который состоит из двух соосно расположенных круглых цилиндрических труб. Один теплоноситель (смесь пыли и воздуха) движется по внутренним трубам диаметром </w:t>
      </w:r>
      <w:smartTag w:uri="urn:schemas-microsoft-com:office:smarttags" w:element="metricconverter">
        <w:smartTagPr>
          <w:attr w:name="ProductID" w:val="580 мм"/>
        </w:smartTagPr>
        <w:r w:rsidRPr="00F53034">
          <w:t>580 мм</w:t>
        </w:r>
      </w:smartTag>
      <w:r>
        <w:t xml:space="preserve">, </w:t>
      </w:r>
      <w:r w:rsidRPr="00F53034">
        <w:t>другой (перегретый пар</w:t>
      </w:r>
      <w:r>
        <w:t xml:space="preserve">, </w:t>
      </w:r>
      <w:r w:rsidRPr="00F53034">
        <w:t>отобранный с турбины)</w:t>
      </w:r>
      <w:r>
        <w:t xml:space="preserve"> - </w:t>
      </w:r>
      <w:r w:rsidRPr="00F53034">
        <w:t xml:space="preserve">в противоположном направлении по кольцевому зазору между внутренней и внешней трубой диаметром </w:t>
      </w:r>
      <w:smartTag w:uri="urn:schemas-microsoft-com:office:smarttags" w:element="metricconverter">
        <w:smartTagPr>
          <w:attr w:name="ProductID" w:val="710 мм"/>
        </w:smartTagPr>
        <w:r w:rsidRPr="00F53034">
          <w:t>710 мм</w:t>
        </w:r>
      </w:smartTag>
      <w:r w:rsidRPr="00F53034">
        <w:t xml:space="preserve"> (рис.) </w:t>
      </w:r>
    </w:p>
    <w:p w:rsidR="00AA1D9B" w:rsidRPr="00F53034" w:rsidRDefault="003057F8" w:rsidP="00AA1D9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4.25pt;height:263.25pt">
            <v:imagedata r:id="rId4" o:title=""/>
          </v:shape>
        </w:pict>
      </w:r>
    </w:p>
    <w:p w:rsidR="00AA1D9B" w:rsidRPr="00F53034" w:rsidRDefault="00AA1D9B" w:rsidP="00AA1D9B">
      <w:pPr>
        <w:spacing w:before="120"/>
        <w:ind w:firstLine="567"/>
        <w:jc w:val="both"/>
      </w:pPr>
      <w:r w:rsidRPr="00F53034">
        <w:t>1- внутренняя труба (пылепровод)</w:t>
      </w:r>
      <w:r>
        <w:t xml:space="preserve">, </w:t>
      </w:r>
      <w:r w:rsidRPr="00F53034">
        <w:t>2- внешняя труба</w:t>
      </w:r>
      <w:r>
        <w:t xml:space="preserve">, </w:t>
      </w:r>
      <w:r w:rsidRPr="00F53034">
        <w:t>3 – патрубки</w:t>
      </w:r>
    </w:p>
    <w:p w:rsidR="00AA1D9B" w:rsidRPr="00F53034" w:rsidRDefault="00AA1D9B" w:rsidP="00AA1D9B">
      <w:pPr>
        <w:spacing w:before="120"/>
        <w:ind w:firstLine="567"/>
        <w:jc w:val="both"/>
      </w:pPr>
      <w:r w:rsidRPr="00F53034">
        <w:t>Рисунок – Конструкция теплообменного аппарата</w:t>
      </w:r>
    </w:p>
    <w:p w:rsidR="00AA1D9B" w:rsidRPr="00F53034" w:rsidRDefault="00AA1D9B" w:rsidP="00AA1D9B">
      <w:pPr>
        <w:spacing w:before="120"/>
        <w:ind w:firstLine="567"/>
        <w:jc w:val="both"/>
      </w:pPr>
      <w:r w:rsidRPr="00F53034">
        <w:t>Использование водяного пара в качестве греющего агента имеет следующие достоинства: высокий коэффициент теплоотдачи; большое количество тепла</w:t>
      </w:r>
      <w:r>
        <w:t xml:space="preserve">, </w:t>
      </w:r>
      <w:r w:rsidRPr="00F53034">
        <w:t>выделяемое при конденсации пара; равномерность обогрева</w:t>
      </w:r>
      <w:r>
        <w:t xml:space="preserve">, </w:t>
      </w:r>
      <w:r w:rsidRPr="00F53034">
        <w:t>так как конденсация пара происходит при постоянной температуре; легкое регулирование обогрева.</w:t>
      </w:r>
    </w:p>
    <w:p w:rsidR="00AA1D9B" w:rsidRPr="00F53034" w:rsidRDefault="00AA1D9B" w:rsidP="00AA1D9B">
      <w:pPr>
        <w:spacing w:before="120"/>
        <w:ind w:firstLine="567"/>
        <w:jc w:val="both"/>
      </w:pPr>
      <w:r w:rsidRPr="00F53034">
        <w:t>Для интенсификации теплообменного процесса также предлагается продольное оребрение внешней поверхности внутренней трубы</w:t>
      </w:r>
      <w:r>
        <w:t xml:space="preserve">, </w:t>
      </w:r>
      <w:r w:rsidRPr="00F53034">
        <w:t xml:space="preserve">что позволит увеличить поверхность теплообмена и уменьшить громоздкость конструкции. Подогреватель устанавливается на участке пылепровода диаметром </w:t>
      </w:r>
      <w:smartTag w:uri="urn:schemas-microsoft-com:office:smarttags" w:element="metricconverter">
        <w:smartTagPr>
          <w:attr w:name="ProductID" w:val="580 мм"/>
        </w:smartTagPr>
        <w:r w:rsidRPr="00F53034">
          <w:t>580 мм</w:t>
        </w:r>
      </w:smartTag>
      <w:r w:rsidRPr="00F53034">
        <w:t xml:space="preserve"> за мельничным вентилятором.</w:t>
      </w:r>
    </w:p>
    <w:p w:rsidR="00AA1D9B" w:rsidRPr="00F53034" w:rsidRDefault="00AA1D9B" w:rsidP="00AA1D9B">
      <w:pPr>
        <w:spacing w:before="120"/>
        <w:ind w:firstLine="567"/>
        <w:jc w:val="both"/>
      </w:pPr>
      <w:r w:rsidRPr="00F53034">
        <w:t>Для данного теплообменного аппарата был произведен тепловой и конструктивный расчеты при следующих условиях: смесь воздуха с угольной пылью нагревается от температуры t2н=90 ºС до t2к=300 ºС</w:t>
      </w:r>
      <w:r>
        <w:t xml:space="preserve">, </w:t>
      </w:r>
      <w:r w:rsidRPr="00F53034">
        <w:t>греющая среда</w:t>
      </w:r>
      <w:r>
        <w:t xml:space="preserve"> - </w:t>
      </w:r>
      <w:r w:rsidRPr="00F53034">
        <w:t>пар</w:t>
      </w:r>
      <w:r>
        <w:t xml:space="preserve">, </w:t>
      </w:r>
      <w:r w:rsidRPr="00F53034">
        <w:t xml:space="preserve">отобранный за 18-й ступенью турбины К-200-130 </w:t>
      </w:r>
      <w:r>
        <w:t xml:space="preserve">, </w:t>
      </w:r>
      <w:r w:rsidRPr="00F53034">
        <w:t>входит в теплообменник с t2н=390 ºС и p=5</w:t>
      </w:r>
      <w:r>
        <w:t xml:space="preserve">, </w:t>
      </w:r>
      <w:r w:rsidRPr="00F53034">
        <w:t>58 кгс/см2 . Результаты расчетов представлены в таблице.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103"/>
        <w:gridCol w:w="1968"/>
        <w:gridCol w:w="1708"/>
        <w:gridCol w:w="1877"/>
        <w:gridCol w:w="2102"/>
      </w:tblGrid>
      <w:tr w:rsidR="00AA1D9B" w:rsidRPr="00F53034" w:rsidTr="00FE55D3">
        <w:trPr>
          <w:tblCellSpacing w:w="15" w:type="dxa"/>
          <w:jc w:val="center"/>
        </w:trPr>
        <w:tc>
          <w:tcPr>
            <w:tcW w:w="496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3333FF"/>
            <w:vAlign w:val="center"/>
          </w:tcPr>
          <w:p w:rsidR="00AA1D9B" w:rsidRPr="00F53034" w:rsidRDefault="00AA1D9B" w:rsidP="00FE55D3">
            <w:r w:rsidRPr="00F53034">
              <w:t xml:space="preserve">Таблица – Результаты теплового и конструктивного расчетов </w:t>
            </w:r>
          </w:p>
        </w:tc>
      </w:tr>
      <w:tr w:rsidR="00AA1D9B" w:rsidRPr="00F53034" w:rsidTr="00FE55D3">
        <w:trPr>
          <w:tblCellSpacing w:w="15" w:type="dxa"/>
          <w:jc w:val="center"/>
        </w:trPr>
        <w:tc>
          <w:tcPr>
            <w:tcW w:w="4969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3333FF"/>
            <w:vAlign w:val="center"/>
          </w:tcPr>
          <w:p w:rsidR="00AA1D9B" w:rsidRPr="00F53034" w:rsidRDefault="00AA1D9B" w:rsidP="00FE55D3"/>
          <w:p w:rsidR="00AA1D9B" w:rsidRPr="00F53034" w:rsidRDefault="00AA1D9B" w:rsidP="00FE55D3">
            <w:r w:rsidRPr="00F53034">
              <w:t>Параметры теплоносителей</w:t>
            </w:r>
          </w:p>
        </w:tc>
      </w:tr>
      <w:tr w:rsidR="00AA1D9B" w:rsidRPr="00F53034" w:rsidTr="00FE55D3">
        <w:trPr>
          <w:tblCellSpacing w:w="15" w:type="dxa"/>
          <w:jc w:val="center"/>
        </w:trPr>
        <w:tc>
          <w:tcPr>
            <w:tcW w:w="108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Теплоноситель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Средняя температура tср</w:t>
            </w:r>
            <w:r>
              <w:t xml:space="preserve">, </w:t>
            </w:r>
            <w:r w:rsidRPr="00F53034">
              <w:t>ºС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Default="00AA1D9B" w:rsidP="00FE55D3">
            <w:r w:rsidRPr="00F53034">
              <w:t>Скорость w</w:t>
            </w:r>
            <w:r>
              <w:t xml:space="preserve">, </w:t>
            </w:r>
          </w:p>
          <w:p w:rsidR="00AA1D9B" w:rsidRPr="00F53034" w:rsidRDefault="00AA1D9B" w:rsidP="00FE55D3">
            <w:r w:rsidRPr="00F53034">
              <w:t>м/с</w:t>
            </w: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 xml:space="preserve">Массовый </w:t>
            </w:r>
          </w:p>
          <w:p w:rsidR="00AA1D9B" w:rsidRPr="00F53034" w:rsidRDefault="00AA1D9B" w:rsidP="00FE55D3">
            <w:r w:rsidRPr="00F53034">
              <w:t>расход G</w:t>
            </w:r>
            <w:r>
              <w:t xml:space="preserve">, </w:t>
            </w:r>
            <w:r w:rsidRPr="00F53034">
              <w:t>кг/с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Коэффициент теплоотдачи α</w:t>
            </w:r>
            <w:r>
              <w:t xml:space="preserve">, </w:t>
            </w:r>
          </w:p>
          <w:p w:rsidR="00AA1D9B" w:rsidRPr="00F53034" w:rsidRDefault="00AA1D9B" w:rsidP="00FE55D3">
            <w:r w:rsidRPr="00F53034">
              <w:t>Вт/м2 К</w:t>
            </w:r>
          </w:p>
        </w:tc>
      </w:tr>
      <w:tr w:rsidR="00AA1D9B" w:rsidRPr="00F53034" w:rsidTr="00FE55D3">
        <w:trPr>
          <w:tblCellSpacing w:w="15" w:type="dxa"/>
          <w:jc w:val="center"/>
        </w:trPr>
        <w:tc>
          <w:tcPr>
            <w:tcW w:w="108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Перегретый пар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273</w:t>
            </w:r>
            <w:r>
              <w:t xml:space="preserve">, </w:t>
            </w:r>
            <w:r w:rsidRPr="00F53034">
              <w:t>25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1</w:t>
            </w:r>
            <w:r>
              <w:t xml:space="preserve">, </w:t>
            </w:r>
            <w:r w:rsidRPr="00F53034">
              <w:t>2</w:t>
            </w: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0</w:t>
            </w:r>
            <w:r>
              <w:t xml:space="preserve">, </w:t>
            </w:r>
            <w:r w:rsidRPr="00F53034">
              <w:t>47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7696</w:t>
            </w:r>
            <w:r>
              <w:t xml:space="preserve">, </w:t>
            </w:r>
            <w:r w:rsidRPr="00F53034">
              <w:t>9</w:t>
            </w:r>
          </w:p>
        </w:tc>
      </w:tr>
      <w:tr w:rsidR="00AA1D9B" w:rsidRPr="00F53034" w:rsidTr="00FE55D3">
        <w:trPr>
          <w:tblCellSpacing w:w="15" w:type="dxa"/>
          <w:jc w:val="center"/>
        </w:trPr>
        <w:tc>
          <w:tcPr>
            <w:tcW w:w="108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Запыленный воздух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195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25</w:t>
            </w: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4</w:t>
            </w:r>
            <w:r>
              <w:t xml:space="preserve">, </w:t>
            </w:r>
            <w:r w:rsidRPr="00F53034">
              <w:t>6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38</w:t>
            </w:r>
            <w:r>
              <w:t xml:space="preserve">, </w:t>
            </w:r>
            <w:r w:rsidRPr="00F53034">
              <w:t>12</w:t>
            </w:r>
          </w:p>
        </w:tc>
      </w:tr>
      <w:tr w:rsidR="00AA1D9B" w:rsidRPr="00F53034" w:rsidTr="00FE55D3">
        <w:trPr>
          <w:tblCellSpacing w:w="15" w:type="dxa"/>
          <w:jc w:val="center"/>
        </w:trPr>
        <w:tc>
          <w:tcPr>
            <w:tcW w:w="4969" w:type="pct"/>
            <w:gridSpan w:val="5"/>
            <w:tcBorders>
              <w:top w:val="outset" w:sz="6" w:space="0" w:color="auto"/>
              <w:bottom w:val="outset" w:sz="6" w:space="0" w:color="auto"/>
            </w:tcBorders>
            <w:shd w:val="clear" w:color="auto" w:fill="3333FF"/>
            <w:vAlign w:val="center"/>
          </w:tcPr>
          <w:p w:rsidR="00AA1D9B" w:rsidRPr="00F53034" w:rsidRDefault="00AA1D9B" w:rsidP="00FE55D3">
            <w:r w:rsidRPr="00F53034">
              <w:t>Расчет теплообменного аппарата</w:t>
            </w:r>
          </w:p>
        </w:tc>
      </w:tr>
      <w:tr w:rsidR="00AA1D9B" w:rsidRPr="00F53034" w:rsidTr="00FE55D3">
        <w:trPr>
          <w:tblCellSpacing w:w="15" w:type="dxa"/>
          <w:jc w:val="center"/>
        </w:trPr>
        <w:tc>
          <w:tcPr>
            <w:tcW w:w="108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Приведенный коэффициент теплоотдачи αпр</w:t>
            </w:r>
            <w:r>
              <w:t xml:space="preserve">, </w:t>
            </w:r>
            <w:r w:rsidRPr="00F53034">
              <w:t>Вт/м2К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Коэффициент теплопередачи k</w:t>
            </w:r>
            <w:r>
              <w:t xml:space="preserve">, </w:t>
            </w:r>
            <w:r w:rsidRPr="00F53034">
              <w:t>Вт/м К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Средний температурный напор Δt</w:t>
            </w:r>
            <w:r>
              <w:t xml:space="preserve">, </w:t>
            </w:r>
            <w:r w:rsidRPr="00F53034">
              <w:t>ºС</w:t>
            </w: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Поверхность теплообмена F</w:t>
            </w:r>
            <w:r>
              <w:t xml:space="preserve">, </w:t>
            </w:r>
            <w:r w:rsidRPr="00F53034">
              <w:t>м2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Длина L</w:t>
            </w:r>
            <w:r>
              <w:t xml:space="preserve">, </w:t>
            </w:r>
            <w:r w:rsidRPr="00F53034">
              <w:t>м</w:t>
            </w:r>
          </w:p>
        </w:tc>
      </w:tr>
      <w:tr w:rsidR="00AA1D9B" w:rsidRPr="00F53034" w:rsidTr="00FE55D3">
        <w:trPr>
          <w:tblCellSpacing w:w="15" w:type="dxa"/>
          <w:jc w:val="center"/>
        </w:trPr>
        <w:tc>
          <w:tcPr>
            <w:tcW w:w="108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2244</w:t>
            </w:r>
            <w:r>
              <w:t xml:space="preserve">, </w:t>
            </w:r>
            <w:r w:rsidRPr="00F53034">
              <w:t>6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21</w:t>
            </w:r>
            <w:r>
              <w:t xml:space="preserve">, </w:t>
            </w:r>
            <w:r w:rsidRPr="00F53034">
              <w:t>14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212</w:t>
            </w:r>
            <w:r>
              <w:t xml:space="preserve">, </w:t>
            </w:r>
            <w:r w:rsidRPr="00F53034">
              <w:t>22</w:t>
            </w:r>
          </w:p>
        </w:tc>
        <w:tc>
          <w:tcPr>
            <w:tcW w:w="9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220</w:t>
            </w:r>
            <w:r>
              <w:t xml:space="preserve">, </w:t>
            </w:r>
            <w:r w:rsidRPr="00F53034">
              <w:t>75</w:t>
            </w:r>
          </w:p>
        </w:tc>
        <w:tc>
          <w:tcPr>
            <w:tcW w:w="10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A1D9B" w:rsidRPr="00F53034" w:rsidRDefault="00AA1D9B" w:rsidP="00FE55D3">
            <w:r w:rsidRPr="00F53034">
              <w:t>35</w:t>
            </w:r>
          </w:p>
        </w:tc>
      </w:tr>
    </w:tbl>
    <w:p w:rsidR="00AA1D9B" w:rsidRPr="00F53034" w:rsidRDefault="00AA1D9B" w:rsidP="00AA1D9B">
      <w:pPr>
        <w:spacing w:before="120"/>
        <w:ind w:firstLine="567"/>
        <w:jc w:val="both"/>
      </w:pPr>
      <w:r w:rsidRPr="00F53034">
        <w:t>В результате реконструкции пылеприготовительной системы площадь поверхности теплообмена подогревателя составит 220</w:t>
      </w:r>
      <w:r>
        <w:t xml:space="preserve">, </w:t>
      </w:r>
      <w:smartTag w:uri="urn:schemas-microsoft-com:office:smarttags" w:element="metricconverter">
        <w:smartTagPr>
          <w:attr w:name="ProductID" w:val="78 м2"/>
        </w:smartTagPr>
        <w:r w:rsidRPr="00F53034">
          <w:t>78 м2</w:t>
        </w:r>
      </w:smartTag>
      <w:r>
        <w:t xml:space="preserve">, </w:t>
      </w:r>
      <w:r w:rsidRPr="00F53034">
        <w:t xml:space="preserve">длина аппарата (с учетом оребрения) – </w:t>
      </w:r>
      <w:smartTag w:uri="urn:schemas-microsoft-com:office:smarttags" w:element="metricconverter">
        <w:smartTagPr>
          <w:attr w:name="ProductID" w:val="35 м"/>
        </w:smartTagPr>
        <w:r w:rsidRPr="00F53034">
          <w:t>35 м</w:t>
        </w:r>
      </w:smartTag>
      <w:r w:rsidRPr="00F53034">
        <w:t>.</w:t>
      </w:r>
    </w:p>
    <w:p w:rsidR="00AA1D9B" w:rsidRPr="00F53034" w:rsidRDefault="00AA1D9B" w:rsidP="00AA1D9B">
      <w:pPr>
        <w:spacing w:before="120"/>
        <w:ind w:firstLine="567"/>
        <w:jc w:val="both"/>
      </w:pPr>
      <w:r w:rsidRPr="00F53034">
        <w:t>Внедрение данного мероприятия улучшит качество сжигания: дополнительное тепло</w:t>
      </w:r>
      <w:r>
        <w:t xml:space="preserve">, </w:t>
      </w:r>
      <w:r w:rsidRPr="00F53034">
        <w:t>внесенное пылеугольной смесью</w:t>
      </w:r>
      <w:r>
        <w:t xml:space="preserve">, </w:t>
      </w:r>
      <w:r w:rsidRPr="00F53034">
        <w:t>позволит увеличить теплотворную способность топлива. При этом за счет увеличения теплопроизводительности котла и уменьшения удельных расходов топлива на выработку на 2</w:t>
      </w:r>
      <w:r>
        <w:t xml:space="preserve">, </w:t>
      </w:r>
      <w:r w:rsidRPr="00F53034">
        <w:t xml:space="preserve">8% коэффициент полезного действия котла также изменится в положительную сторону. </w:t>
      </w:r>
    </w:p>
    <w:p w:rsidR="00AA1D9B" w:rsidRPr="00F53034" w:rsidRDefault="00AA1D9B" w:rsidP="00AA1D9B">
      <w:pPr>
        <w:spacing w:before="120"/>
        <w:ind w:firstLine="567"/>
        <w:jc w:val="both"/>
      </w:pPr>
      <w:r w:rsidRPr="00F53034">
        <w:t>Известно</w:t>
      </w:r>
      <w:r>
        <w:t xml:space="preserve">, </w:t>
      </w:r>
      <w:r w:rsidRPr="00F53034">
        <w:t>что дымовые газы являются основным источником загрязнения от действия тепловых электрических станций. Содержание вредных веществ в них определяет не только состояние атмосферы</w:t>
      </w:r>
      <w:r>
        <w:t xml:space="preserve">, </w:t>
      </w:r>
      <w:r w:rsidRPr="00F53034">
        <w:t>но во многом и состояние почвы и водного бассейна. Из всей гаммы токсичных веществ</w:t>
      </w:r>
      <w:r>
        <w:t xml:space="preserve">, </w:t>
      </w:r>
      <w:r w:rsidRPr="00F53034">
        <w:t>находящихся в дымовых газах</w:t>
      </w:r>
      <w:r>
        <w:t xml:space="preserve">, </w:t>
      </w:r>
      <w:r w:rsidRPr="00F53034">
        <w:t>наибольшую опасность представляют зола</w:t>
      </w:r>
      <w:r>
        <w:t xml:space="preserve">, </w:t>
      </w:r>
      <w:r w:rsidRPr="00F53034">
        <w:t>двуокись серы (SO2) и окислы азота (NOx). Выбросы именно этих веществ регламентируются жесткими нормами. В результате предложенной реконструкции снижение выбросов вредных может составить для оксидов азота – 244</w:t>
      </w:r>
      <w:r>
        <w:t xml:space="preserve">, </w:t>
      </w:r>
      <w:r w:rsidRPr="00F53034">
        <w:t>27 т/год</w:t>
      </w:r>
      <w:r>
        <w:t xml:space="preserve">, </w:t>
      </w:r>
      <w:r w:rsidRPr="00F53034">
        <w:t>оксидов серы – 1452</w:t>
      </w:r>
      <w:r>
        <w:t xml:space="preserve">, </w:t>
      </w:r>
      <w:r w:rsidRPr="00F53034">
        <w:t>8 т/год</w:t>
      </w:r>
      <w:r>
        <w:t xml:space="preserve">, </w:t>
      </w:r>
      <w:r w:rsidRPr="00F53034">
        <w:t>золы – 1500</w:t>
      </w:r>
      <w:r>
        <w:t xml:space="preserve">, </w:t>
      </w:r>
      <w:r w:rsidRPr="00F53034">
        <w:t xml:space="preserve">74 т/год. Данное снижение выбросов несомненно приведет к улучшению экологической обстановки района. </w:t>
      </w:r>
    </w:p>
    <w:p w:rsidR="00AA1D9B" w:rsidRDefault="00AA1D9B" w:rsidP="00AA1D9B">
      <w:pPr>
        <w:spacing w:before="120"/>
        <w:ind w:firstLine="567"/>
        <w:jc w:val="both"/>
      </w:pPr>
      <w:r w:rsidRPr="00F53034">
        <w:t>По данной разработке подана заявка на полезную модель.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D9B"/>
    <w:rsid w:val="001A35F6"/>
    <w:rsid w:val="00267C11"/>
    <w:rsid w:val="003057F8"/>
    <w:rsid w:val="00660B67"/>
    <w:rsid w:val="00811DD4"/>
    <w:rsid w:val="00AA1D9B"/>
    <w:rsid w:val="00F53034"/>
    <w:rsid w:val="00FE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EE2BEBD-23BA-494D-AF8F-6A6882AE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D9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4241</Characters>
  <Application>Microsoft Office Word</Application>
  <DocSecurity>0</DocSecurity>
  <Lines>35</Lines>
  <Paragraphs>9</Paragraphs>
  <ScaleCrop>false</ScaleCrop>
  <Company>Home</Company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Снижение расхода топлива на Старобешевской ТЭС путем дополнительного подогрева аэросмеси в системах пылеприготовления</dc:title>
  <dc:subject/>
  <dc:creator>User</dc:creator>
  <cp:keywords/>
  <dc:description/>
  <cp:lastModifiedBy>Irina</cp:lastModifiedBy>
  <cp:revision>2</cp:revision>
  <dcterms:created xsi:type="dcterms:W3CDTF">2014-07-19T09:03:00Z</dcterms:created>
  <dcterms:modified xsi:type="dcterms:W3CDTF">2014-07-19T09:03:00Z</dcterms:modified>
</cp:coreProperties>
</file>