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683A" w:rsidRDefault="00EB683A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Министерство Российской Федерации по налогам и сборам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Всероссийская государственная налоговая академия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Финансово-экономический факультет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 xml:space="preserve">Семестровая контрольная работа по дисциплине 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«Информационные системы в экономике» на тему: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«Справочно-правовая система «Гарант»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</w:rPr>
        <w:t>Выполнил:</w:t>
      </w:r>
    </w:p>
    <w:p w:rsidR="00BB2684" w:rsidRDefault="00BB2684">
      <w:pPr>
        <w:pStyle w:val="6"/>
      </w:pPr>
      <w:r>
        <w:t>студент группы ФО-401</w:t>
      </w: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</w:rPr>
        <w:t>Столбов А. В.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right"/>
        <w:rPr>
          <w:b/>
          <w:bCs/>
          <w:sz w:val="28"/>
        </w:rPr>
      </w:pP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</w:rPr>
        <w:t>Проверил:</w:t>
      </w: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</w:rPr>
        <w:t>Кузнецов Л.К.</w:t>
      </w:r>
    </w:p>
    <w:p w:rsidR="00BB2684" w:rsidRDefault="00BB2684">
      <w:pPr>
        <w:jc w:val="right"/>
        <w:rPr>
          <w:b/>
          <w:bCs/>
          <w:sz w:val="28"/>
        </w:rPr>
      </w:pP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</w:rPr>
        <w:t>Работа сдана</w:t>
      </w:r>
    </w:p>
    <w:p w:rsidR="00BB2684" w:rsidRDefault="00BB2684">
      <w:pPr>
        <w:jc w:val="right"/>
        <w:rPr>
          <w:b/>
          <w:bCs/>
          <w:sz w:val="28"/>
        </w:rPr>
      </w:pPr>
      <w:r>
        <w:rPr>
          <w:b/>
          <w:bCs/>
          <w:sz w:val="28"/>
          <w:lang w:val="en-US"/>
        </w:rPr>
        <w:t>20</w:t>
      </w:r>
      <w:r>
        <w:rPr>
          <w:b/>
          <w:bCs/>
          <w:sz w:val="28"/>
        </w:rPr>
        <w:t xml:space="preserve"> декабря 2003 года    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Москва 2003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t>Содержание.</w: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TOC \o "1-1" \h \z </w:instrText>
      </w:r>
      <w:r>
        <w:rPr>
          <w:sz w:val="28"/>
        </w:rPr>
        <w:fldChar w:fldCharType="separate"/>
      </w:r>
      <w:hyperlink w:anchor="_Toc59433307" w:history="1">
        <w:r>
          <w:rPr>
            <w:rStyle w:val="a8"/>
            <w:noProof/>
            <w:szCs w:val="28"/>
          </w:rPr>
          <w:t>Введение.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_Toc59433307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08" w:history="1">
        <w:r w:rsidR="00BB2684">
          <w:rPr>
            <w:rStyle w:val="a8"/>
            <w:noProof/>
            <w:szCs w:val="28"/>
          </w:rPr>
          <w:t>1. Характеристика СПС «Гарант»: услуги, клиентура, особенности.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_Toc59433308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4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09" w:history="1">
        <w:r w:rsidR="00BB2684">
          <w:rPr>
            <w:rStyle w:val="a8"/>
            <w:noProof/>
            <w:szCs w:val="28"/>
          </w:rPr>
          <w:t>2. История развития компании ГАРАНТ.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_Toc59433309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6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10" w:history="1">
        <w:r w:rsidR="00BB2684">
          <w:rPr>
            <w:rStyle w:val="a8"/>
            <w:noProof/>
            <w:szCs w:val="28"/>
          </w:rPr>
          <w:t>3. Описание работы СПС «Гарант».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_Toc59433310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10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11" w:history="1">
        <w:r w:rsidR="00BB2684">
          <w:rPr>
            <w:rStyle w:val="a8"/>
            <w:noProof/>
            <w:szCs w:val="28"/>
          </w:rPr>
          <w:t>4. Сравнение СПС «Гарант» и «Консультант-плюс».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_Toc59433311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14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12" w:history="1">
        <w:r w:rsidR="00BB2684">
          <w:rPr>
            <w:rStyle w:val="a8"/>
            <w:noProof/>
            <w:szCs w:val="28"/>
          </w:rPr>
          <w:t>5. Приложение. Список рисунков.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_Toc59433312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14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13" w:history="1">
        <w:r w:rsidR="00BB2684">
          <w:rPr>
            <w:rStyle w:val="a8"/>
            <w:noProof/>
            <w:szCs w:val="28"/>
          </w:rPr>
          <w:t>Заключение.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_Toc59433313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25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A24A7F">
      <w:pPr>
        <w:pStyle w:val="10"/>
        <w:tabs>
          <w:tab w:val="right" w:leader="dot" w:pos="9347"/>
        </w:tabs>
        <w:rPr>
          <w:b w:val="0"/>
          <w:bCs w:val="0"/>
          <w:noProof/>
        </w:rPr>
      </w:pPr>
      <w:hyperlink w:anchor="_Toc59433314" w:history="1">
        <w:r w:rsidR="00BB2684">
          <w:rPr>
            <w:rStyle w:val="a8"/>
            <w:noProof/>
            <w:szCs w:val="28"/>
          </w:rPr>
          <w:t>Список литературы.</w:t>
        </w:r>
        <w:r w:rsidR="00BB2684">
          <w:rPr>
            <w:noProof/>
            <w:webHidden/>
          </w:rPr>
          <w:tab/>
        </w:r>
        <w:r w:rsidR="00BB2684">
          <w:rPr>
            <w:noProof/>
            <w:webHidden/>
          </w:rPr>
          <w:fldChar w:fldCharType="begin"/>
        </w:r>
        <w:r w:rsidR="00BB2684">
          <w:rPr>
            <w:noProof/>
            <w:webHidden/>
          </w:rPr>
          <w:instrText xml:space="preserve"> PAGEREF _Toc59433314 \h </w:instrText>
        </w:r>
        <w:r w:rsidR="00BB2684">
          <w:rPr>
            <w:noProof/>
            <w:webHidden/>
          </w:rPr>
        </w:r>
        <w:r w:rsidR="00BB2684">
          <w:rPr>
            <w:noProof/>
            <w:webHidden/>
          </w:rPr>
          <w:fldChar w:fldCharType="separate"/>
        </w:r>
        <w:r w:rsidR="00DC24D6">
          <w:rPr>
            <w:noProof/>
            <w:webHidden/>
          </w:rPr>
          <w:t>25</w:t>
        </w:r>
        <w:r w:rsidR="00BB2684">
          <w:rPr>
            <w:noProof/>
            <w:webHidden/>
          </w:rPr>
          <w:fldChar w:fldCharType="end"/>
        </w:r>
      </w:hyperlink>
    </w:p>
    <w:p w:rsidR="00BB2684" w:rsidRDefault="00BB2684">
      <w:pPr>
        <w:jc w:val="center"/>
        <w:rPr>
          <w:b/>
          <w:bCs/>
          <w:sz w:val="28"/>
        </w:rPr>
      </w:pPr>
      <w:r>
        <w:rPr>
          <w:sz w:val="28"/>
        </w:rPr>
        <w:fldChar w:fldCharType="end"/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pStyle w:val="1"/>
      </w:pPr>
      <w:bookmarkStart w:id="0" w:name="_Toc59433307"/>
      <w:r>
        <w:t>Введение.</w:t>
      </w:r>
      <w:bookmarkEnd w:id="0"/>
    </w:p>
    <w:p w:rsidR="00BB2684" w:rsidRDefault="00BB2684">
      <w:pPr>
        <w:spacing w:line="360" w:lineRule="exact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Рынок справочно-правовых систем РФ – олигопольный. На нём представлены</w:t>
      </w:r>
      <w:r>
        <w:rPr>
          <w:sz w:val="28"/>
        </w:rPr>
        <w:tab/>
        <w:t>фирмы «Консультант-плюс», «Гарант», «Кодекс».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Данная работа посвящена СПС «Гарант».</w:t>
      </w:r>
      <w:r>
        <w:rPr>
          <w:sz w:val="28"/>
        </w:rPr>
        <w:tab/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Компания «Гарант» - одна из крупнейших российских информационных компаний. Направление деятельности -производство и поддержка компьютерной правовой системы ГАРАНТ, информационно - правовое обслуживание предприятий, общественных объединений и организаций. Миссия компании - удовлетворение потребности общества в правовой информации с помощью передовых компьютерных технологий.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Компьютерная справочная правовая система ГАРАНТ разрабатывается с 1990 года. В настоящее время она является основным инструментом принятия решения по правовым вопросам для многих бухгалтеров, юристов, руководителей, других специалистов в России и за рубежом. Более 250 представительств компании обслуживают сотни тысяч пользователей в 200 городах России.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Высшая патентная палата Российского агентства по патентам и товарным знакам признала словесное обозначение ГАРАНТ общеизвестным в Российской Федерации товарным знаком, начиная с 1 января 1998 года.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Полный объем информационного банка системы ГАРАНТ - более 800 000 документов и комментариев нормативным актам, еженедельное пополнение составляет около 4 000 документов ("ГАРАНТ Максимум. Вся Россия"). Это 26 специализированных правовых блоков по всем разделам федерального законодательства и 120 правовых блоков по законодательству субъектов Федерации. В системе ГАРАНТ представлено законодательство 67 регионов Российской Федерации, а также практика 10 Федеральных Арбитражных Судов.</w:t>
      </w:r>
    </w:p>
    <w:p w:rsidR="00BB2684" w:rsidRDefault="00BB2684"/>
    <w:p w:rsidR="00BB2684" w:rsidRDefault="00BB2684"/>
    <w:p w:rsidR="00BB2684" w:rsidRDefault="00BB2684"/>
    <w:p w:rsidR="00BB2684" w:rsidRDefault="00BB2684">
      <w:pPr>
        <w:pStyle w:val="1"/>
      </w:pPr>
    </w:p>
    <w:p w:rsidR="00BB2684" w:rsidRDefault="00BB2684">
      <w:pPr>
        <w:pStyle w:val="1"/>
      </w:pPr>
    </w:p>
    <w:p w:rsidR="00BB2684" w:rsidRDefault="00BB2684">
      <w:pPr>
        <w:pStyle w:val="1"/>
      </w:pPr>
    </w:p>
    <w:p w:rsidR="00BB2684" w:rsidRDefault="00BB2684">
      <w:pPr>
        <w:pStyle w:val="1"/>
      </w:pPr>
      <w:bookmarkStart w:id="1" w:name="_Toc59433308"/>
      <w:r>
        <w:t>1. Характеристика СПС «Гарант»: услуги, клиентура, особенности.</w:t>
      </w:r>
      <w:bookmarkEnd w:id="1"/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Специалисты и пользователи СПС ГАРАНТ сегодня особо отмечают следующие качества системы: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1.      Все документы в системе ГАРАНТ представлены с комментариями и разъяснениями специалистов, в том числе в системе содержатся материалы из популярной бухгалтерской прессы.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2.  Реализована уникальная технология поиска через Энциклопедию ситуаций. Пользователь формулирует запрос, используя привычные ему термины, система в течение нескольких минут предоставляет ему ответ.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3.      В системе представлены, объединенные в одной программе, все типы правовой информации - федеральное и региональное законодательство, международные договоры, комментарии, проекты законов, судебная и арбитражная практика, а также бизнес-справки, налоговый календарь, формы бухгалтерской и статистической отчетности, таблицы и схемы по вопросам законодательства и многое другое.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4.      Поиск нужной информации осуществляется по всему информационному банку системы.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Каждому пользователю системы обеспечены следующие услуги: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Формирование индивидуального информационно правового комплекта для каждого пользователя. Сегодня разработаны специальные предложения для юристов, руководителей, а также строительных, фармацевтических и медицинских организаций.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"Горячая линия" поддержки - консультации и разъяснения специалистов по работе с системой ГАРАНТ (междугородный звонок бесплатно для пользователей в регионах).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Ежедневные бесплатные мониторинги законодательства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Форма обслуживания - по выбору клиента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Регулярное обновление информации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Поиск редких документов по индивидуальным запросам пользователей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Заказ бесплатной демонстрации системы ГАРАНТ.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 Сегодня с системой ГАРАНТ работают структуры федеральных органов государственной власти и органов местного самоуправления, банки, аудиторские и консалтинговые фирмы, промышленные предприятия, учебные заведения, специалисты различных предприятий и организаций. Постоянными партнерами компании и являются более 500 органов власти федерального и регионального уровней. Среди них – Государственная Дума, Администрация Президента РФ, Министерство РФ по налогам и сборам, Министерство финансов РФ, Центральный Банк РФ, Высший Арбитражный Суд РФ, мэрии Москвы и других городов России. Результатом такого сотрудничества стало заключение договоров об информационном обмене, проведение совместных акций, создание серии совместных разработок и многое другое.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Компания </w:t>
      </w:r>
      <w:r>
        <w:rPr>
          <w:sz w:val="28"/>
          <w:lang w:val="en-US"/>
        </w:rPr>
        <w:t>Lexis</w:t>
      </w:r>
      <w:r>
        <w:rPr>
          <w:sz w:val="28"/>
        </w:rPr>
        <w:t xml:space="preserve"> каждую неделю транслирует новости российского законодательства из системы ГАРАНТ. Система ГАРАНТ распространяется по сетям американской компании Lexis/Nexis, а компания </w:t>
      </w:r>
      <w:r>
        <w:rPr>
          <w:sz w:val="28"/>
          <w:lang w:val="en-US"/>
        </w:rPr>
        <w:t>IBM</w:t>
      </w:r>
      <w:r>
        <w:rPr>
          <w:sz w:val="28"/>
        </w:rPr>
        <w:t xml:space="preserve"> </w:t>
      </w:r>
      <w:r>
        <w:rPr>
          <w:sz w:val="28"/>
          <w:lang w:val="en-US"/>
        </w:rPr>
        <w:t>East</w:t>
      </w:r>
      <w:r>
        <w:rPr>
          <w:sz w:val="28"/>
        </w:rPr>
        <w:t xml:space="preserve"> Е</w:t>
      </w:r>
      <w:r>
        <w:rPr>
          <w:sz w:val="28"/>
          <w:lang w:val="en-US"/>
        </w:rPr>
        <w:t>ur</w:t>
      </w:r>
      <w:r>
        <w:rPr>
          <w:sz w:val="28"/>
        </w:rPr>
        <w:t>оре/А</w:t>
      </w:r>
      <w:r>
        <w:rPr>
          <w:sz w:val="28"/>
          <w:lang w:val="en-US"/>
        </w:rPr>
        <w:t>si</w:t>
      </w:r>
      <w:r>
        <w:rPr>
          <w:sz w:val="28"/>
        </w:rPr>
        <w:t xml:space="preserve">а </w:t>
      </w:r>
      <w:r>
        <w:rPr>
          <w:sz w:val="28"/>
          <w:lang w:val="en-US"/>
        </w:rPr>
        <w:t>Ltd</w:t>
      </w:r>
      <w:r>
        <w:rPr>
          <w:sz w:val="28"/>
        </w:rPr>
        <w:t xml:space="preserve">. демонстрирует и  распространяет ГАРАНТ в составе собственной Персональной обучающей системы </w:t>
      </w:r>
      <w:r>
        <w:rPr>
          <w:sz w:val="28"/>
          <w:lang w:val="en-US"/>
        </w:rPr>
        <w:t>PLS</w:t>
      </w:r>
      <w:r>
        <w:rPr>
          <w:sz w:val="28"/>
        </w:rPr>
        <w:t>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ГАРАНТ является средством массовой информации, о чем имеет соответствующее Свидетельство Министерства Российской Федерации по делам печати, телерадиовещания и средств массовых коммуникаций Эл. 77-2137 от 3 декабря 1999 года.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Среди клиентов компании ведущие аудиторские и консалтинговые фирмы мира – </w:t>
      </w:r>
      <w:r>
        <w:rPr>
          <w:sz w:val="28"/>
          <w:lang w:val="en-US"/>
        </w:rPr>
        <w:t>Deloitte</w:t>
      </w:r>
      <w:r>
        <w:rPr>
          <w:sz w:val="28"/>
        </w:rPr>
        <w:t xml:space="preserve"> </w:t>
      </w:r>
      <w:r>
        <w:rPr>
          <w:sz w:val="28"/>
          <w:lang w:val="en-US"/>
        </w:rPr>
        <w:t>Touche</w:t>
      </w:r>
      <w:r>
        <w:rPr>
          <w:sz w:val="28"/>
        </w:rPr>
        <w:t xml:space="preserve">, </w:t>
      </w:r>
      <w:r>
        <w:rPr>
          <w:sz w:val="28"/>
          <w:lang w:val="en-US"/>
        </w:rPr>
        <w:t>Ernst</w:t>
      </w:r>
      <w:r>
        <w:rPr>
          <w:sz w:val="28"/>
        </w:rPr>
        <w:t xml:space="preserve"> &amp; </w:t>
      </w:r>
      <w:r>
        <w:rPr>
          <w:sz w:val="28"/>
          <w:lang w:val="en-US"/>
        </w:rPr>
        <w:t>Young</w:t>
      </w:r>
      <w:r>
        <w:rPr>
          <w:sz w:val="28"/>
        </w:rPr>
        <w:t xml:space="preserve">, </w:t>
      </w:r>
      <w:r>
        <w:rPr>
          <w:sz w:val="28"/>
          <w:lang w:val="en-US"/>
        </w:rPr>
        <w:t>KPMG</w:t>
      </w:r>
      <w:r>
        <w:rPr>
          <w:sz w:val="28"/>
        </w:rPr>
        <w:t xml:space="preserve">, </w:t>
      </w:r>
      <w:r>
        <w:rPr>
          <w:sz w:val="28"/>
          <w:lang w:val="en-US"/>
        </w:rPr>
        <w:t>Price</w:t>
      </w:r>
      <w:r>
        <w:rPr>
          <w:sz w:val="28"/>
        </w:rPr>
        <w:t xml:space="preserve"> </w:t>
      </w:r>
      <w:r>
        <w:rPr>
          <w:sz w:val="28"/>
          <w:lang w:val="en-US"/>
        </w:rPr>
        <w:t>Waterhouse</w:t>
      </w:r>
      <w:r>
        <w:rPr>
          <w:sz w:val="28"/>
        </w:rPr>
        <w:t xml:space="preserve"> </w:t>
      </w:r>
      <w:r>
        <w:rPr>
          <w:sz w:val="28"/>
          <w:lang w:val="en-US"/>
        </w:rPr>
        <w:t>Coopers</w:t>
      </w:r>
      <w:r>
        <w:rPr>
          <w:sz w:val="28"/>
        </w:rPr>
        <w:t>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Компания "Гарант" и система ГАРАНТ отмечены многочисленными наградами и дипломами специализированных выставок, профессиональных конкурсов, независимых экспертов. Деятельность компании интересна федеральным и региональным средствам массовой информации. Но самой большой своей наградой коллектив компании считает слова благодарности, полученные от своих клиентов, пользователей системы ГАРАНТА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ГАРАНТ — справочная правовая система нового поколения, предоставляющая механизм поддержки принятия решений в области права. Возможности системы ГАРАНТ позволяют создать на Вашем компьютере персональный банк правовой и экономической информации и сделать работу с этим банком простой и эффективной.                       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Пользователи предыдущих версий знают, что даже сложные задачи в системе ГАРАНТ всегда решались простыми и удобными средствами. Этот принцип положен в основу и новых версий (5.0.). Вам не потребуются специальные компьютерные знания для того, чтобы решать с помощью системы ГАРАНТ сложные профессиональные задачи.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По любым вопросам, связанным с эксплуатацией системы ГАРАНТ, ее информационному наполнению и функциональным возможностям, можно обратиться в центральный офис компании "Гарант" или к официальным партнерам компании в  регионе. Специалисты "горячей линии" ответят на любой вопрос по работе с системой. </w:t>
      </w: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Вывод.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Компания «Гарант» выпускает разнообразные справочно-правовые продукты, имеет большую клиентуру. Она добилась признания и в России, ив мире.</w:t>
      </w:r>
    </w:p>
    <w:p w:rsidR="00BB2684" w:rsidRDefault="00BB2684">
      <w:pPr>
        <w:pStyle w:val="1"/>
      </w:pPr>
    </w:p>
    <w:p w:rsidR="00BB2684" w:rsidRDefault="00BB2684">
      <w:pPr>
        <w:pStyle w:val="1"/>
      </w:pPr>
      <w:bookmarkStart w:id="2" w:name="_Toc59433309"/>
      <w:r>
        <w:t>2. История развития компании ГАРАНТ.</w:t>
      </w:r>
      <w:bookmarkEnd w:id="2"/>
    </w:p>
    <w:p w:rsidR="00BB2684" w:rsidRDefault="00BB2684">
      <w:pPr>
        <w:pStyle w:val="1"/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2003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Выпущен совместный компакт-диск «Торгово-промышленная палата Российской Федерации. Электронный архив Департамента по законодательству за 2002 год».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Выпущен совместный компакт-диск 200 лет образования Министерства юстиции Российской Федерации.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Выпущен новый комплект «ГАРАНТ-Максимум. Практика ФАС округов».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Разработаны и внедрены новые программные средства ГАРАНТ 5.5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Электронная "Энциклопедия российского законодательства" к весеннему семестру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Сервер компании "Гарант" - официально зарегистрирован как средство массовой   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информации.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2002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Выпущен совместный компакт-диск "Информационно-правовое обеспечение АПК России"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Выпущен новый юбилейный компакт-диск «200 лет МВД России» и Разработан новый информационный блок Электронная версия бератора «Практическая энциклопедия бухгалтера»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Электронная 'Энциклопедия Российского законодательства" к осеннему семестру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Компания "Гарант" получила сертификат, свидетельствующий, что в течение 2002 года сайт является ресурсом №1 среди российских участников рейтинга </w:t>
      </w:r>
      <w:r>
        <w:rPr>
          <w:sz w:val="28"/>
          <w:lang w:val="en-US"/>
        </w:rPr>
        <w:t>Rambler</w:t>
      </w:r>
      <w:r>
        <w:rPr>
          <w:sz w:val="28"/>
        </w:rPr>
        <w:t>’</w:t>
      </w:r>
      <w:r>
        <w:rPr>
          <w:sz w:val="28"/>
          <w:lang w:val="en-US"/>
        </w:rPr>
        <w:t>s</w:t>
      </w:r>
      <w:r>
        <w:rPr>
          <w:sz w:val="28"/>
        </w:rPr>
        <w:t xml:space="preserve"> Тор 100 в    категории "Законы". Выпущен новый юбилейный компакт-диск "10 лет системе арбитражных судов России".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С августа начал работать бесплатный междугородный телефон поддержки пользователей системы ГАРАНТ 8-800-200-88-88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Разработаны и внедрены новые программные средства ГАРАНТ 5.3.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Компания "Гарант" получила Сертификат Государственной технической комиссии при Президенте Российской Федерации    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Электронная "Энциклопедия Российского законодательства' к весеннему семестру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Выпущен новый компакт-диск "Европейский суд по правам человека. Избранные решения."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Разработаны и внедрены новые программные средства ГАРАНТ 5.2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2001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Разработаны новые информационно-правовые блоки Большая библиотека бухгалтера и Налоговые споры: арбитражная практика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Разработаны и внедрены новые программные средства ГАРАНТ 5.1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Совместный компакт-диск Министерства Российской Федерации по налогам и сборам и компании "Гарант" - "Налоговое законодательство РФ"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Совместный компакт-диск Высшего Арбитражного Суда Российской Федерации и '-   компании "Гарант" - "Информационное правовое обеспечение арбитражного судопроизводства"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Информационно-правовые блоки 'Законодательство в схемах", "Законодательство в схемах. Налоги, бухучет"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Разработаны специальные Предложения для юристов и руководителей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2000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Разработаны и внедрены новые программные средства ГАРАНТ 5.0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Выпущен новый продукт: "ГАРАНТ Максимум. Вся Россия"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Разработано комплексное решение для строительных организаций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1999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Компания "Гарант" запатентовала ряд технологических решений для создания СПС: систему хранения и поиска данных, поиск документов по ситуации и поиск версии документа. Свидетельство выдано Российским агентством по патентам и товарным знакам на основании Патентного закона РФ и действует на всей территории Российской Федерации.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 систему ГАРАНТ подключены документы от 09.09.1999 до 01.01.3001, на примере которых можно убедиться в работоспособности системы и ее готовности к 2000 году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 компакт-диск для Высшего Арбитражного Суда "Информационное обеспечение арбитражного судопроизводства"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Система ГАРАНТ представлена на выставке - семинаре "Российские информационные технологии"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Выпущен диск с материалами Государственной думы РФ </w:t>
      </w:r>
      <w:r>
        <w:rPr>
          <w:sz w:val="28"/>
          <w:lang w:val="en-US"/>
        </w:rPr>
        <w:t>III</w:t>
      </w:r>
      <w:r>
        <w:rPr>
          <w:sz w:val="28"/>
        </w:rPr>
        <w:t xml:space="preserve"> созыва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Реализована технология ежедневного пакетного обновления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Разработан Электронный справочник "Бухучет и Аудит: разъяснения и консультации"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1998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Реализована интеграция правовой системы с бухгалтерскими, фармацевтическими и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другими программами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Совместно с Государственной думой выпущен новый продукт 'Информационные технологии для законотворчества"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Проведена специальная программа правовой поддержки малого бизнеса.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Реализована технология межпрограммного гипертекста.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Создан межбазовый гипертекст, объединивший базы по федеральному и региональному законодательству.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1997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Совместно с Государственной думой выпущен новый продукт "Информационные технологии для законотворчества"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Проводится обсуждение законопроектов в компьютерных сетях.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По технологии ГАРАНТ создан комплекс информационного обеспечения государственных структур.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Разработаны и внедрены новые программные средства ГАРАНТ 4.0.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Внедрен сквозной поиск по информационным блокам и возможность кусочного пополнения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Создан комплекс информационного обеспечения государственных структур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Система ГАРАНТ победила на конкурсе СПС в Государственной думе      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 1996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Открыта бесплатная "Горячая линия" поддержки пользователей . (095) 247 6238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 информационно-правовых блоках системы ГАРАНТ появляется   экономическая информация.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1995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Изобретен межбазовый гипертекст, связавший в единую систему правовые блоки ГАРАНТ по разным тематикам.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Открыт первый в России правовой сервер в сети Интернет.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1994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Появилась возможность построения списков «Респондентов. Корреспондентов»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Выпущены версии системы ГАРАНТ для </w:t>
      </w:r>
      <w:r>
        <w:rPr>
          <w:sz w:val="28"/>
          <w:lang w:val="en-US"/>
        </w:rPr>
        <w:t>Windows</w:t>
      </w:r>
      <w:r>
        <w:rPr>
          <w:sz w:val="28"/>
        </w:rPr>
        <w:t>. Создана технология представления русскоязычной информации в Интернете.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Выходит версия системы ГАРАНТ 3.5.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СПС ГАРАНТ начала распространяться через телекоммуникационные сети: РЕЛКОМ, РОСНЕТ, СИТЕК, ИАС-НЕТ.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Система ГАРАНТ была впервые представлена на международных выставках в США и Великобритании.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Открыт круглосуточный доступ к документам в режиме он-лайн.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 1993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Выходят блоки «Таможенное законодательство», «Формы правовых документов», «Банковское законодательство», первая версия электронного Толкового словаря.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Система ГАРАНТ впервые записана на СВ-КОМ.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 1992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Появился блок по российскому законодательству на английском языке.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По технологии ГАРАНТ создаются блоки региональных документов.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В системе появилась Карточка запроса и Контекстный поиск.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1991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Открыты первые информационно- правовые центры в регионах.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Система ГАРАНТ впервые представлена широкой общественности на выставке.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1990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В июне 4 выпускника ВМК МГУ начали работу над созданием уникальной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гипертекстовой технологии ГАРАНТ. В декабре состоялись первые продажи системы ГАРАНТ.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Появляется юридическая обработка документов. Перед подключением в систему ГАРАНТ каждый документ снабжается специальными комментариями, справкой, списками респондентов-корреспондентов.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   Разработана гипертекстовая технология предоставления правовой информации.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•    Изобретен уникальный Поиск по ситуации и составлена первая Энциклопедия ситуаций.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Вывод.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За 13 лет существования фирма «Гарант» добилась очень многого в плане сотрудничества с органами власти, другими компаниями, расширении бизнеса.</w:t>
      </w:r>
    </w:p>
    <w:p w:rsidR="00BB2684" w:rsidRDefault="00BB2684"/>
    <w:p w:rsidR="00BB2684" w:rsidRDefault="00BB2684">
      <w:pPr>
        <w:pStyle w:val="1"/>
      </w:pPr>
      <w:bookmarkStart w:id="3" w:name="_Toc59433310"/>
      <w:r>
        <w:t>3. Описание работы СПС «Гарант».</w:t>
      </w:r>
      <w:bookmarkEnd w:id="3"/>
    </w:p>
    <w:p w:rsidR="00BB2684" w:rsidRDefault="00BB2684">
      <w:pPr>
        <w:pStyle w:val="a5"/>
        <w:tabs>
          <w:tab w:val="clear" w:pos="4677"/>
          <w:tab w:val="clear" w:pos="9355"/>
        </w:tabs>
      </w:pP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Сейчас компания «Гарант» может предложить новый, более мощный и профессиональный инструментарий для поиска документов и отображения информации, который делает работу с системой еще более удобной и отвечает самым взыскательным требованиям профессионалов. Стартовый интерфейс системы изображён в разделе 5 на рис.1.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Далее появляется окно, предоставляющее различные варианты поиска. Оно изображено на рис.2. </w:t>
      </w:r>
    </w:p>
    <w:p w:rsidR="00BB2684" w:rsidRDefault="00BB2684">
      <w:pPr>
        <w:spacing w:line="360" w:lineRule="exact"/>
        <w:ind w:firstLine="851"/>
        <w:jc w:val="both"/>
        <w:rPr>
          <w:b/>
          <w:bCs/>
          <w:sz w:val="28"/>
        </w:rPr>
      </w:pPr>
      <w:r>
        <w:rPr>
          <w:b/>
          <w:bCs/>
          <w:sz w:val="28"/>
        </w:rPr>
        <w:t xml:space="preserve">1.Конкретные операции.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  <w:u w:val="single"/>
        </w:rPr>
        <w:t>А) Логические операции.</w:t>
      </w:r>
      <w:r>
        <w:rPr>
          <w:sz w:val="28"/>
        </w:rPr>
        <w:t xml:space="preserve"> При формировании запроса можно применять различные логические условия: "или", "и" и т. п. Логические операции существенно расширяют возможности пользователя при формировании запросов к системе. Подробнее можно узнать в разделах "Особенности заполнения полей карточки запроса" и "Поиск по ситуации". Нажав «Поиск по ситуации», видим окно рис. (см. 3).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ab/>
      </w: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Б) Редактируемые шаблоны форм и таблиц.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Многие документы в новой версии системы ГАРАНТ, содержащие формы и таблицы, сопровождаются встроенными редактируемыми шаблонами, достаточно перейти по соответствующей ссылке в тексте документа, шаблон автоматически загрузится в редактор без искажения. Пример поиска изображён на рисунках 4-6 последовательно.</w:t>
      </w: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В) Фильтры поиска 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Фильтры являются новым поисковым механизмом, позволяющим быстро и эффективно отобрать из произвольного списка документов только те, которые соответствуют заданным параметрам.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Реализованы фильтры по следующим критериям: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1. По статусу документа («действующий», «не вступивший в силу», «утративший силу»)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2. По регистрации в Минюсте ( зарегистрированные в Минюсте, незарегистрированные в Минюсте, "отказано в регистрации")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3. По значимости (определение круга лиц, чьи интересы затрагивает данный документ)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4. По тематическим базам (выделение тематических баз, среди которых должен производиться отбор или поиск документов)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5. По виду правовой информации ( «документ», «судебная и арбитражная практика», «комментарии» и др.)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6. По территории регулирования (территория компетенции органа, принявшего документ)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При помощи фильтров Вы сможете нужным Вам образом сузить спектр информации, что позволит более точно сформировать запрос и быстрее осуществить поиск.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Подробнее можно узнать в разделе «фильтрация» стоящего Руководства пользователя.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Пример использования фильтра см. на рисунках 7-12 последовательно.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ab/>
      </w: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Г) Свертывание списков ссылок на документы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В новой версии реализована возможность формировать развернутые и свернутые списки документов. Под развернутым списком понимается набор ссылок, адресованных как к целому документу так и к отдельным статьям, фактически определяющим нормы права причем некоторые ссылки могут указывать на различные статьи одного и того же общего для них документа. Свернутым называется список, в котором отображается только по одной ссылке (точке входа) для каждого документа, упоминающегося в списке. Из всех ссылок для свернутого списка отбирается только та ссылка, которая расположена на первой по порядку следования в тексте документа.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b/>
          <w:bCs/>
          <w:sz w:val="28"/>
        </w:rPr>
        <w:t>2. Основное меню</w:t>
      </w:r>
      <w:r>
        <w:rPr>
          <w:sz w:val="28"/>
        </w:rPr>
        <w:t xml:space="preserve"> (см. рисунки 2, 5-11) содержит четыре информационных блока. В каждом из блоков находится несколько кнопок. Чтобы перейти к нужному разделу, нажмите соответствующую кнопку.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В результате выбора раздела в блоках Правовая информация и Экономическая информация, на экране откроется классификатор, в котором ссылки на подразделы выделены зеленым цветом и подчеркиванием. Для перехода по ссылке щелкните по ней мышью. Выбрав команду Предыдущий в меню документы, Вы можете вернуться на один шаг назад.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  <w:u w:val="single"/>
        </w:rPr>
        <w:t>Блок правовой информации.</w:t>
      </w:r>
      <w:r>
        <w:rPr>
          <w:sz w:val="28"/>
        </w:rPr>
        <w:t xml:space="preserve"> В этом блоке представлен полный спектр правовой информации. В разделе документы присутствуют все документы, находящиеся в установленном у Вас информационном банке. В остальных разделах Вы найдете документы по определенным типам правовой информации. Чтобы перейти к нужному разделу, нажмите соответствующую кнопку. Вы попадете в классификатор документов. Чтобы перейти к документам, выберите интересующий Вас тематический раздел, затем при необходимости подраздел.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  <w:u w:val="single"/>
        </w:rPr>
        <w:t>Блок экономической информации.</w:t>
      </w:r>
      <w:r>
        <w:rPr>
          <w:sz w:val="28"/>
        </w:rPr>
        <w:t xml:space="preserve"> Этот блок содержит новости законодательства,  обзоры, бизнес-справки. Вы также можете перейти к Налоговому календарю в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котором приведены сроки основных платежей в бюджет, дана информация о количестве рабочих дней в отчетных периодах.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  <w:u w:val="single"/>
        </w:rPr>
        <w:t>Блок поиска.</w:t>
      </w:r>
      <w:r>
        <w:rPr>
          <w:sz w:val="28"/>
        </w:rPr>
        <w:t xml:space="preserve"> Быстро найти нужную информацию помогут мощные средства поиска: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По реквизитам (см. рис.13). Наиболее удобен для поиска документов. Для поиска достаточно внести известные реквизиты документа в специальную карточку запроса.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По ситуации (см. рис. 3-6). Особый вид поиска, позволяющий быстро решить сложную проблему в условиях отсутствия информации о необходимых документах.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• По источнику опубликования (рис. 14). Если Вам известны печатный первоисточник и дата опубликования нужного Вам документа, то данный вид поиска позволит Вам быстро отыскать его в базе данных системы ГАРАНТ.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  <w:u w:val="single"/>
        </w:rPr>
        <w:t>Блок обновления.</w:t>
      </w:r>
      <w:r>
        <w:rPr>
          <w:sz w:val="28"/>
        </w:rPr>
        <w:t xml:space="preserve"> Разделы, представленные в этом блоке, позволят Вам вовремя узнавать об изменениях в законодательстве.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-  новые документы (рис. 15). Вы можете ознакомиться с документами, подключенными в последние версии информационных баз.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- «горячая информация» (рис. 16). В этом разделе Вы сможете узнать о наиболее важных документах и изменениях в законодательстве, принятых в последнее время, ознакомиться с рекомендациями юристов компании "Гарант", а также получить информацию об информационных услугах и льготах, предоставляемых пользователям системы ГАРАНТ. 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-     информация о комплекте (рисунки 17,18). Вы можете просмотреть информацию об установленных базах, узнать число документов в информационном банке и дату последнего обновления.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b/>
          <w:bCs/>
          <w:sz w:val="28"/>
        </w:rPr>
      </w:pPr>
      <w:r>
        <w:rPr>
          <w:b/>
          <w:bCs/>
          <w:sz w:val="28"/>
        </w:rPr>
        <w:t>3. Установка системы.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Для установки программных оболочек системы требуется около 5 Мб свободного дискового пространства. Объем, необходимый для хранения информационного банка, зависит от набора приобретенных баз. Для работы с системой, поставляемой на СD-</w:t>
      </w:r>
      <w:r>
        <w:rPr>
          <w:sz w:val="28"/>
          <w:lang w:val="en-US"/>
        </w:rPr>
        <w:t>R</w:t>
      </w:r>
      <w:r>
        <w:rPr>
          <w:sz w:val="28"/>
        </w:rPr>
        <w:t xml:space="preserve">ОМ и </w:t>
      </w:r>
      <w:r>
        <w:rPr>
          <w:sz w:val="28"/>
          <w:lang w:val="en-US"/>
        </w:rPr>
        <w:t>ZI</w:t>
      </w:r>
      <w:r>
        <w:rPr>
          <w:sz w:val="28"/>
        </w:rPr>
        <w:t>Р-диске, требуются специальные устройства для чтения (</w:t>
      </w:r>
      <w:r>
        <w:rPr>
          <w:sz w:val="28"/>
          <w:lang w:val="en-US"/>
        </w:rPr>
        <w:t>CD</w:t>
      </w:r>
      <w:r>
        <w:rPr>
          <w:sz w:val="28"/>
        </w:rPr>
        <w:t>-</w:t>
      </w:r>
      <w:r>
        <w:rPr>
          <w:sz w:val="28"/>
          <w:lang w:val="en-US"/>
        </w:rPr>
        <w:t>drive</w:t>
      </w:r>
      <w:r>
        <w:rPr>
          <w:sz w:val="28"/>
        </w:rPr>
        <w:t xml:space="preserve">, </w:t>
      </w:r>
      <w:r>
        <w:rPr>
          <w:sz w:val="28"/>
          <w:lang w:val="en-US"/>
        </w:rPr>
        <w:t>ZIP</w:t>
      </w:r>
      <w:r>
        <w:rPr>
          <w:sz w:val="28"/>
        </w:rPr>
        <w:t>-</w:t>
      </w:r>
      <w:r>
        <w:rPr>
          <w:sz w:val="28"/>
          <w:lang w:val="en-US"/>
        </w:rPr>
        <w:t>drive</w:t>
      </w:r>
      <w:r>
        <w:rPr>
          <w:sz w:val="28"/>
        </w:rPr>
        <w:t>).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b/>
          <w:bCs/>
          <w:sz w:val="28"/>
        </w:rPr>
      </w:pPr>
      <w:r>
        <w:rPr>
          <w:b/>
          <w:bCs/>
          <w:sz w:val="28"/>
        </w:rPr>
        <w:t>4. Обновление информации.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Информация в системе постоянно обновляется. Подключаются новые документы, экономическая информация, вносятся изменения в действующие документы.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Можно обновлять информацию с удобной периодичностью. Получать обновления можно на дискетах, лазерном или </w:t>
      </w:r>
      <w:r>
        <w:rPr>
          <w:sz w:val="28"/>
          <w:lang w:val="en-US"/>
        </w:rPr>
        <w:t>ZIP</w:t>
      </w:r>
      <w:r>
        <w:rPr>
          <w:sz w:val="28"/>
        </w:rPr>
        <w:t>-диске, по телекоммуникационным сетям, с переносного винчестера.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На дистрибутивный комплект записываются текстовые файлы с подробными инструкциями по установке системы и обновлению информационного банка, а также с другими дополнительными сведениями. Списки этих приложений находятся в файлах </w:t>
      </w:r>
      <w:r>
        <w:rPr>
          <w:sz w:val="28"/>
          <w:lang w:val="en-US"/>
        </w:rPr>
        <w:t>readme</w:t>
      </w:r>
      <w:r>
        <w:rPr>
          <w:sz w:val="28"/>
        </w:rPr>
        <w:t>-</w:t>
      </w:r>
      <w:r>
        <w:rPr>
          <w:sz w:val="28"/>
          <w:lang w:val="en-US"/>
        </w:rPr>
        <w:t>d</w:t>
      </w:r>
      <w:r>
        <w:rPr>
          <w:sz w:val="28"/>
        </w:rPr>
        <w:t>.</w:t>
      </w:r>
      <w:r>
        <w:rPr>
          <w:sz w:val="28"/>
          <w:lang w:val="en-US"/>
        </w:rPr>
        <w:t>txt</w:t>
      </w:r>
      <w:r>
        <w:rPr>
          <w:sz w:val="28"/>
        </w:rPr>
        <w:t xml:space="preserve"> и </w:t>
      </w:r>
      <w:r>
        <w:rPr>
          <w:sz w:val="28"/>
          <w:lang w:val="en-US"/>
        </w:rPr>
        <w:t>readme</w:t>
      </w:r>
      <w:r>
        <w:rPr>
          <w:sz w:val="28"/>
        </w:rPr>
        <w:t>-</w:t>
      </w:r>
      <w:r>
        <w:rPr>
          <w:sz w:val="28"/>
          <w:lang w:val="en-US"/>
        </w:rPr>
        <w:t>w</w:t>
      </w:r>
      <w:r>
        <w:rPr>
          <w:sz w:val="28"/>
        </w:rPr>
        <w:t>.</w:t>
      </w:r>
      <w:r>
        <w:rPr>
          <w:sz w:val="28"/>
          <w:lang w:val="en-US"/>
        </w:rPr>
        <w:t>txt</w:t>
      </w:r>
      <w:r>
        <w:rPr>
          <w:sz w:val="28"/>
        </w:rPr>
        <w:t xml:space="preserve"> (соответственно в </w:t>
      </w:r>
      <w:r>
        <w:rPr>
          <w:sz w:val="28"/>
          <w:lang w:val="en-US"/>
        </w:rPr>
        <w:t>DOS</w:t>
      </w:r>
      <w:r>
        <w:rPr>
          <w:sz w:val="28"/>
        </w:rPr>
        <w:t xml:space="preserve"> и </w:t>
      </w:r>
      <w:r>
        <w:rPr>
          <w:sz w:val="28"/>
          <w:lang w:val="en-US"/>
        </w:rPr>
        <w:t>Windows</w:t>
      </w:r>
      <w:r>
        <w:rPr>
          <w:sz w:val="28"/>
        </w:rPr>
        <w:t xml:space="preserve"> кодировках).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 xml:space="preserve">Новые поступления есть и на сайте </w:t>
      </w:r>
      <w:hyperlink r:id="rId7" w:history="1">
        <w:r>
          <w:rPr>
            <w:rStyle w:val="a8"/>
            <w:sz w:val="28"/>
            <w:lang w:val="en-US"/>
          </w:rPr>
          <w:t>www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garant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ru</w:t>
        </w:r>
      </w:hyperlink>
      <w:r>
        <w:rPr>
          <w:sz w:val="28"/>
        </w:rPr>
        <w:t xml:space="preserve"> ( рисунки 19 и 20). Например,  16 декабря 2003 года в разделе «Горячие документы» там находились документы, полученные с 26.11 по  16.12.2003.</w:t>
      </w:r>
    </w:p>
    <w:p w:rsidR="00BB2684" w:rsidRDefault="00BB2684">
      <w:pPr>
        <w:spacing w:line="360" w:lineRule="exact"/>
        <w:ind w:firstLine="851"/>
        <w:jc w:val="both"/>
        <w:rPr>
          <w:sz w:val="28"/>
          <w:u w:val="single"/>
        </w:rPr>
      </w:pPr>
      <w:r>
        <w:rPr>
          <w:sz w:val="28"/>
          <w:u w:val="single"/>
        </w:rPr>
        <w:t>Вывод.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СПС «Гарант» имеет чёткую адаптированную иерархическую схему функционирования.</w:t>
      </w:r>
    </w:p>
    <w:p w:rsidR="00BB2684" w:rsidRDefault="00BB2684">
      <w:pPr>
        <w:spacing w:line="360" w:lineRule="exact"/>
      </w:pPr>
    </w:p>
    <w:p w:rsidR="00BB2684" w:rsidRDefault="00BB2684"/>
    <w:p w:rsidR="00BB2684" w:rsidRDefault="00BB2684">
      <w:pPr>
        <w:pStyle w:val="1"/>
      </w:pPr>
      <w:bookmarkStart w:id="4" w:name="_Toc59433311"/>
      <w:r>
        <w:t>4. Сравнение СПС «Гарант» и «Консультант-плюс».</w:t>
      </w:r>
      <w:bookmarkEnd w:id="4"/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Эти две системы принципиальных функциональных различий не имеют. Главная страница базы «Версия Проф» Интернет-сайта «Консультанта-плюс»  изображена на рис. 21. Думаю, пользователи выбирают одну из этих систем, руководствуясь чисто эстетическими предпочтениями. Ведь они имеют разные интерфейсы; разное оформление.</w:t>
      </w:r>
    </w:p>
    <w:p w:rsidR="00BB2684" w:rsidRDefault="00BB2684">
      <w:pPr>
        <w:pStyle w:val="1"/>
      </w:pPr>
    </w:p>
    <w:p w:rsidR="00BB2684" w:rsidRDefault="00BB2684">
      <w:pPr>
        <w:pStyle w:val="1"/>
      </w:pPr>
      <w:bookmarkStart w:id="5" w:name="_Toc59433312"/>
      <w:r>
        <w:t>5. Приложение. Список рисунков.</w:t>
      </w:r>
      <w:bookmarkEnd w:id="5"/>
    </w:p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Рис.1</w:t>
      </w:r>
    </w:p>
    <w:p w:rsidR="00BB2684" w:rsidRDefault="00A24A7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5pt;height:261pt" o:allowoverlap="f">
            <v:imagedata r:id="rId8" o:title="" grayscale="t"/>
          </v:shape>
        </w:pict>
      </w:r>
    </w:p>
    <w:p w:rsidR="00BB2684" w:rsidRDefault="00BB2684"/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Рис.2</w:t>
      </w:r>
    </w:p>
    <w:p w:rsidR="00BB2684" w:rsidRDefault="00A24A7F">
      <w:r>
        <w:pict>
          <v:shape id="_x0000_i1026" type="#_x0000_t75" style="width:467.25pt;height:285.75pt">
            <v:imagedata r:id="rId9" o:title="" grayscale="t"/>
          </v:shape>
        </w:pict>
      </w:r>
    </w:p>
    <w:p w:rsidR="00BB2684" w:rsidRDefault="00BB2684"/>
    <w:p w:rsidR="00BB2684" w:rsidRDefault="00BB2684"/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Рис.3</w:t>
      </w:r>
    </w:p>
    <w:p w:rsidR="00BB2684" w:rsidRDefault="00A24A7F">
      <w:r>
        <w:pict>
          <v:shape id="_x0000_i1027" type="#_x0000_t75" style="width:467.25pt;height:280.5pt">
            <v:imagedata r:id="rId10" o:title="" grayscale="t"/>
          </v:shape>
        </w:pict>
      </w:r>
    </w:p>
    <w:p w:rsidR="00BB2684" w:rsidRDefault="00BB2684"/>
    <w:p w:rsidR="00BB2684" w:rsidRDefault="00BB2684"/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Рис.4</w:t>
      </w:r>
    </w:p>
    <w:p w:rsidR="00BB2684" w:rsidRDefault="00A24A7F">
      <w:r>
        <w:pict>
          <v:shape id="_x0000_i1028" type="#_x0000_t75" style="width:467.25pt;height:312pt">
            <v:imagedata r:id="rId11" o:title="" grayscale="t"/>
          </v:shape>
        </w:pict>
      </w:r>
    </w:p>
    <w:p w:rsidR="00BB2684" w:rsidRDefault="00BB2684"/>
    <w:p w:rsidR="00BB2684" w:rsidRDefault="00BB2684"/>
    <w:p w:rsidR="00BB2684" w:rsidRDefault="00BB2684"/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Рис.5</w:t>
      </w:r>
    </w:p>
    <w:p w:rsidR="00BB2684" w:rsidRDefault="00A24A7F">
      <w:r>
        <w:pict>
          <v:shape id="_x0000_i1029" type="#_x0000_t75" style="width:468pt;height:298.5pt">
            <v:imagedata r:id="rId12" o:title="" grayscale="t"/>
          </v:shape>
        </w:pict>
      </w:r>
    </w:p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Рис.6</w:t>
      </w:r>
    </w:p>
    <w:p w:rsidR="00BB2684" w:rsidRDefault="00A24A7F">
      <w:r>
        <w:pict>
          <v:shape id="_x0000_i1030" type="#_x0000_t75" style="width:468pt;height:294pt">
            <v:imagedata r:id="rId13" o:title="" grayscale="t"/>
          </v:shape>
        </w:pict>
      </w:r>
    </w:p>
    <w:p w:rsidR="00BB2684" w:rsidRDefault="00BB2684"/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Рис.7</w:t>
      </w:r>
    </w:p>
    <w:p w:rsidR="00BB2684" w:rsidRDefault="00A24A7F">
      <w:r>
        <w:pict>
          <v:shape id="_x0000_i1031" type="#_x0000_t75" style="width:468pt;height:327.75pt">
            <v:imagedata r:id="rId14" o:title="" gain="109227f" grayscale="t"/>
          </v:shape>
        </w:pict>
      </w:r>
    </w:p>
    <w:p w:rsidR="00BB2684" w:rsidRDefault="00BB2684">
      <w:pPr>
        <w:pStyle w:val="2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t>Рис.8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2" type="#_x0000_t75" style="width:468pt;height:287.25pt">
            <v:imagedata r:id="rId15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Рис.9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3" type="#_x0000_t75" style="width:468pt;height:327.75pt">
            <v:imagedata r:id="rId16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10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4" type="#_x0000_t75" style="width:468pt;height:294pt">
            <v:imagedata r:id="rId17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11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5" type="#_x0000_t75" style="width:468pt;height:327.75pt">
            <v:imagedata r:id="rId18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12 (включение и установка критериев фильтра)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6" type="#_x0000_t75" style="width:433.5pt;height:305.25pt">
            <v:imagedata r:id="rId19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13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7" type="#_x0000_t75" style="width:467.25pt;height:312pt">
            <v:imagedata r:id="rId20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14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8" type="#_x0000_t75" style="width:468pt;height:276pt">
            <v:imagedata r:id="rId21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15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39" type="#_x0000_t75" style="width:468pt;height:298.5pt">
            <v:imagedata r:id="rId22" o:title="" gain="109227f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16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40" type="#_x0000_t75" style="width:468pt;height:309.75pt">
            <v:imagedata r:id="rId23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17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41" type="#_x0000_t75" style="width:413.25pt;height:306pt">
            <v:imagedata r:id="rId24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18</w:t>
      </w:r>
    </w:p>
    <w:p w:rsidR="00BB2684" w:rsidRDefault="00A24A7F">
      <w:pPr>
        <w:rPr>
          <w:sz w:val="28"/>
          <w:lang w:val="en-US"/>
        </w:rPr>
      </w:pPr>
      <w:r>
        <w:rPr>
          <w:sz w:val="28"/>
        </w:rPr>
        <w:pict>
          <v:shape id="_x0000_i1042" type="#_x0000_t75" style="width:409.5pt;height:218.25pt">
            <v:imagedata r:id="rId25" o:title="" grayscale="t"/>
          </v:shape>
        </w:pict>
      </w:r>
    </w:p>
    <w:p w:rsidR="00BB2684" w:rsidRDefault="00BB2684">
      <w:pPr>
        <w:rPr>
          <w:sz w:val="28"/>
          <w:lang w:val="en-US"/>
        </w:rPr>
      </w:pPr>
    </w:p>
    <w:p w:rsidR="00BB2684" w:rsidRDefault="00BB2684">
      <w:pPr>
        <w:rPr>
          <w:sz w:val="28"/>
          <w:lang w:val="en-US"/>
        </w:rPr>
      </w:pPr>
    </w:p>
    <w:p w:rsidR="00BB2684" w:rsidRDefault="00BB2684">
      <w:pPr>
        <w:rPr>
          <w:sz w:val="28"/>
          <w:lang w:val="en-US"/>
        </w:rPr>
      </w:pPr>
    </w:p>
    <w:p w:rsidR="00BB2684" w:rsidRDefault="00BB2684">
      <w:pPr>
        <w:rPr>
          <w:sz w:val="28"/>
          <w:lang w:val="en-US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19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43" type="#_x0000_t75" style="width:423.75pt;height:327.75pt">
            <v:imagedata r:id="rId26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</w:p>
    <w:p w:rsidR="00BB2684" w:rsidRDefault="00BB2684">
      <w:pPr>
        <w:rPr>
          <w:sz w:val="28"/>
        </w:rPr>
      </w:pPr>
      <w:r>
        <w:rPr>
          <w:sz w:val="28"/>
        </w:rPr>
        <w:t>Рис. 20</w:t>
      </w:r>
    </w:p>
    <w:p w:rsidR="00BB2684" w:rsidRDefault="00A24A7F">
      <w:pPr>
        <w:rPr>
          <w:sz w:val="28"/>
        </w:rPr>
      </w:pPr>
      <w:r>
        <w:rPr>
          <w:sz w:val="28"/>
        </w:rPr>
        <w:pict>
          <v:shape id="_x0000_i1044" type="#_x0000_t75" style="width:423pt;height:306pt">
            <v:imagedata r:id="rId27" o:title="" grayscale="t"/>
          </v:shape>
        </w:pict>
      </w:r>
    </w:p>
    <w:p w:rsidR="00BB2684" w:rsidRDefault="00BB2684">
      <w:pPr>
        <w:rPr>
          <w:sz w:val="28"/>
        </w:rPr>
      </w:pPr>
    </w:p>
    <w:p w:rsidR="00BB2684" w:rsidRDefault="00BB2684">
      <w:pPr>
        <w:pStyle w:val="5"/>
      </w:pPr>
      <w:r>
        <w:t>Рис. 21</w:t>
      </w:r>
    </w:p>
    <w:p w:rsidR="00BB2684" w:rsidRDefault="00A24A7F">
      <w:pPr>
        <w:jc w:val="center"/>
        <w:rPr>
          <w:b/>
          <w:bCs/>
          <w:sz w:val="28"/>
        </w:rPr>
      </w:pPr>
      <w:r>
        <w:rPr>
          <w:b/>
          <w:bCs/>
          <w:sz w:val="28"/>
        </w:rPr>
        <w:pict>
          <v:shape id="_x0000_i1045" type="#_x0000_t75" style="width:468pt;height:342pt">
            <v:imagedata r:id="rId28" o:title="" gain="109227f" grayscale="t"/>
          </v:shape>
        </w:pict>
      </w: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jc w:val="center"/>
        <w:rPr>
          <w:b/>
          <w:bCs/>
          <w:sz w:val="28"/>
        </w:rPr>
      </w:pPr>
    </w:p>
    <w:p w:rsidR="00BB2684" w:rsidRDefault="00BB2684">
      <w:pPr>
        <w:pStyle w:val="1"/>
      </w:pPr>
      <w:bookmarkStart w:id="6" w:name="_Toc59433313"/>
      <w:r>
        <w:t>Заключение.</w:t>
      </w:r>
      <w:bookmarkEnd w:id="6"/>
    </w:p>
    <w:p w:rsidR="00BB2684" w:rsidRDefault="00BB2684"/>
    <w:p w:rsidR="00BB2684" w:rsidRDefault="00BB2684">
      <w:pPr>
        <w:pStyle w:val="a5"/>
        <w:tabs>
          <w:tab w:val="clear" w:pos="4677"/>
          <w:tab w:val="clear" w:pos="9355"/>
        </w:tabs>
      </w:pPr>
    </w:p>
    <w:p w:rsidR="00BB2684" w:rsidRDefault="00BB2684">
      <w:pPr>
        <w:spacing w:line="360" w:lineRule="exact"/>
        <w:ind w:firstLine="851"/>
        <w:rPr>
          <w:sz w:val="28"/>
        </w:rPr>
      </w:pPr>
      <w:r>
        <w:rPr>
          <w:sz w:val="28"/>
        </w:rPr>
        <w:t>Компания «Гарант» - один из лидеров российского рынка справочно-правовых систем. Существуя уже более 13 лет, она заслужила признание и российских бизнесменов, и органов власти Российской Федерации, и зарубежных партнёров.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Ассортимент услуг этой фирмы постоянно расширяется. Появляются новые версии справочно-правовых систем, совершенствуются связи компании с внешней средой, углубляется сотрудничество с органами  исполнительной, законодательной, судебной власти РФ; с региональными и местными органами  государственной власти.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  <w:r>
        <w:rPr>
          <w:sz w:val="28"/>
        </w:rPr>
        <w:t>Безусловно, деятельность фирмы «Гарант» можно признать успешной.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pStyle w:val="1"/>
      </w:pPr>
    </w:p>
    <w:p w:rsidR="00BB2684" w:rsidRDefault="00BB2684">
      <w:pPr>
        <w:pStyle w:val="1"/>
        <w:rPr>
          <w:lang w:val="en-US"/>
        </w:rPr>
      </w:pPr>
      <w:bookmarkStart w:id="7" w:name="_Toc59433314"/>
    </w:p>
    <w:p w:rsidR="00BB2684" w:rsidRDefault="00BB2684">
      <w:pPr>
        <w:pStyle w:val="1"/>
        <w:rPr>
          <w:lang w:val="en-US"/>
        </w:rPr>
      </w:pPr>
    </w:p>
    <w:p w:rsidR="00BB2684" w:rsidRDefault="00BB2684">
      <w:pPr>
        <w:pStyle w:val="1"/>
        <w:rPr>
          <w:lang w:val="en-US"/>
        </w:rPr>
      </w:pPr>
    </w:p>
    <w:p w:rsidR="00BB2684" w:rsidRDefault="00BB2684">
      <w:pPr>
        <w:pStyle w:val="1"/>
        <w:rPr>
          <w:lang w:val="en-US"/>
        </w:rPr>
      </w:pPr>
    </w:p>
    <w:p w:rsidR="00BB2684" w:rsidRDefault="00BB2684">
      <w:pPr>
        <w:pStyle w:val="1"/>
        <w:rPr>
          <w:lang w:val="en-US"/>
        </w:rPr>
      </w:pPr>
    </w:p>
    <w:p w:rsidR="00BB2684" w:rsidRDefault="00BB2684">
      <w:pPr>
        <w:pStyle w:val="1"/>
        <w:rPr>
          <w:lang w:val="en-US"/>
        </w:rPr>
      </w:pPr>
    </w:p>
    <w:p w:rsidR="00BB2684" w:rsidRDefault="00BB2684">
      <w:pPr>
        <w:pStyle w:val="1"/>
      </w:pPr>
      <w:r>
        <w:rPr>
          <w:lang w:val="en-US"/>
        </w:rPr>
        <w:t>C</w:t>
      </w:r>
      <w:r>
        <w:t>писок литературы.</w:t>
      </w:r>
      <w:bookmarkEnd w:id="7"/>
    </w:p>
    <w:p w:rsidR="00BB2684" w:rsidRDefault="00BB2684">
      <w:pPr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 xml:space="preserve">Материалы лекций и семинарских занятий. </w:t>
      </w:r>
    </w:p>
    <w:p w:rsidR="00BB2684" w:rsidRDefault="00BB2684">
      <w:pPr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 xml:space="preserve">Ресурсы Интернет-сайта </w:t>
      </w:r>
      <w:hyperlink r:id="rId29" w:history="1">
        <w:r>
          <w:rPr>
            <w:rStyle w:val="a8"/>
            <w:sz w:val="28"/>
            <w:lang w:val="en-US"/>
          </w:rPr>
          <w:t>www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consultant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ru</w:t>
        </w:r>
      </w:hyperlink>
      <w:r>
        <w:rPr>
          <w:sz w:val="28"/>
        </w:rPr>
        <w:t>.</w:t>
      </w:r>
    </w:p>
    <w:p w:rsidR="00BB2684" w:rsidRDefault="00BB2684">
      <w:pPr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 xml:space="preserve">Ресурсы Интернет-сайта </w:t>
      </w:r>
      <w:hyperlink r:id="rId30" w:history="1">
        <w:r>
          <w:rPr>
            <w:rStyle w:val="a8"/>
            <w:sz w:val="28"/>
            <w:lang w:val="en-US"/>
          </w:rPr>
          <w:t>www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garant</w:t>
        </w:r>
        <w:r>
          <w:rPr>
            <w:rStyle w:val="a8"/>
            <w:sz w:val="28"/>
          </w:rPr>
          <w:t>.</w:t>
        </w:r>
        <w:r>
          <w:rPr>
            <w:rStyle w:val="a8"/>
            <w:sz w:val="28"/>
            <w:lang w:val="en-US"/>
          </w:rPr>
          <w:t>ru</w:t>
        </w:r>
      </w:hyperlink>
      <w:r>
        <w:rPr>
          <w:sz w:val="28"/>
        </w:rPr>
        <w:t>.</w:t>
      </w:r>
    </w:p>
    <w:p w:rsidR="00BB2684" w:rsidRDefault="00BB2684">
      <w:pPr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>Ресурсы справочно-правовой системы «Гарант».</w:t>
      </w:r>
    </w:p>
    <w:p w:rsidR="00BB2684" w:rsidRDefault="00BB2684">
      <w:pPr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>Юрьев И. В. Современные информационно-правовые системы.- М.: Юристъ, 2002.-120с.</w:t>
      </w:r>
    </w:p>
    <w:p w:rsidR="00BB2684" w:rsidRDefault="00BB2684">
      <w:pPr>
        <w:spacing w:line="360" w:lineRule="exact"/>
        <w:ind w:firstLine="851"/>
        <w:jc w:val="both"/>
        <w:rPr>
          <w:sz w:val="28"/>
        </w:rPr>
      </w:pPr>
    </w:p>
    <w:p w:rsidR="00BB2684" w:rsidRDefault="00BB2684">
      <w:pPr>
        <w:pStyle w:val="1"/>
      </w:pPr>
    </w:p>
    <w:p w:rsidR="00BB2684" w:rsidRDefault="00BB2684">
      <w:pPr>
        <w:widowControl w:val="0"/>
        <w:autoSpaceDE w:val="0"/>
        <w:autoSpaceDN w:val="0"/>
        <w:adjustRightInd w:val="0"/>
        <w:spacing w:line="360" w:lineRule="exact"/>
        <w:jc w:val="both"/>
        <w:rPr>
          <w:sz w:val="28"/>
        </w:rPr>
      </w:pPr>
      <w:bookmarkStart w:id="8" w:name="_GoBack"/>
      <w:bookmarkEnd w:id="8"/>
    </w:p>
    <w:sectPr w:rsidR="00BB2684">
      <w:headerReference w:type="default" r:id="rId31"/>
      <w:footerReference w:type="even" r:id="rId32"/>
      <w:footerReference w:type="default" r:id="rId33"/>
      <w:type w:val="oddPage"/>
      <w:pgSz w:w="11909" w:h="16834" w:code="9"/>
      <w:pgMar w:top="1134" w:right="1134" w:bottom="1644" w:left="1418" w:header="737" w:footer="1247" w:gutter="0"/>
      <w:pgNumType w:start="1"/>
      <w:cols w:space="72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B2684" w:rsidRDefault="00BB2684">
      <w:r>
        <w:separator/>
      </w:r>
    </w:p>
  </w:endnote>
  <w:endnote w:type="continuationSeparator" w:id="0">
    <w:p w:rsidR="00BB2684" w:rsidRDefault="00BB26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684" w:rsidRDefault="00BB2684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C24D6">
      <w:rPr>
        <w:rStyle w:val="a7"/>
        <w:noProof/>
      </w:rPr>
      <w:t>25</w:t>
    </w:r>
    <w:r>
      <w:rPr>
        <w:rStyle w:val="a7"/>
      </w:rPr>
      <w:fldChar w:fldCharType="end"/>
    </w:r>
  </w:p>
  <w:p w:rsidR="00BB2684" w:rsidRDefault="00BB2684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684" w:rsidRDefault="00BB2684">
    <w:pPr>
      <w:pStyle w:val="a6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B683A">
      <w:rPr>
        <w:rStyle w:val="a7"/>
        <w:noProof/>
      </w:rPr>
      <w:t>2</w:t>
    </w:r>
    <w:r>
      <w:rPr>
        <w:rStyle w:val="a7"/>
      </w:rPr>
      <w:fldChar w:fldCharType="end"/>
    </w:r>
  </w:p>
  <w:p w:rsidR="00BB2684" w:rsidRDefault="00BB2684">
    <w:pPr>
      <w:pStyle w:val="a6"/>
      <w:ind w:right="360"/>
    </w:pPr>
    <w:r>
      <w:t xml:space="preserve">Столбов А. В.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B2684" w:rsidRDefault="00BB2684">
      <w:r>
        <w:separator/>
      </w:r>
    </w:p>
  </w:footnote>
  <w:footnote w:type="continuationSeparator" w:id="0">
    <w:p w:rsidR="00BB2684" w:rsidRDefault="00BB26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684" w:rsidRDefault="00BB2684">
    <w:pPr>
      <w:pStyle w:val="a5"/>
    </w:pPr>
    <w:r>
      <w:t>СПС «Гарант»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E3F2B"/>
    <w:multiLevelType w:val="hybridMultilevel"/>
    <w:tmpl w:val="343EA470"/>
    <w:lvl w:ilvl="0" w:tplc="C1B865EA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">
    <w:nsid w:val="50BE42EA"/>
    <w:multiLevelType w:val="hybridMultilevel"/>
    <w:tmpl w:val="C01EE00A"/>
    <w:lvl w:ilvl="0" w:tplc="04190011">
      <w:start w:val="1"/>
      <w:numFmt w:val="decimal"/>
      <w:lvlText w:val="%1)"/>
      <w:lvlJc w:val="left"/>
      <w:pPr>
        <w:tabs>
          <w:tab w:val="num" w:pos="1854"/>
        </w:tabs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574"/>
        </w:tabs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94"/>
        </w:tabs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014"/>
        </w:tabs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734"/>
        </w:tabs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54"/>
        </w:tabs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74"/>
        </w:tabs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94"/>
        </w:tabs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614"/>
        </w:tabs>
        <w:ind w:left="7614" w:hanging="180"/>
      </w:pPr>
    </w:lvl>
  </w:abstractNum>
  <w:abstractNum w:abstractNumId="2">
    <w:nsid w:val="5EFD5D85"/>
    <w:multiLevelType w:val="hybridMultilevel"/>
    <w:tmpl w:val="BB6E22B6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C24D6"/>
    <w:rsid w:val="00A24A7F"/>
    <w:rsid w:val="00B23864"/>
    <w:rsid w:val="00BB2684"/>
    <w:rsid w:val="00DC24D6"/>
    <w:rsid w:val="00EB683A"/>
    <w:rsid w:val="00FE7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7"/>
    <o:shapelayout v:ext="edit">
      <o:idmap v:ext="edit" data="1"/>
    </o:shapelayout>
  </w:shapeDefaults>
  <w:decimalSymbol w:val=","/>
  <w:listSeparator w:val=";"/>
  <w15:chartTrackingRefBased/>
  <w15:docId w15:val="{09171324-4AF6-4796-97E0-5593322B8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autoRedefine/>
    <w:qFormat/>
    <w:pPr>
      <w:keepNext/>
      <w:widowControl w:val="0"/>
      <w:autoSpaceDE w:val="0"/>
      <w:autoSpaceDN w:val="0"/>
      <w:adjustRightInd w:val="0"/>
      <w:spacing w:line="360" w:lineRule="auto"/>
      <w:jc w:val="center"/>
      <w:outlineLvl w:val="0"/>
    </w:pPr>
    <w:rPr>
      <w:b/>
      <w:bCs/>
      <w:sz w:val="28"/>
      <w:szCs w:val="20"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pPr>
      <w:keepNext/>
      <w:ind w:firstLine="1134"/>
      <w:jc w:val="both"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sz w:val="28"/>
      <w:u w:val="single"/>
    </w:rPr>
  </w:style>
  <w:style w:type="paragraph" w:styleId="5">
    <w:name w:val="heading 5"/>
    <w:basedOn w:val="a"/>
    <w:next w:val="a"/>
    <w:qFormat/>
    <w:pPr>
      <w:keepNext/>
      <w:outlineLvl w:val="4"/>
    </w:pPr>
    <w:rPr>
      <w:sz w:val="28"/>
    </w:rPr>
  </w:style>
  <w:style w:type="paragraph" w:styleId="6">
    <w:name w:val="heading 6"/>
    <w:basedOn w:val="a"/>
    <w:next w:val="a"/>
    <w:qFormat/>
    <w:pPr>
      <w:keepNext/>
      <w:jc w:val="right"/>
      <w:outlineLvl w:val="5"/>
    </w:pPr>
    <w:rPr>
      <w:b/>
      <w:bCs/>
      <w:sz w:val="28"/>
    </w:rPr>
  </w:style>
  <w:style w:type="paragraph" w:styleId="7">
    <w:name w:val="heading 7"/>
    <w:basedOn w:val="a"/>
    <w:next w:val="a"/>
    <w:qFormat/>
    <w:pPr>
      <w:keepNext/>
      <w:outlineLvl w:val="6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pPr>
      <w:widowControl w:val="0"/>
      <w:autoSpaceDE w:val="0"/>
      <w:autoSpaceDN w:val="0"/>
      <w:adjustRightInd w:val="0"/>
      <w:spacing w:line="360" w:lineRule="auto"/>
      <w:jc w:val="both"/>
    </w:pPr>
    <w:rPr>
      <w:szCs w:val="20"/>
    </w:rPr>
  </w:style>
  <w:style w:type="paragraph" w:styleId="a4">
    <w:name w:val="Body Text Indent"/>
    <w:basedOn w:val="a"/>
    <w:semiHidden/>
    <w:pPr>
      <w:widowControl w:val="0"/>
      <w:autoSpaceDE w:val="0"/>
      <w:autoSpaceDN w:val="0"/>
      <w:adjustRightInd w:val="0"/>
      <w:spacing w:line="360" w:lineRule="auto"/>
      <w:ind w:firstLine="720"/>
      <w:jc w:val="both"/>
    </w:pPr>
    <w:rPr>
      <w:b/>
      <w:bCs/>
      <w:szCs w:val="20"/>
    </w:rPr>
  </w:style>
  <w:style w:type="paragraph" w:styleId="a5">
    <w:name w:val="header"/>
    <w:basedOn w:val="a"/>
    <w:semiHidden/>
    <w:pPr>
      <w:tabs>
        <w:tab w:val="center" w:pos="4677"/>
        <w:tab w:val="right" w:pos="9355"/>
      </w:tabs>
    </w:pPr>
  </w:style>
  <w:style w:type="paragraph" w:styleId="a6">
    <w:name w:val="footer"/>
    <w:basedOn w:val="a"/>
    <w:semiHidden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</w:style>
  <w:style w:type="paragraph" w:styleId="20">
    <w:name w:val="Body Text Indent 2"/>
    <w:basedOn w:val="a"/>
    <w:semiHidden/>
    <w:pPr>
      <w:ind w:firstLine="1134"/>
      <w:jc w:val="both"/>
    </w:pPr>
    <w:rPr>
      <w:sz w:val="28"/>
    </w:rPr>
  </w:style>
  <w:style w:type="paragraph" w:customStyle="1" w:styleId="14">
    <w:name w:val="Абзац14"/>
    <w:basedOn w:val="2"/>
    <w:next w:val="1"/>
  </w:style>
  <w:style w:type="paragraph" w:styleId="30">
    <w:name w:val="Body Text Indent 3"/>
    <w:basedOn w:val="a"/>
    <w:semiHidden/>
    <w:pPr>
      <w:ind w:firstLine="1134"/>
      <w:jc w:val="both"/>
    </w:pPr>
  </w:style>
  <w:style w:type="character" w:styleId="a8">
    <w:name w:val="Hyperlink"/>
    <w:basedOn w:val="a0"/>
    <w:semiHidden/>
    <w:rPr>
      <w:color w:val="0000FF"/>
      <w:u w:val="single"/>
    </w:rPr>
  </w:style>
  <w:style w:type="paragraph" w:styleId="10">
    <w:name w:val="toc 1"/>
    <w:basedOn w:val="a"/>
    <w:next w:val="a"/>
    <w:autoRedefine/>
    <w:semiHidden/>
    <w:pPr>
      <w:spacing w:before="240" w:after="120"/>
    </w:pPr>
    <w:rPr>
      <w:b/>
      <w:bCs/>
    </w:rPr>
  </w:style>
  <w:style w:type="paragraph" w:styleId="21">
    <w:name w:val="toc 2"/>
    <w:basedOn w:val="a"/>
    <w:next w:val="a"/>
    <w:autoRedefine/>
    <w:semiHidden/>
    <w:pPr>
      <w:spacing w:before="120"/>
      <w:ind w:left="240"/>
    </w:pPr>
    <w:rPr>
      <w:i/>
      <w:iCs/>
    </w:rPr>
  </w:style>
  <w:style w:type="paragraph" w:styleId="31">
    <w:name w:val="toc 3"/>
    <w:basedOn w:val="a"/>
    <w:next w:val="a"/>
    <w:autoRedefine/>
    <w:semiHidden/>
    <w:pPr>
      <w:ind w:left="480"/>
    </w:pPr>
  </w:style>
  <w:style w:type="paragraph" w:styleId="40">
    <w:name w:val="toc 4"/>
    <w:basedOn w:val="a"/>
    <w:next w:val="a"/>
    <w:autoRedefine/>
    <w:semiHidden/>
    <w:pPr>
      <w:ind w:left="720"/>
    </w:pPr>
  </w:style>
  <w:style w:type="paragraph" w:styleId="50">
    <w:name w:val="toc 5"/>
    <w:basedOn w:val="a"/>
    <w:next w:val="a"/>
    <w:autoRedefine/>
    <w:semiHidden/>
    <w:pPr>
      <w:ind w:left="960"/>
    </w:pPr>
  </w:style>
  <w:style w:type="paragraph" w:styleId="60">
    <w:name w:val="toc 6"/>
    <w:basedOn w:val="a"/>
    <w:next w:val="a"/>
    <w:autoRedefine/>
    <w:semiHidden/>
    <w:pPr>
      <w:ind w:left="1200"/>
    </w:pPr>
  </w:style>
  <w:style w:type="paragraph" w:styleId="70">
    <w:name w:val="toc 7"/>
    <w:basedOn w:val="a"/>
    <w:next w:val="a"/>
    <w:autoRedefine/>
    <w:semiHidden/>
    <w:pPr>
      <w:ind w:left="1440"/>
    </w:pPr>
  </w:style>
  <w:style w:type="paragraph" w:styleId="8">
    <w:name w:val="toc 8"/>
    <w:basedOn w:val="a"/>
    <w:next w:val="a"/>
    <w:autoRedefine/>
    <w:semiHidden/>
    <w:pPr>
      <w:ind w:left="1680"/>
    </w:pPr>
  </w:style>
  <w:style w:type="paragraph" w:styleId="9">
    <w:name w:val="toc 9"/>
    <w:basedOn w:val="a"/>
    <w:next w:val="a"/>
    <w:autoRedefine/>
    <w:semiHidden/>
    <w:pPr>
      <w:ind w:left="19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hyperlink" Target="http://www.garant.ru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www.consultant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://www.garant.ru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3375</Words>
  <Characters>19243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22573</CharactersWithSpaces>
  <SharedDoc>false</SharedDoc>
  <HLinks>
    <vt:vector size="66" baseType="variant">
      <vt:variant>
        <vt:i4>720982</vt:i4>
      </vt:variant>
      <vt:variant>
        <vt:i4>57</vt:i4>
      </vt:variant>
      <vt:variant>
        <vt:i4>0</vt:i4>
      </vt:variant>
      <vt:variant>
        <vt:i4>5</vt:i4>
      </vt:variant>
      <vt:variant>
        <vt:lpwstr>http://www.garant.ru/</vt:lpwstr>
      </vt:variant>
      <vt:variant>
        <vt:lpwstr/>
      </vt:variant>
      <vt:variant>
        <vt:i4>1179719</vt:i4>
      </vt:variant>
      <vt:variant>
        <vt:i4>54</vt:i4>
      </vt:variant>
      <vt:variant>
        <vt:i4>0</vt:i4>
      </vt:variant>
      <vt:variant>
        <vt:i4>5</vt:i4>
      </vt:variant>
      <vt:variant>
        <vt:lpwstr>http://www.consultant.ru/</vt:lpwstr>
      </vt:variant>
      <vt:variant>
        <vt:lpwstr/>
      </vt:variant>
      <vt:variant>
        <vt:i4>720982</vt:i4>
      </vt:variant>
      <vt:variant>
        <vt:i4>51</vt:i4>
      </vt:variant>
      <vt:variant>
        <vt:i4>0</vt:i4>
      </vt:variant>
      <vt:variant>
        <vt:i4>5</vt:i4>
      </vt:variant>
      <vt:variant>
        <vt:lpwstr>http://www.garant.ru/</vt:lpwstr>
      </vt:variant>
      <vt:variant>
        <vt:lpwstr/>
      </vt:variant>
      <vt:variant>
        <vt:i4>1703987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_Toc59433314</vt:lpwstr>
      </vt:variant>
      <vt:variant>
        <vt:i4>1900595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_Toc59433313</vt:lpwstr>
      </vt:variant>
      <vt:variant>
        <vt:i4>1835059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_Toc59433312</vt:lpwstr>
      </vt:variant>
      <vt:variant>
        <vt:i4>2031667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_Toc59433311</vt:lpwstr>
      </vt:variant>
      <vt:variant>
        <vt:i4>1966131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_Toc59433310</vt:lpwstr>
      </vt:variant>
      <vt:variant>
        <vt:i4>1507378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_Toc59433309</vt:lpwstr>
      </vt:variant>
      <vt:variant>
        <vt:i4>1441842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_Toc59433308</vt:lpwstr>
      </vt:variant>
      <vt:variant>
        <vt:i4>1638450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_Toc59433307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Богатырёв Павел</dc:creator>
  <cp:keywords/>
  <dc:description/>
  <cp:lastModifiedBy>admin</cp:lastModifiedBy>
  <cp:revision>2</cp:revision>
  <cp:lastPrinted>2011-02-25T12:20:00Z</cp:lastPrinted>
  <dcterms:created xsi:type="dcterms:W3CDTF">2014-04-15T05:31:00Z</dcterms:created>
  <dcterms:modified xsi:type="dcterms:W3CDTF">2014-04-15T05:31:00Z</dcterms:modified>
</cp:coreProperties>
</file>