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BB" w:rsidRDefault="006A2FBB">
      <w:pPr>
        <w:pStyle w:val="a4"/>
      </w:pPr>
    </w:p>
    <w:p w:rsidR="006A2FBB" w:rsidRDefault="006A2FBB">
      <w:pPr>
        <w:pStyle w:val="a4"/>
      </w:pPr>
    </w:p>
    <w:p w:rsidR="006A2FBB" w:rsidRDefault="006A2FBB">
      <w:pPr>
        <w:pStyle w:val="a4"/>
      </w:pPr>
    </w:p>
    <w:p w:rsidR="006A2FBB" w:rsidRDefault="006A2FBB">
      <w:pPr>
        <w:pStyle w:val="a4"/>
      </w:pPr>
    </w:p>
    <w:p w:rsidR="006A2FBB" w:rsidRDefault="006A2FBB">
      <w:pPr>
        <w:pStyle w:val="a4"/>
      </w:pPr>
    </w:p>
    <w:p w:rsidR="006A2FBB" w:rsidRDefault="006A2FBB">
      <w:pPr>
        <w:pStyle w:val="a4"/>
      </w:pPr>
    </w:p>
    <w:p w:rsidR="006A2FBB" w:rsidRDefault="006A2FBB">
      <w:pPr>
        <w:pStyle w:val="a4"/>
      </w:pPr>
    </w:p>
    <w:p w:rsidR="006A2FBB" w:rsidRDefault="0015463E">
      <w:pPr>
        <w:pStyle w:val="a4"/>
        <w:rPr>
          <w:sz w:val="96"/>
        </w:rPr>
      </w:pPr>
      <w:r>
        <w:rPr>
          <w:sz w:val="96"/>
        </w:rPr>
        <w:t>РЕФЕРАТ</w:t>
      </w:r>
    </w:p>
    <w:p w:rsidR="006A2FBB" w:rsidRDefault="0015463E">
      <w:pPr>
        <w:pStyle w:val="a4"/>
      </w:pPr>
      <w:r>
        <w:t>на тему:</w:t>
      </w:r>
    </w:p>
    <w:p w:rsidR="006A2FBB" w:rsidRDefault="0015463E">
      <w:pPr>
        <w:pStyle w:val="a4"/>
        <w:rPr>
          <w:i/>
          <w:iCs/>
          <w:sz w:val="52"/>
        </w:rPr>
      </w:pPr>
      <w:r>
        <w:rPr>
          <w:i/>
          <w:iCs/>
          <w:sz w:val="52"/>
        </w:rPr>
        <w:t>Прикладне програмне забезпечення</w:t>
      </w:r>
    </w:p>
    <w:p w:rsidR="006A2FBB" w:rsidRDefault="0015463E">
      <w:pPr>
        <w:spacing w:line="360" w:lineRule="auto"/>
        <w:jc w:val="both"/>
        <w:sectPr w:rsidR="006A2F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tab/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>Прикладне програмне забезпечення переважно представляє собою пакет прикладних програм, які розміщуються на диску і реалізуються на мові високого рівня фірмою, яка спеціалізується на виготовленні такого програмного забезпечення. Дані пакети можуть бути адаптовані на комп’ютери якогось одного типу, а в ідеальному випадку сумісні з різними типами апаратного забезпечення. Пакети прикладного програмного забезпечення вирішують специфічні задачі САПР. Більшість таких пакетів пишеться на таких компільованих мовах, як Фортран, Паскаль, а деякі більш прості пакети для мікрокомп’ютерів реалізуються на Бейсіці.</w:t>
      </w:r>
    </w:p>
    <w:p w:rsidR="006A2FBB" w:rsidRDefault="0015463E">
      <w:pPr>
        <w:pStyle w:val="a3"/>
      </w:pPr>
      <w:r>
        <w:tab/>
        <w:t>Типове програмне забезпечення для додатків в САПР складається з наступних частин:</w:t>
      </w:r>
    </w:p>
    <w:p w:rsidR="006A2FBB" w:rsidRDefault="0015463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Пакети двухмірного креслення. Бувають різної степені складності і функціонують на 16-бітових мікрокомп’ютерах, міні-комп’ютерах і великих комп’ютерах. Ці пакети забезпечують засоби для виконання двохмірного креслення. </w:t>
      </w:r>
    </w:p>
    <w:p w:rsidR="006A2FBB" w:rsidRDefault="0015463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Пакети трьохмірного моделювання. Найбільш ефективно функціонують на 32-бітових міні-комп’ютерах і більш потужних машинах, однак деякі менш складні пакети в даний час доступні і на мікрокомп’ютерах.</w:t>
      </w:r>
    </w:p>
    <w:p w:rsidR="006A2FBB" w:rsidRDefault="0015463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Пакети, які забезпечують аналіз методом кінцевих елементів (МКЕ). Переважно пишуться на Фортрані. Як і пакети трьохмірного моделювання, ці пакети традиційно функціонують на міні-комп’ютерах і великих машинах, але в даний час у багатьох випадках успішно працюють і на 16-бітових мікрокомп’ютерах. Розвиті пакети можуть мати свої власні системи трьохмірного моделювання. </w:t>
      </w:r>
    </w:p>
    <w:p w:rsidR="006A2FBB" w:rsidRDefault="0015463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Пакети ергономного аналізу. Найбільш відомий з них називається </w:t>
      </w:r>
      <w:r>
        <w:rPr>
          <w:lang w:val="en-US"/>
        </w:rPr>
        <w:t>SAMMIE</w:t>
      </w:r>
      <w:r>
        <w:rPr>
          <w:lang w:val="uk-UA"/>
        </w:rPr>
        <w:t xml:space="preserve">. Він реалізований на мові Фортран </w:t>
      </w:r>
      <w:r>
        <w:rPr>
          <w:lang w:val="en-US"/>
        </w:rPr>
        <w:t>IV</w:t>
      </w:r>
      <w:r>
        <w:rPr>
          <w:lang w:val="uk-UA"/>
        </w:rPr>
        <w:t xml:space="preserve"> і продається фірмами </w:t>
      </w:r>
      <w:r>
        <w:rPr>
          <w:lang w:val="en-US"/>
        </w:rPr>
        <w:t>Prime</w:t>
      </w:r>
      <w:r>
        <w:rPr>
          <w:lang w:val="uk-UA"/>
        </w:rPr>
        <w:t xml:space="preserve"> і </w:t>
      </w:r>
      <w:r>
        <w:rPr>
          <w:lang w:val="en-US"/>
        </w:rPr>
        <w:t>Sammie</w:t>
      </w:r>
      <w:r>
        <w:rPr>
          <w:lang w:val="uk-UA"/>
        </w:rPr>
        <w:t>.</w:t>
      </w:r>
    </w:p>
    <w:p w:rsidR="006A2FBB" w:rsidRDefault="0015463E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Різноманітні програми, написані на Бейсіці. Окрім розвитих пакетів для систем САПР існують тисячі простих комерційних пакетів, які переважно реалізуються на мові Бей сік і доступні на 8- або 16-бітових </w:t>
      </w:r>
      <w:r>
        <w:rPr>
          <w:lang w:val="uk-UA"/>
        </w:rPr>
        <w:lastRenderedPageBreak/>
        <w:t>мікрокомп’ютерах. Типовими додатками таких програм є: простий розрахунок, вирахування допустимих навантажень, нескладні операції над поверхнями.</w:t>
      </w: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15463E">
      <w:pPr>
        <w:pStyle w:val="3"/>
      </w:pPr>
      <w:r>
        <w:t>Генерація прикладного програмного забезпечення</w:t>
      </w:r>
    </w:p>
    <w:p w:rsidR="006A2FBB" w:rsidRDefault="0015463E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Прикладні програми системи САПР складаються головним чином з алгоритмів. Алгоритм – це набір правил і процедур, які служать для вирішення математичної проблеми. Типова властивість використовуваних процедур – повторюваність.</w:t>
      </w:r>
    </w:p>
    <w:p w:rsidR="006A2FBB" w:rsidRDefault="0015463E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По складності алгоритми САПР бувають досить різними. Самими примітивними є алгоритми створення точок і відрізків. Ці алгоритми можуть бути розвиті в більш потужні процедури для визначення кривих, поверхонь і зафарбованих областей. Є алгоритми, які реалізують процедури геометричних перетворень і установки кольорів і типів ліній. Найбільш складні алгоритми забезпечують уявлення оптичних ефектів при трьохмірному моделюванні. Вони формують такі математичні моделі поширення світлових променів, які можуть бути використані при імітації видалення видалення прихованих ліній і отримання тонових зображень. Перспективними розробками є підпрограмами, які називаються макросами і служать для виконання декількох процедур за допомогою однієї команди. Макроси, зокрема, використовуються при комплектуванні бібліотек стандартних геометричних елементів системи САПР.</w:t>
      </w:r>
    </w:p>
    <w:p w:rsidR="006A2FBB" w:rsidRDefault="0015463E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Ефективність алгоритму визначається співвідношенням простоти його реалізації зі складністю задачі, яку він вирішує. Виконання складних алгоритмів на комп’ютері займає інколи багато часу, тому для задовільного їх функціонування вимагаються комп’ютери з високою вичислювальною потужністю. Таким чином, прогрес САПР/АСТПП залежить як від здатності програмістів розробляти більш досконалі алгоритми, так і від успіхів в мікрокомп’ютерної технології і від покращення якості апаратного забезпечення.</w:t>
      </w:r>
    </w:p>
    <w:p w:rsidR="006A2FBB" w:rsidRDefault="006A2FBB">
      <w:pPr>
        <w:spacing w:line="360" w:lineRule="auto"/>
        <w:ind w:firstLine="708"/>
        <w:jc w:val="both"/>
        <w:rPr>
          <w:lang w:val="uk-UA"/>
        </w:rPr>
      </w:pPr>
    </w:p>
    <w:p w:rsidR="006A2FBB" w:rsidRDefault="0015463E">
      <w:pPr>
        <w:pStyle w:val="4"/>
      </w:pPr>
      <w:r>
        <w:lastRenderedPageBreak/>
        <w:t>Бази даних САПР</w:t>
      </w:r>
    </w:p>
    <w:p w:rsidR="006A2FBB" w:rsidRDefault="0015463E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База даних – це набір файлів, які містять дані. Графічні дані, які підтримуються базою даних САПР, можуть бути згруповані наступним чином:</w:t>
      </w:r>
    </w:p>
    <w:p w:rsidR="006A2FBB" w:rsidRDefault="0015463E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а) Геометричні дані (наприклад, точки, відрізки, окружності, поверхні, тверді тіла);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  <w:t>б) Дані про типи ліній (наприклад, безперервна, штрихова і т.п.).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в) Текстові дані.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г) Дані, які визначають спосіб штриховки і зафарбовування області.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д) Дані про шари.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е) Асоціативні дані регулюють взаємовідношення між окремими геометричними елементами і оточуючою їх геометрією. Таким чином, відношення геометричної асоціативності вимагається при визначенні стандартних форм, компонентів і символів.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ж) Дані зв’язку визначають спосіб структурування компонентів в збірці.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з) Атрибутивні дані представляють собою дані, які зв’язані з зображенням креслення, але можуть не мати графічного відображення на дисплеї. Типовими креслярськими атрибутами є специфікації матеріалу, виробу, який виробляється, який включається в зборочне креслення. Атрибути грають важливу роль в якості даних полів у файлах Системи Управління Базами Даних (СУБД). </w:t>
      </w: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15463E">
      <w:pPr>
        <w:spacing w:line="360" w:lineRule="auto"/>
        <w:jc w:val="both"/>
        <w:rPr>
          <w:b/>
          <w:bCs/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Графічні стандарти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Програмне забезпечення може надходити як частина отриманої від одного поставника повною системи САПР (включаючи увесь комплект обладнання). Така система називається системою, зданою під ключ, і вона може задовольняти вимоги, які висовують до неї декілька фірм-замовників. Поставники систем, зданих під ключ, рідко проводять одразу всі компоненти системи. Часто буває так, що фірма випускає програмне забезпечення, а апаратуру до нього купують у інших фірм.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ab/>
        <w:t>Інакше стоїть справа з користувачами, які бажають вибрати спеціалізовані пакети програм у кількох поставників з тим, щоб отримати найкращу комбінацію програм з урахуванням свої вимог. Звичайно, можливості такого вибору здійсненна, якщо всі розглядувані пакети можуть функціонувати на одному і тому ж головному комп’ютері і зв’язаним з ним апаратом забезпечення.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У перерахованих випадках необхідно, щоб програмне і апаратне забезпечення були сумісні один з одним, тобто мали можливість здійснити зв’язок за допомогою стандартних кодів графічних даних. Таким чином, головні цілі, які переслідуються графічною стандартизацією, є в наступному: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а) забезпечує гнучкість поєднання складових програмного і апаратного забезпечення системи, зданої під ключ;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б) надати засоби створення мобільних пакетів прикладного програмного забезпечення, які можна без особливих труднощів запустити на обладнанні різних випусків і конфігурації;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в) забезпечити обмін графічними даними між двома або більше фірмами, які можуть мати різні системи САПР.</w:t>
      </w: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15463E">
      <w:pPr>
        <w:spacing w:line="360" w:lineRule="auto"/>
        <w:jc w:val="both"/>
        <w:rPr>
          <w:b/>
          <w:bCs/>
          <w:lang w:val="uk-UA"/>
        </w:rPr>
      </w:pPr>
      <w:r>
        <w:rPr>
          <w:lang w:val="uk-UA"/>
        </w:rPr>
        <w:tab/>
      </w:r>
      <w:r>
        <w:rPr>
          <w:b/>
          <w:bCs/>
          <w:lang w:val="uk-UA"/>
        </w:rPr>
        <w:t>Рівні зв’язку графічних стандартів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Основна проблема при встановленні графічних стандартів і спеціальних вимог складається з того, щоб вони отримали міжнародне визнання. В даний час уже існують деякі домінуючі стандарти, які прийняті багатьма фірмами. Реалізація цих стандартів на різних рівнях займаються такі крупні організації, як </w:t>
      </w:r>
      <w:r>
        <w:rPr>
          <w:lang w:val="en-US"/>
        </w:rPr>
        <w:t>ANSI</w:t>
      </w:r>
      <w:r>
        <w:rPr>
          <w:lang w:val="uk-UA"/>
        </w:rPr>
        <w:t xml:space="preserve"> (Американський Національний Інститут Стандартизації) і  </w:t>
      </w:r>
      <w:r>
        <w:rPr>
          <w:lang w:val="en-US"/>
        </w:rPr>
        <w:t>ISO</w:t>
      </w:r>
      <w:r>
        <w:rPr>
          <w:lang w:val="uk-UA"/>
        </w:rPr>
        <w:t xml:space="preserve"> (Міжнародна Організація по Стандартизації).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Рівні зв’язку графічних стандартів показані на мал.1 і можуть бути класифіковані наступним чином: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а) Зв’язок між графічними утилітами і пристроями графічного виводу (наприклад, плоттерами, дисплеями та ін.). Найбільш важливим стандартом цієї категорії є стандарт </w:t>
      </w:r>
      <w:r>
        <w:rPr>
          <w:lang w:val="en-US"/>
        </w:rPr>
        <w:t>VDI</w:t>
      </w:r>
      <w:r>
        <w:rPr>
          <w:lang w:val="uk-UA"/>
        </w:rPr>
        <w:t xml:space="preserve"> (Інтерфейс Віртуального Пристрою). І хоча в даний </w:t>
      </w:r>
      <w:r>
        <w:rPr>
          <w:lang w:val="uk-UA"/>
        </w:rPr>
        <w:lastRenderedPageBreak/>
        <w:t xml:space="preserve">час він перейменований в </w:t>
      </w:r>
      <w:r>
        <w:rPr>
          <w:lang w:val="en-US"/>
        </w:rPr>
        <w:t>CGI</w:t>
      </w:r>
      <w:r>
        <w:rPr>
          <w:lang w:val="uk-UA"/>
        </w:rPr>
        <w:t xml:space="preserve"> (Інтерфейс Комп’ютерної Графіки), цей термін все ще використовується в деяких публікаціях.</w:t>
      </w:r>
    </w:p>
    <w:p w:rsidR="006A2FBB" w:rsidRDefault="00AD0692">
      <w:pPr>
        <w:spacing w:line="360" w:lineRule="auto"/>
        <w:jc w:val="both"/>
        <w:rPr>
          <w:lang w:val="uk-UA"/>
        </w:rPr>
      </w:pPr>
      <w:r>
        <w:rPr>
          <w:noProof/>
          <w:sz w:val="20"/>
        </w:rPr>
        <w:pict>
          <v:group id="_x0000_s1041" style="position:absolute;left:0;text-align:left;margin-left:112.2pt;margin-top:-3.3pt;width:345.95pt;height:315pt;z-index:251657216" coordorigin="3378,2034" coordsize="6919,63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3378;top:2574;width:4114;height:1080" fillcolor="black">
              <v:fill r:id="rId5" o:title="Широкий диагональный 2" type="pattern"/>
              <v:stroke dashstyle="dash"/>
              <v:textbox>
                <w:txbxContent>
                  <w:p w:rsidR="006A2FBB" w:rsidRDefault="006A2FBB"/>
                </w:txbxContent>
              </v:textbox>
            </v:shape>
            <v:shape id="_x0000_s1027" type="#_x0000_t202" style="position:absolute;left:3378;top:4734;width:4114;height:1080" fillcolor="black">
              <v:fill r:id="rId5" o:title="Широкий диагональный 2" type="pattern"/>
              <v:stroke dashstyle="dash"/>
              <v:textbox>
                <w:txbxContent>
                  <w:p w:rsidR="006A2FBB" w:rsidRDefault="006A2FBB"/>
                </w:txbxContent>
              </v:textbox>
            </v:shape>
            <v:shape id="_x0000_s1028" type="#_x0000_t202" style="position:absolute;left:3378;top:6354;width:4114;height:1080" fillcolor="black">
              <v:fill r:id="rId5" o:title="Широкий диагональный 2" type="pattern"/>
              <v:stroke dashstyle="dash"/>
              <v:textbox>
                <w:txbxContent>
                  <w:p w:rsidR="006A2FBB" w:rsidRDefault="006A2FBB"/>
                </w:txbxContent>
              </v:textbox>
            </v:shape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29" type="#_x0000_t68" style="position:absolute;left:4126;top:2394;width:374;height:900"/>
            <v:shape id="_x0000_s1030" type="#_x0000_t68" style="position:absolute;left:4126;top:7254;width:374;height:900;rotation:-180"/>
            <v:shape id="_x0000_s1031" type="#_x0000_t202" style="position:absolute;left:3565;top:3294;width:1496;height:720">
              <v:textbox>
                <w:txbxContent>
                  <w:p w:rsidR="006A2FBB" w:rsidRDefault="0015463E">
                    <w:pPr>
                      <w:pStyle w:val="20"/>
                      <w:rPr>
                        <w:b/>
                        <w:bCs/>
                        <w:sz w:val="20"/>
                      </w:rPr>
                    </w:pPr>
                    <w:r>
                      <w:rPr>
                        <w:b/>
                        <w:bCs/>
                        <w:sz w:val="20"/>
                      </w:rPr>
                      <w:t>База даних САПР</w:t>
                    </w:r>
                  </w:p>
                </w:txbxContent>
              </v:textbox>
            </v:shape>
            <v:shape id="_x0000_s1033" type="#_x0000_t202" style="position:absolute;left:3565;top:6534;width:1496;height:720">
              <v:textbox>
                <w:txbxContent>
                  <w:p w:rsidR="006A2FBB" w:rsidRDefault="0015463E">
                    <w:pPr>
                      <w:pStyle w:val="30"/>
                    </w:pPr>
                    <w:r>
                      <w:t>Драйвери пристроїв</w:t>
                    </w:r>
                  </w:p>
                </w:txbxContent>
              </v:textbox>
            </v:shape>
            <v:line id="_x0000_s1035" style="position:absolute" from="4313,4014" to="4313,6534"/>
            <v:shape id="_x0000_s1032" type="#_x0000_t202" style="position:absolute;left:3565;top:4374;width:1496;height:720">
              <v:textbox>
                <w:txbxContent>
                  <w:p w:rsidR="006A2FBB" w:rsidRDefault="0015463E">
                    <w:pPr>
                      <w:jc w:val="center"/>
                      <w:rPr>
                        <w:b/>
                        <w:bCs/>
                        <w:sz w:val="16"/>
                        <w:lang w:val="uk-UA"/>
                      </w:rPr>
                    </w:pPr>
                    <w:r>
                      <w:rPr>
                        <w:b/>
                        <w:bCs/>
                        <w:sz w:val="16"/>
                        <w:lang w:val="uk-UA"/>
                      </w:rPr>
                      <w:t>Прикладне програмне</w:t>
                    </w:r>
                    <w:r>
                      <w:rPr>
                        <w:sz w:val="16"/>
                        <w:lang w:val="uk-UA"/>
                      </w:rPr>
                      <w:t xml:space="preserve"> </w:t>
                    </w:r>
                    <w:r>
                      <w:rPr>
                        <w:b/>
                        <w:bCs/>
                        <w:sz w:val="16"/>
                        <w:lang w:val="uk-UA"/>
                      </w:rPr>
                      <w:t>забезпечення</w:t>
                    </w:r>
                  </w:p>
                </w:txbxContent>
              </v:textbox>
            </v:shape>
            <v:shape id="_x0000_s1034" type="#_x0000_t202" style="position:absolute;left:3565;top:5634;width:1496;height:720">
              <v:textbox>
                <w:txbxContent>
                  <w:p w:rsidR="006A2FBB" w:rsidRDefault="0015463E">
                    <w:pPr>
                      <w:pStyle w:val="30"/>
                    </w:pPr>
                    <w:r>
                      <w:t>Графічні утиліти</w:t>
                    </w:r>
                  </w:p>
                </w:txbxContent>
              </v:textbox>
            </v:shape>
            <v:shape id="_x0000_s1036" type="#_x0000_t202" style="position:absolute;left:6183;top:2934;width:935;height:360" stroked="f">
              <v:textbox>
                <w:txbxContent>
                  <w:p w:rsidR="006A2FBB" w:rsidRDefault="0015463E">
                    <w:pPr>
                      <w:pStyle w:val="1"/>
                    </w:pPr>
                    <w:r>
                      <w:t>IGES</w:t>
                    </w:r>
                  </w:p>
                </w:txbxContent>
              </v:textbox>
            </v:shape>
            <v:shape id="_x0000_s1037" type="#_x0000_t202" style="position:absolute;left:6183;top:6714;width:935;height:360" stroked="f">
              <v:textbox>
                <w:txbxContent>
                  <w:p w:rsidR="006A2FBB" w:rsidRDefault="0015463E">
                    <w:pPr>
                      <w:pStyle w:val="1"/>
                    </w:pPr>
                    <w:r>
                      <w:t>VDI</w:t>
                    </w:r>
                  </w:p>
                </w:txbxContent>
              </v:textbox>
            </v:shape>
            <v:shape id="_x0000_s1038" type="#_x0000_t202" style="position:absolute;left:5809;top:4914;width:1309;height:720" stroked="f">
              <v:textbox>
                <w:txbxContent>
                  <w:p w:rsidR="006A2FBB" w:rsidRDefault="0015463E">
                    <w:pPr>
                      <w:jc w:val="center"/>
                      <w:rPr>
                        <w:b/>
                        <w:bCs/>
                        <w:sz w:val="16"/>
                        <w:lang w:val="en-US"/>
                      </w:rPr>
                    </w:pPr>
                    <w:r>
                      <w:rPr>
                        <w:b/>
                        <w:bCs/>
                        <w:sz w:val="16"/>
                        <w:lang w:val="en-US"/>
                      </w:rPr>
                      <w:t>GKS.</w:t>
                    </w: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6"/>
                        <w:lang w:val="en-US"/>
                      </w:rPr>
                    </w:pPr>
                    <w:r>
                      <w:rPr>
                        <w:b/>
                        <w:bCs/>
                        <w:sz w:val="16"/>
                        <w:lang w:val="en-US"/>
                      </w:rPr>
                      <w:t>CORE</w:t>
                    </w:r>
                  </w:p>
                  <w:p w:rsidR="006A2FBB" w:rsidRDefault="0015463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b/>
                        <w:bCs/>
                        <w:sz w:val="16"/>
                        <w:lang w:val="en-US"/>
                      </w:rPr>
                      <w:t>PHIGS</w:t>
                    </w:r>
                  </w:p>
                </w:txbxContent>
              </v:textbox>
            </v:shape>
            <v:shape id="_x0000_s1039" type="#_x0000_t202" style="position:absolute;left:4687;top:2034;width:5610;height:540" filled="f" stroked="f">
              <v:textbox>
                <w:txbxContent>
                  <w:p w:rsidR="006A2FBB" w:rsidRDefault="0015463E">
                    <w:pPr>
                      <w:rPr>
                        <w:sz w:val="24"/>
                        <w:lang w:val="uk-UA"/>
                      </w:rPr>
                    </w:pPr>
                    <w:r>
                      <w:rPr>
                        <w:sz w:val="24"/>
                        <w:lang w:val="uk-UA"/>
                      </w:rPr>
                      <w:t>Зовнішня система САПР/АСТПП</w:t>
                    </w:r>
                  </w:p>
                </w:txbxContent>
              </v:textbox>
            </v:shape>
            <v:shape id="_x0000_s1040" type="#_x0000_t202" style="position:absolute;left:4874;top:7614;width:5049;height:720" filled="f" stroked="f">
              <v:textbox>
                <w:txbxContent>
                  <w:p w:rsidR="006A2FBB" w:rsidRDefault="0015463E">
                    <w:pPr>
                      <w:rPr>
                        <w:sz w:val="24"/>
                        <w:lang w:val="uk-UA"/>
                      </w:rPr>
                    </w:pPr>
                    <w:r>
                      <w:rPr>
                        <w:sz w:val="24"/>
                        <w:lang w:val="uk-UA"/>
                      </w:rPr>
                      <w:t xml:space="preserve">Пристрої графічного вводу (наприклад, екрани, плоттери і т.п. </w:t>
                    </w:r>
                  </w:p>
                </w:txbxContent>
              </v:textbox>
            </v:shape>
          </v:group>
        </w:pict>
      </w:r>
      <w:r w:rsidR="0015463E">
        <w:rPr>
          <w:lang w:val="uk-UA"/>
        </w:rPr>
        <w:tab/>
      </w: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15463E">
      <w:pPr>
        <w:pStyle w:val="2"/>
      </w:pPr>
      <w:r>
        <w:t>Рис. 1. Рівні зв’язку графічних стандартів</w:t>
      </w:r>
    </w:p>
    <w:p w:rsidR="006A2FBB" w:rsidRDefault="0015463E">
      <w:pPr>
        <w:pStyle w:val="a3"/>
      </w:pPr>
      <w:r>
        <w:tab/>
        <w:t>б) Зв’язок між прикладними програмами і графічними утилітами.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Найбільш поширеним стандартом цього типу є </w:t>
      </w:r>
      <w:r>
        <w:rPr>
          <w:lang w:val="en-US"/>
        </w:rPr>
        <w:t>GKS</w:t>
      </w:r>
      <w:r>
        <w:rPr>
          <w:lang w:val="uk-UA"/>
        </w:rPr>
        <w:t xml:space="preserve"> (Графічна Коренева Система), розроблена у ФРН в 1979 р. </w:t>
      </w:r>
      <w:r>
        <w:rPr>
          <w:lang w:val="en-US"/>
        </w:rPr>
        <w:t>GKS</w:t>
      </w:r>
      <w:r>
        <w:rPr>
          <w:lang w:val="uk-UA"/>
        </w:rPr>
        <w:t xml:space="preserve"> представляє собою набір графічних стандартів, які забезпечують інтерфейс між прикладним графічним забезпеченням і графічними утилітами будь-яких систем САПР, дуже схожа на більш ранній американський стандарт </w:t>
      </w:r>
      <w:r>
        <w:rPr>
          <w:lang w:val="en-US"/>
        </w:rPr>
        <w:t>CORE</w:t>
      </w:r>
      <w:r>
        <w:rPr>
          <w:lang w:val="uk-UA"/>
        </w:rPr>
        <w:t xml:space="preserve">, який все ще використовується деякими розробниками САПР. Зовсім недавно був представлений на розгляд стандартів </w:t>
      </w:r>
      <w:r>
        <w:rPr>
          <w:lang w:val="en-US"/>
        </w:rPr>
        <w:t>PHIGS</w:t>
      </w:r>
      <w:r>
        <w:rPr>
          <w:lang w:val="uk-UA"/>
        </w:rPr>
        <w:t xml:space="preserve"> (Програмістський Ієрархічний Графічний Інтерфейс) з метою усунення деяких обмежень на сучасних </w:t>
      </w:r>
      <w:r>
        <w:rPr>
          <w:lang w:val="en-US"/>
        </w:rPr>
        <w:t>GKS</w:t>
      </w:r>
      <w:r>
        <w:rPr>
          <w:lang w:val="uk-UA"/>
        </w:rPr>
        <w:t xml:space="preserve">. Розвинуті засоби, які описують </w:t>
      </w:r>
      <w:r>
        <w:rPr>
          <w:lang w:val="en-US"/>
        </w:rPr>
        <w:t>PHIGS</w:t>
      </w:r>
      <w:r>
        <w:rPr>
          <w:lang w:val="uk-UA"/>
        </w:rPr>
        <w:t>, включають більш складні ієрархічні структури графічних даних і дані трьохмірної геометрії.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в) Зв</w:t>
      </w:r>
      <w:r>
        <w:t>’</w:t>
      </w:r>
      <w:r>
        <w:rPr>
          <w:lang w:val="uk-UA"/>
        </w:rPr>
        <w:t xml:space="preserve">язок між різними системами САПР. Важливе місце тут займає стандарт </w:t>
      </w:r>
      <w:r>
        <w:rPr>
          <w:lang w:val="en-US"/>
        </w:rPr>
        <w:t>IGES</w:t>
      </w:r>
      <w:r>
        <w:rPr>
          <w:lang w:val="uk-UA"/>
        </w:rPr>
        <w:t xml:space="preserve"> (Стандартний протокол Обміну Графічною Інформацією), який розроблявся в 1979-1982 рр. і пройшов часткову адаптацію в інституті </w:t>
      </w:r>
      <w:r>
        <w:rPr>
          <w:lang w:val="en-US"/>
        </w:rPr>
        <w:t>ANSI</w:t>
      </w:r>
      <w:r>
        <w:rPr>
          <w:lang w:val="uk-UA"/>
        </w:rPr>
        <w:t>.</w:t>
      </w:r>
    </w:p>
    <w:p w:rsidR="006A2FBB" w:rsidRDefault="0015463E">
      <w:pPr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en-US"/>
        </w:rPr>
        <w:t>IGES</w:t>
      </w:r>
      <w:r>
        <w:rPr>
          <w:lang w:val="uk-UA"/>
        </w:rPr>
        <w:t xml:space="preserve"> – стандартний формат кодування даних САПР/АСТПП, які можуть бути повністю незалежні від будь-яких систем. Така незалежність забезпечує можливість обміну графічними і виробничими даними між різними системами. В даному форматі різні типи даних класифікуються в термінах сутностей, які можуть належати до однієї з трьох категорій:</w:t>
      </w:r>
    </w:p>
    <w:p w:rsidR="006A2FBB" w:rsidRDefault="0015463E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геометрії (точки, відрізки, дуги, вузли кінцевих елементів і т.п.);</w:t>
      </w:r>
    </w:p>
    <w:p w:rsidR="006A2FBB" w:rsidRDefault="0015463E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анотації (типи розмірів, осьові лінії, стрілки і т.п.);</w:t>
      </w:r>
    </w:p>
    <w:p w:rsidR="006A2FBB" w:rsidRDefault="0015463E">
      <w:pPr>
        <w:numPr>
          <w:ilvl w:val="0"/>
          <w:numId w:val="2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структури (геометричні групи, макровизначення, циркулярні масиви і т.п.).</w:t>
      </w:r>
    </w:p>
    <w:p w:rsidR="006A2FBB" w:rsidRDefault="00AD0692">
      <w:pPr>
        <w:spacing w:line="360" w:lineRule="auto"/>
        <w:jc w:val="both"/>
        <w:rPr>
          <w:lang w:val="uk-UA"/>
        </w:rPr>
      </w:pPr>
      <w:r>
        <w:rPr>
          <w:noProof/>
          <w:sz w:val="20"/>
        </w:rPr>
        <w:pict>
          <v:group id="_x0000_s1061" style="position:absolute;left:0;text-align:left;margin-left:18.7pt;margin-top:16.65pt;width:439.45pt;height:162pt;z-index:251658240" coordorigin="1508,5814" coordsize="8789,3240">
            <v:shape id="_x0000_s1042" type="#_x0000_t202" style="position:absolute;left:1508;top:5814;width:1683;height:3240">
              <v:textbox>
                <w:txbxContent>
                  <w:p w:rsidR="006A2FBB" w:rsidRDefault="0015463E">
                    <w:pPr>
                      <w:rPr>
                        <w:sz w:val="22"/>
                        <w:lang w:val="uk-UA"/>
                      </w:rPr>
                    </w:pPr>
                    <w:r>
                      <w:rPr>
                        <w:sz w:val="22"/>
                        <w:lang w:val="uk-UA"/>
                      </w:rPr>
                      <w:t>Система</w:t>
                    </w:r>
                  </w:p>
                  <w:p w:rsidR="006A2FBB" w:rsidRDefault="0015463E">
                    <w:pPr>
                      <w:rPr>
                        <w:sz w:val="22"/>
                        <w:lang w:val="uk-UA"/>
                      </w:rPr>
                    </w:pPr>
                    <w:r>
                      <w:rPr>
                        <w:sz w:val="22"/>
                        <w:lang w:val="uk-UA"/>
                      </w:rPr>
                      <w:t>САПР/АСТП</w:t>
                    </w:r>
                  </w:p>
                  <w:p w:rsidR="006A2FBB" w:rsidRDefault="0015463E">
                    <w:pPr>
                      <w:rPr>
                        <w:sz w:val="22"/>
                        <w:lang w:val="uk-UA"/>
                      </w:rPr>
                    </w:pPr>
                    <w:r>
                      <w:rPr>
                        <w:sz w:val="22"/>
                        <w:lang w:val="uk-UA"/>
                      </w:rPr>
                      <w:t>1</w:t>
                    </w:r>
                  </w:p>
                </w:txbxContent>
              </v:textbox>
            </v:shape>
            <v:shape id="_x0000_s1043" type="#_x0000_t202" style="position:absolute;left:5248;top:5814;width:1309;height:3240">
              <v:textbox>
                <w:txbxContent>
                  <w:p w:rsidR="006A2FBB" w:rsidRDefault="006A2FBB">
                    <w:pPr>
                      <w:rPr>
                        <w:lang w:val="uk-UA"/>
                      </w:rPr>
                    </w:pPr>
                  </w:p>
                  <w:p w:rsidR="006A2FBB" w:rsidRDefault="006A2FBB">
                    <w:pPr>
                      <w:rPr>
                        <w:lang w:val="uk-UA"/>
                      </w:rPr>
                    </w:pPr>
                  </w:p>
                  <w:p w:rsidR="006A2FBB" w:rsidRDefault="006A2FBB">
                    <w:pPr>
                      <w:rPr>
                        <w:lang w:val="uk-UA"/>
                      </w:rPr>
                    </w:pPr>
                  </w:p>
                  <w:p w:rsidR="006A2FBB" w:rsidRDefault="006A2FBB">
                    <w:pPr>
                      <w:rPr>
                        <w:lang w:val="uk-UA"/>
                      </w:rPr>
                    </w:pPr>
                  </w:p>
                  <w:p w:rsidR="006A2FBB" w:rsidRDefault="0015463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IGES</w:t>
                    </w:r>
                  </w:p>
                </w:txbxContent>
              </v:textbox>
            </v:shape>
            <v:shape id="_x0000_s1044" type="#_x0000_t202" style="position:absolute;left:8614;top:5814;width:1683;height:3240">
              <v:textbox>
                <w:txbxContent>
                  <w:p w:rsidR="006A2FBB" w:rsidRDefault="0015463E">
                    <w:pPr>
                      <w:rPr>
                        <w:sz w:val="22"/>
                        <w:lang w:val="uk-UA"/>
                      </w:rPr>
                    </w:pPr>
                    <w:r>
                      <w:rPr>
                        <w:sz w:val="22"/>
                        <w:lang w:val="uk-UA"/>
                      </w:rPr>
                      <w:t>Система</w:t>
                    </w:r>
                  </w:p>
                  <w:p w:rsidR="006A2FBB" w:rsidRDefault="0015463E">
                    <w:pPr>
                      <w:rPr>
                        <w:sz w:val="22"/>
                        <w:lang w:val="uk-UA"/>
                      </w:rPr>
                    </w:pPr>
                    <w:r>
                      <w:rPr>
                        <w:sz w:val="22"/>
                        <w:lang w:val="uk-UA"/>
                      </w:rPr>
                      <w:t>САПР/АСТП</w:t>
                    </w:r>
                  </w:p>
                  <w:p w:rsidR="006A2FBB" w:rsidRDefault="0015463E">
                    <w:pPr>
                      <w:rPr>
                        <w:sz w:val="22"/>
                        <w:lang w:val="en-US"/>
                      </w:rPr>
                    </w:pPr>
                    <w:r>
                      <w:rPr>
                        <w:sz w:val="22"/>
                        <w:lang w:val="en-US"/>
                      </w:rPr>
                      <w:t>2</w:t>
                    </w:r>
                  </w:p>
                  <w:p w:rsidR="006A2FBB" w:rsidRDefault="006A2FBB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oval id="_x0000_s1045" style="position:absolute;left:3191;top:5814;width:1122;height:1080">
              <v:textbox>
                <w:txbxContent>
                  <w:p w:rsidR="006A2FBB" w:rsidRDefault="006A2FBB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Препро</w:t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  <w:t>цесор</w:t>
                    </w: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1</w:t>
                    </w:r>
                  </w:p>
                </w:txbxContent>
              </v:textbox>
            </v:oval>
            <v:oval id="_x0000_s1046" style="position:absolute;left:3191;top:7974;width:1122;height:1080">
              <v:textbox>
                <w:txbxContent>
                  <w:p w:rsidR="006A2FBB" w:rsidRDefault="006A2FBB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Постпро</w:t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  <w:t>цесор</w:t>
                    </w: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1</w:t>
                    </w:r>
                  </w:p>
                  <w:p w:rsidR="006A2FBB" w:rsidRDefault="006A2FBB"/>
                </w:txbxContent>
              </v:textbox>
            </v:oval>
            <v:oval id="_x0000_s1047" style="position:absolute;left:7492;top:5814;width:1122;height:1080">
              <v:textbox>
                <w:txbxContent>
                  <w:p w:rsidR="006A2FBB" w:rsidRDefault="006A2FBB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Постпро</w:t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  <w:t>цесор</w:t>
                    </w: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2</w:t>
                    </w:r>
                  </w:p>
                  <w:p w:rsidR="006A2FBB" w:rsidRDefault="006A2FBB"/>
                </w:txbxContent>
              </v:textbox>
            </v:oval>
            <v:oval id="_x0000_s1048" style="position:absolute;left:7492;top:7974;width:1122;height:1080">
              <v:textbox>
                <w:txbxContent>
                  <w:p w:rsidR="006A2FBB" w:rsidRDefault="006A2FBB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Препро</w:t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</w:r>
                    <w:r>
                      <w:rPr>
                        <w:b/>
                        <w:bCs/>
                        <w:sz w:val="14"/>
                        <w:lang w:val="uk-UA"/>
                      </w:rPr>
                      <w:softHyphen/>
                      <w:t>цесор</w:t>
                    </w: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4"/>
                        <w:lang w:val="uk-UA"/>
                      </w:rPr>
                    </w:pPr>
                    <w:r>
                      <w:rPr>
                        <w:b/>
                        <w:bCs/>
                        <w:sz w:val="14"/>
                        <w:lang w:val="uk-UA"/>
                      </w:rPr>
                      <w:t>2</w:t>
                    </w:r>
                  </w:p>
                  <w:p w:rsidR="006A2FBB" w:rsidRDefault="006A2FBB"/>
                </w:txbxContent>
              </v:textbox>
            </v:oval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49" type="#_x0000_t13" style="position:absolute;left:4313;top:6174;width:935;height:360"/>
            <v:shape id="_x0000_s1050" type="#_x0000_t13" style="position:absolute;left:6557;top:6174;width:935;height:360"/>
            <v:shape id="_x0000_s1051" type="#_x0000_t13" style="position:absolute;left:6557;top:8334;width:935;height:360;rotation:-180"/>
            <v:shape id="_x0000_s1052" type="#_x0000_t13" style="position:absolute;left:4313;top:8334;width:935;height:360;rotation:-180"/>
            <v:oval id="_x0000_s1053" style="position:absolute;left:1776;top:7074;width:1122;height:1080">
              <v:textbox>
                <w:txbxContent>
                  <w:p w:rsidR="006A2FBB" w:rsidRDefault="0015463E">
                    <w:pPr>
                      <w:jc w:val="center"/>
                      <w:rPr>
                        <w:b/>
                        <w:bCs/>
                        <w:sz w:val="18"/>
                        <w:lang w:val="uk-UA"/>
                      </w:rPr>
                    </w:pPr>
                    <w:r>
                      <w:rPr>
                        <w:b/>
                        <w:bCs/>
                        <w:sz w:val="18"/>
                        <w:lang w:val="uk-UA"/>
                      </w:rPr>
                      <w:t>База даних</w:t>
                    </w:r>
                  </w:p>
                  <w:p w:rsidR="006A2FBB" w:rsidRDefault="0015463E">
                    <w:pPr>
                      <w:jc w:val="center"/>
                      <w:rPr>
                        <w:sz w:val="18"/>
                        <w:lang w:val="uk-UA"/>
                      </w:rPr>
                    </w:pPr>
                    <w:r>
                      <w:rPr>
                        <w:b/>
                        <w:bCs/>
                        <w:sz w:val="18"/>
                        <w:lang w:val="uk-UA"/>
                      </w:rPr>
                      <w:t>1</w:t>
                    </w:r>
                  </w:p>
                </w:txbxContent>
              </v:textbox>
            </v:oval>
            <v:oval id="_x0000_s1054" style="position:absolute;left:8910;top:7014;width:1122;height:1080">
              <v:textbox>
                <w:txbxContent>
                  <w:p w:rsidR="006A2FBB" w:rsidRDefault="0015463E">
                    <w:pPr>
                      <w:jc w:val="center"/>
                      <w:rPr>
                        <w:b/>
                        <w:bCs/>
                        <w:sz w:val="18"/>
                        <w:lang w:val="uk-UA"/>
                      </w:rPr>
                    </w:pPr>
                    <w:r>
                      <w:rPr>
                        <w:b/>
                        <w:bCs/>
                        <w:sz w:val="18"/>
                        <w:lang w:val="uk-UA"/>
                      </w:rPr>
                      <w:t>База даних</w:t>
                    </w:r>
                  </w:p>
                  <w:p w:rsidR="006A2FBB" w:rsidRDefault="0015463E">
                    <w:pPr>
                      <w:jc w:val="center"/>
                      <w:rPr>
                        <w:b/>
                        <w:bCs/>
                        <w:sz w:val="18"/>
                        <w:lang w:val="uk-UA"/>
                      </w:rPr>
                    </w:pPr>
                    <w:r>
                      <w:rPr>
                        <w:b/>
                        <w:bCs/>
                        <w:sz w:val="18"/>
                        <w:lang w:val="uk-UA"/>
                      </w:rPr>
                      <w:t>2</w:t>
                    </w:r>
                  </w:p>
                  <w:p w:rsidR="006A2FBB" w:rsidRDefault="006A2FBB"/>
                </w:txbxContent>
              </v:textbox>
            </v:oval>
          </v:group>
        </w:pict>
      </w: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6A2FBB">
      <w:pPr>
        <w:spacing w:line="360" w:lineRule="auto"/>
        <w:jc w:val="both"/>
        <w:rPr>
          <w:lang w:val="uk-UA"/>
        </w:rPr>
      </w:pPr>
    </w:p>
    <w:p w:rsidR="006A2FBB" w:rsidRDefault="0015463E">
      <w:pPr>
        <w:jc w:val="center"/>
        <w:rPr>
          <w:b/>
          <w:bCs/>
          <w:i/>
          <w:iCs/>
        </w:rPr>
      </w:pPr>
      <w:r>
        <w:rPr>
          <w:b/>
          <w:bCs/>
          <w:i/>
          <w:iCs/>
          <w:lang w:val="uk-UA"/>
        </w:rPr>
        <w:t xml:space="preserve">Рис.2. Зв’язок через формат </w:t>
      </w:r>
      <w:r>
        <w:rPr>
          <w:b/>
          <w:bCs/>
          <w:i/>
          <w:iCs/>
          <w:lang w:val="en-US"/>
        </w:rPr>
        <w:t>IGES</w:t>
      </w:r>
      <w:r>
        <w:rPr>
          <w:b/>
          <w:bCs/>
          <w:i/>
          <w:iCs/>
        </w:rPr>
        <w:t>.</w:t>
      </w:r>
    </w:p>
    <w:p w:rsidR="006A2FBB" w:rsidRDefault="006A2FBB"/>
    <w:p w:rsidR="006A2FBB" w:rsidRDefault="0015463E">
      <w:pPr>
        <w:spacing w:line="360" w:lineRule="auto"/>
        <w:ind w:firstLine="709"/>
        <w:rPr>
          <w:lang w:val="uk-UA"/>
        </w:rPr>
      </w:pPr>
      <w:r>
        <w:t xml:space="preserve">На рис.2 показана ідеологія обміну даними в форматі </w:t>
      </w:r>
      <w:r>
        <w:rPr>
          <w:lang w:val="en-US"/>
        </w:rPr>
        <w:t>IGES</w:t>
      </w:r>
      <w:r>
        <w:rPr>
          <w:lang w:val="uk-UA"/>
        </w:rPr>
        <w:t>.</w:t>
      </w:r>
    </w:p>
    <w:p w:rsidR="006A2FBB" w:rsidRDefault="0015463E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Щоб використовувати </w:t>
      </w:r>
      <w:r>
        <w:rPr>
          <w:lang w:val="en-US"/>
        </w:rPr>
        <w:t>IGES</w:t>
      </w:r>
      <w:r>
        <w:t xml:space="preserve">, кожна система </w:t>
      </w:r>
      <w:r>
        <w:rPr>
          <w:lang w:val="uk-UA"/>
        </w:rPr>
        <w:t xml:space="preserve">САПР/АСТПП оснащується двома транслюючими програмами: пре процесором і пост процесором. Для передачі даних з однієї бази даних САПР першої системи і засобами пре процесора перетворюються в набір сутностей формату </w:t>
      </w:r>
      <w:r>
        <w:rPr>
          <w:lang w:val="en-US"/>
        </w:rPr>
        <w:t>IGES</w:t>
      </w:r>
      <w:r>
        <w:rPr>
          <w:lang w:val="uk-UA"/>
        </w:rPr>
        <w:t xml:space="preserve">. Потім ці незалежні дані в форматі </w:t>
      </w:r>
      <w:r>
        <w:rPr>
          <w:lang w:val="en-US"/>
        </w:rPr>
        <w:t>IGES</w:t>
      </w:r>
      <w:r>
        <w:rPr>
          <w:lang w:val="uk-UA"/>
        </w:rPr>
        <w:t xml:space="preserve"> передаються пост процесору другої системи. І на кінець, постпроцесор транслює сутності </w:t>
      </w:r>
      <w:r>
        <w:rPr>
          <w:lang w:val="en-US"/>
        </w:rPr>
        <w:t>IGES</w:t>
      </w:r>
      <w:r>
        <w:rPr>
          <w:lang w:val="uk-UA"/>
        </w:rPr>
        <w:t xml:space="preserve"> в ті дані, з якими працює остання система.</w:t>
      </w:r>
    </w:p>
    <w:p w:rsidR="006A2FBB" w:rsidRDefault="006A2FBB">
      <w:pPr>
        <w:spacing w:line="360" w:lineRule="auto"/>
        <w:ind w:firstLine="709"/>
        <w:jc w:val="both"/>
        <w:rPr>
          <w:lang w:val="uk-UA"/>
        </w:rPr>
      </w:pPr>
    </w:p>
    <w:p w:rsidR="006A2FBB" w:rsidRDefault="006A2FBB">
      <w:pPr>
        <w:spacing w:line="360" w:lineRule="auto"/>
        <w:ind w:firstLine="709"/>
        <w:jc w:val="both"/>
        <w:rPr>
          <w:lang w:val="uk-UA"/>
        </w:rPr>
      </w:pPr>
      <w:bookmarkStart w:id="0" w:name="_GoBack"/>
      <w:bookmarkEnd w:id="0"/>
    </w:p>
    <w:sectPr w:rsidR="006A2F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01189"/>
    <w:multiLevelType w:val="hybridMultilevel"/>
    <w:tmpl w:val="16EE05E4"/>
    <w:lvl w:ilvl="0" w:tplc="DAB28F9E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332016"/>
    <w:multiLevelType w:val="hybridMultilevel"/>
    <w:tmpl w:val="5F22FF1E"/>
    <w:lvl w:ilvl="0" w:tplc="51743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6"/>
  <w:drawingGridVerticalSpacing w:val="6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63E"/>
    <w:rsid w:val="0015463E"/>
    <w:rsid w:val="006A2FBB"/>
    <w:rsid w:val="00AD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"/>
    <o:shapelayout v:ext="edit">
      <o:idmap v:ext="edit" data="1"/>
    </o:shapelayout>
  </w:shapeDefaults>
  <w:decimalSymbol w:val=","/>
  <w:listSeparator w:val=";"/>
  <w15:chartTrackingRefBased/>
  <w15:docId w15:val="{70DDA653-5219-4DE9-B796-CF95C504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2"/>
      <w:lang w:val="en-US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  <w:i/>
      <w:iCs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ind w:left="708"/>
      <w:jc w:val="both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08"/>
      <w:jc w:val="both"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lang w:val="uk-UA"/>
    </w:rPr>
  </w:style>
  <w:style w:type="paragraph" w:styleId="20">
    <w:name w:val="Body Text 2"/>
    <w:basedOn w:val="a"/>
    <w:semiHidden/>
    <w:pPr>
      <w:jc w:val="center"/>
    </w:pPr>
    <w:rPr>
      <w:sz w:val="24"/>
      <w:lang w:val="uk-UA"/>
    </w:rPr>
  </w:style>
  <w:style w:type="paragraph" w:styleId="30">
    <w:name w:val="Body Text 3"/>
    <w:basedOn w:val="a"/>
    <w:semiHidden/>
    <w:pPr>
      <w:jc w:val="center"/>
    </w:pPr>
    <w:rPr>
      <w:b/>
      <w:bCs/>
      <w:sz w:val="20"/>
      <w:lang w:val="uk-UA"/>
    </w:rPr>
  </w:style>
  <w:style w:type="paragraph" w:styleId="a4">
    <w:name w:val="Title"/>
    <w:basedOn w:val="a"/>
    <w:qFormat/>
    <w:pPr>
      <w:spacing w:line="360" w:lineRule="auto"/>
      <w:jc w:val="center"/>
    </w:pPr>
    <w:rPr>
      <w:rFonts w:ascii="Arial" w:hAnsi="Arial" w:cs="Arial"/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Прикладне програмне забезпечення</vt:lpstr>
    </vt:vector>
  </TitlesOfParts>
  <Manager>Точні науки</Manager>
  <Company>Точні науки</Company>
  <LinksUpToDate>false</LinksUpToDate>
  <CharactersWithSpaces>9183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Прикладне програмне забезпечення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2014-04-02T11:59:00Z</dcterms:created>
  <dcterms:modified xsi:type="dcterms:W3CDTF">2014-04-02T11:59:00Z</dcterms:modified>
  <cp:category>Точні науки</cp:category>
</cp:coreProperties>
</file>