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7DF" w:rsidRDefault="00751B5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Демография</w:t>
      </w:r>
      <w:r>
        <w:br/>
      </w:r>
      <w:r>
        <w:rPr>
          <w:b/>
          <w:bCs/>
        </w:rPr>
        <w:t xml:space="preserve">2 Административно-территориальное деление </w:t>
      </w:r>
      <w:r>
        <w:rPr>
          <w:b/>
          <w:bCs/>
        </w:rPr>
        <w:br/>
        <w:t>2.1 Динамика численности населения муниципалитета</w:t>
      </w:r>
      <w:r>
        <w:rPr>
          <w:b/>
          <w:bCs/>
        </w:rPr>
        <w:br/>
      </w:r>
      <w:r>
        <w:br/>
      </w:r>
      <w:r>
        <w:rPr>
          <w:b/>
          <w:bCs/>
        </w:rPr>
        <w:t>3 Интересные факты</w:t>
      </w:r>
      <w:r>
        <w:br/>
      </w:r>
      <w:r>
        <w:rPr>
          <w:b/>
          <w:bCs/>
        </w:rPr>
        <w:t>Список литературы</w:t>
      </w:r>
    </w:p>
    <w:p w:rsidR="009017DF" w:rsidRDefault="00751B5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017DF" w:rsidRDefault="00751B5E">
      <w:pPr>
        <w:pStyle w:val="a3"/>
      </w:pPr>
      <w:r>
        <w:t>Мелена-дель-Сур (исп. </w:t>
      </w:r>
      <w:r>
        <w:rPr>
          <w:i/>
          <w:iCs/>
        </w:rPr>
        <w:t>Melena del Sur</w:t>
      </w:r>
      <w:r>
        <w:t>) — муниципалитет и город в провинции Гавана на Кубе. Город основан в 1768 году.</w:t>
      </w:r>
    </w:p>
    <w:p w:rsidR="009017DF" w:rsidRDefault="00751B5E">
      <w:pPr>
        <w:pStyle w:val="a3"/>
        <w:rPr>
          <w:position w:val="10"/>
        </w:rPr>
      </w:pPr>
      <w:r>
        <w:t>Площадь муниципалитета составляет 228.46 км².</w:t>
      </w:r>
      <w:r>
        <w:rPr>
          <w:position w:val="10"/>
        </w:rPr>
        <w:t>[1]</w:t>
      </w:r>
      <w:r>
        <w:t xml:space="preserve"> Численность населения муниципалитета в 2008 году — 20 386 человек, а плотность — 89,1 чел./км².</w:t>
      </w:r>
      <w:r>
        <w:rPr>
          <w:position w:val="10"/>
        </w:rPr>
        <w:t>[2]</w:t>
      </w:r>
    </w:p>
    <w:p w:rsidR="009017DF" w:rsidRDefault="00751B5E">
      <w:pPr>
        <w:pStyle w:val="21"/>
        <w:pageBreakBefore/>
        <w:numPr>
          <w:ilvl w:val="0"/>
          <w:numId w:val="0"/>
        </w:numPr>
      </w:pPr>
      <w:r>
        <w:t>1. Демография</w:t>
      </w:r>
    </w:p>
    <w:p w:rsidR="009017DF" w:rsidRDefault="00751B5E">
      <w:pPr>
        <w:pStyle w:val="a3"/>
        <w:rPr>
          <w:position w:val="10"/>
        </w:rPr>
      </w:pPr>
      <w:r>
        <w:t>Численность населения муниципалитета 20 386 человек (по состоянию на 2008 год).</w:t>
      </w:r>
      <w:r>
        <w:rPr>
          <w:position w:val="10"/>
        </w:rPr>
        <w:t>[2]</w:t>
      </w:r>
      <w:r>
        <w:t xml:space="preserve"> С 1953 года население возросло на треть.</w:t>
      </w:r>
      <w:r>
        <w:rPr>
          <w:position w:val="10"/>
        </w:rPr>
        <w:t>[3]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1"/>
        <w:gridCol w:w="646"/>
        <w:gridCol w:w="856"/>
        <w:gridCol w:w="856"/>
        <w:gridCol w:w="856"/>
        <w:gridCol w:w="901"/>
      </w:tblGrid>
      <w:tr w:rsidR="009017DF">
        <w:tc>
          <w:tcPr>
            <w:tcW w:w="661" w:type="dxa"/>
            <w:vAlign w:val="center"/>
          </w:tcPr>
          <w:p w:rsidR="009017DF" w:rsidRDefault="00751B5E">
            <w:pPr>
              <w:pStyle w:val="TableHeading"/>
            </w:pPr>
            <w:r>
              <w:t>1899</w:t>
            </w:r>
          </w:p>
        </w:tc>
        <w:tc>
          <w:tcPr>
            <w:tcW w:w="646" w:type="dxa"/>
            <w:vAlign w:val="center"/>
          </w:tcPr>
          <w:p w:rsidR="009017DF" w:rsidRDefault="00751B5E">
            <w:pPr>
              <w:pStyle w:val="TableHeading"/>
            </w:pPr>
            <w:r>
              <w:t>1907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Heading"/>
            </w:pPr>
            <w:r>
              <w:t>1919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Heading"/>
            </w:pPr>
            <w:r>
              <w:t>1931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Heading"/>
            </w:pPr>
            <w:r>
              <w:t>1943</w:t>
            </w:r>
          </w:p>
        </w:tc>
        <w:tc>
          <w:tcPr>
            <w:tcW w:w="901" w:type="dxa"/>
            <w:vAlign w:val="center"/>
          </w:tcPr>
          <w:p w:rsidR="009017DF" w:rsidRDefault="00751B5E">
            <w:pPr>
              <w:pStyle w:val="TableHeading"/>
            </w:pPr>
            <w:r>
              <w:t>1953</w:t>
            </w:r>
          </w:p>
        </w:tc>
      </w:tr>
      <w:tr w:rsidR="009017DF">
        <w:tc>
          <w:tcPr>
            <w:tcW w:w="661" w:type="dxa"/>
            <w:vAlign w:val="center"/>
          </w:tcPr>
          <w:p w:rsidR="009017DF" w:rsidRDefault="00751B5E">
            <w:pPr>
              <w:pStyle w:val="TableContents"/>
            </w:pPr>
            <w:r>
              <w:t>3207</w:t>
            </w:r>
          </w:p>
        </w:tc>
        <w:tc>
          <w:tcPr>
            <w:tcW w:w="646" w:type="dxa"/>
            <w:vAlign w:val="center"/>
          </w:tcPr>
          <w:p w:rsidR="009017DF" w:rsidRDefault="00751B5E">
            <w:pPr>
              <w:pStyle w:val="TableContents"/>
            </w:pPr>
            <w:r>
              <w:t>7836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</w:pPr>
            <w:r>
              <w:t>11 331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</w:pPr>
            <w:r>
              <w:t>12 098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</w:pPr>
            <w:r>
              <w:t>13 431</w:t>
            </w:r>
          </w:p>
        </w:tc>
        <w:tc>
          <w:tcPr>
            <w:tcW w:w="901" w:type="dxa"/>
            <w:vAlign w:val="center"/>
          </w:tcPr>
          <w:p w:rsidR="009017DF" w:rsidRDefault="00751B5E">
            <w:pPr>
              <w:pStyle w:val="TableContents"/>
            </w:pPr>
            <w:r>
              <w:t>14 529</w:t>
            </w:r>
          </w:p>
        </w:tc>
      </w:tr>
    </w:tbl>
    <w:p w:rsidR="009017DF" w:rsidRDefault="00751B5E">
      <w:pPr>
        <w:pStyle w:val="21"/>
        <w:pageBreakBefore/>
        <w:numPr>
          <w:ilvl w:val="0"/>
          <w:numId w:val="0"/>
        </w:numPr>
      </w:pPr>
      <w:r>
        <w:t xml:space="preserve">2. Административно-территориальное деление </w:t>
      </w:r>
    </w:p>
    <w:p w:rsidR="009017DF" w:rsidRDefault="00751B5E">
      <w:pPr>
        <w:pStyle w:val="a3"/>
      </w:pPr>
      <w:r>
        <w:t>Муниципалитет Мелена-дель-Сур поделён на районы: Байямо, Чаркас, Коста-де-Гуара, Коста-де-Мелена, Лечугас, Навио, Понсе, Пуэбло, Пуэбло-де-Гуара, Руис и Сан-Хулиан</w:t>
      </w:r>
      <w:r>
        <w:rPr>
          <w:position w:val="10"/>
        </w:rPr>
        <w:t>[4]</w:t>
      </w:r>
      <w:r>
        <w:t>.</w:t>
      </w:r>
    </w:p>
    <w:p w:rsidR="009017DF" w:rsidRDefault="00751B5E">
      <w:pPr>
        <w:pStyle w:val="31"/>
        <w:numPr>
          <w:ilvl w:val="0"/>
          <w:numId w:val="0"/>
        </w:numPr>
      </w:pPr>
      <w:r>
        <w:t>2.1. Динамика численности населения муниципалитета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06"/>
        <w:gridCol w:w="1756"/>
        <w:gridCol w:w="856"/>
        <w:gridCol w:w="856"/>
        <w:gridCol w:w="902"/>
      </w:tblGrid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Heading"/>
            </w:pPr>
            <w:r>
              <w:t>№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Heading"/>
              <w:rPr>
                <w:rFonts w:eastAsia="Liberation Serif" w:cs="Liberation Serif"/>
                <w:bCs w:val="0"/>
                <w:szCs w:val="24"/>
              </w:rPr>
            </w:pPr>
            <w:r>
              <w:rPr>
                <w:rFonts w:eastAsia="Liberation Serif" w:cs="Liberation Serif"/>
                <w:bCs w:val="0"/>
                <w:szCs w:val="24"/>
              </w:rPr>
              <w:t>район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Heading"/>
            </w:pPr>
            <w:r>
              <w:t>1919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Heading"/>
            </w:pPr>
            <w:r>
              <w:t>1931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Heading"/>
            </w:pPr>
            <w:r>
              <w:t>1943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1.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Байямо (</w:t>
            </w:r>
            <w:r>
              <w:rPr>
                <w:i/>
                <w:iCs/>
              </w:rPr>
              <w:t>Bayamo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330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397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384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2.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Коста-де-Гуара (</w:t>
            </w:r>
            <w:r>
              <w:rPr>
                <w:i/>
                <w:iCs/>
              </w:rPr>
              <w:t>Costa de Guara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508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558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562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3.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Коста-де-Мелена (</w:t>
            </w:r>
            <w:r>
              <w:rPr>
                <w:i/>
                <w:iCs/>
              </w:rPr>
              <w:t>Costa de Melena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1198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1134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1432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4.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Чаркас (</w:t>
            </w:r>
            <w:r>
              <w:rPr>
                <w:i/>
                <w:iCs/>
              </w:rPr>
              <w:t>Charcas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1307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1563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1767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5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Лечугас (</w:t>
            </w:r>
            <w:r>
              <w:rPr>
                <w:i/>
                <w:iCs/>
              </w:rPr>
              <w:t>Lechugas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1589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1631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1854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6.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Навио (</w:t>
            </w:r>
            <w:r>
              <w:rPr>
                <w:i/>
                <w:iCs/>
              </w:rPr>
              <w:t>Navío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550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688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684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7.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Понсе (</w:t>
            </w:r>
            <w:r>
              <w:rPr>
                <w:i/>
                <w:iCs/>
              </w:rPr>
              <w:t>Ponce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354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369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311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8.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Пуэбло (</w:t>
            </w:r>
            <w:r>
              <w:rPr>
                <w:i/>
                <w:iCs/>
              </w:rPr>
              <w:t>Pueblo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2608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2941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3487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9.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Пуэбло-де-Гуара (</w:t>
            </w:r>
            <w:r>
              <w:rPr>
                <w:i/>
                <w:iCs/>
              </w:rPr>
              <w:t>Pueblo de Guara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1724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1557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1653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10.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Руис (</w:t>
            </w:r>
            <w:r>
              <w:rPr>
                <w:i/>
                <w:iCs/>
              </w:rPr>
              <w:t>Ruiz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349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402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373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11.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</w:pPr>
            <w:r>
              <w:t>Сан-Хулиан (</w:t>
            </w:r>
            <w:r>
              <w:rPr>
                <w:i/>
                <w:iCs/>
              </w:rPr>
              <w:t>San Julián</w:t>
            </w:r>
            <w:r>
              <w:t>)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814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858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  <w:jc w:val="right"/>
            </w:pPr>
            <w:r>
              <w:t>797</w:t>
            </w:r>
          </w:p>
        </w:tc>
      </w:tr>
      <w:tr w:rsidR="009017DF">
        <w:tc>
          <w:tcPr>
            <w:tcW w:w="406" w:type="dxa"/>
            <w:vAlign w:val="center"/>
          </w:tcPr>
          <w:p w:rsidR="009017DF" w:rsidRDefault="00751B5E">
            <w:pPr>
              <w:pStyle w:val="TableContents"/>
            </w:pPr>
            <w:r>
              <w:t> </w:t>
            </w:r>
          </w:p>
        </w:tc>
        <w:tc>
          <w:tcPr>
            <w:tcW w:w="1756" w:type="dxa"/>
            <w:vAlign w:val="center"/>
          </w:tcPr>
          <w:p w:rsidR="009017DF" w:rsidRDefault="00751B5E">
            <w:pPr>
              <w:pStyle w:val="TableContents"/>
              <w:jc w:val="center"/>
              <w:rPr>
                <w:rFonts w:eastAsia="Liberation Serif" w:cs="Liberation Serif"/>
                <w:b/>
                <w:szCs w:val="24"/>
              </w:rPr>
            </w:pPr>
            <w:r>
              <w:rPr>
                <w:rFonts w:eastAsia="Liberation Serif" w:cs="Liberation Serif"/>
                <w:b/>
                <w:szCs w:val="24"/>
              </w:rPr>
              <w:t>Мелена-дель-Сур в целом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</w:pPr>
            <w:r>
              <w:t>11 331</w:t>
            </w:r>
          </w:p>
        </w:tc>
        <w:tc>
          <w:tcPr>
            <w:tcW w:w="856" w:type="dxa"/>
            <w:vAlign w:val="center"/>
          </w:tcPr>
          <w:p w:rsidR="009017DF" w:rsidRDefault="00751B5E">
            <w:pPr>
              <w:pStyle w:val="TableContents"/>
            </w:pPr>
            <w:r>
              <w:t>12 098</w:t>
            </w:r>
          </w:p>
        </w:tc>
        <w:tc>
          <w:tcPr>
            <w:tcW w:w="902" w:type="dxa"/>
            <w:vAlign w:val="center"/>
          </w:tcPr>
          <w:p w:rsidR="009017DF" w:rsidRDefault="00751B5E">
            <w:pPr>
              <w:pStyle w:val="TableContents"/>
            </w:pPr>
            <w:r>
              <w:t>13 304</w:t>
            </w:r>
          </w:p>
        </w:tc>
      </w:tr>
    </w:tbl>
    <w:p w:rsidR="009017DF" w:rsidRDefault="00751B5E">
      <w:pPr>
        <w:pStyle w:val="21"/>
        <w:pageBreakBefore/>
        <w:numPr>
          <w:ilvl w:val="0"/>
          <w:numId w:val="0"/>
        </w:numPr>
      </w:pPr>
      <w:r>
        <w:t>3. Интересные факты</w:t>
      </w:r>
    </w:p>
    <w:p w:rsidR="009017DF" w:rsidRDefault="00751B5E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position w:val="10"/>
        </w:rPr>
      </w:pPr>
      <w:r>
        <w:t>Будущий кубинский лидер Фидель Кастро после окончания Юридического факультета Гаванского университета вел и выиграл дело крестьянской семьи из Мелена-дель-Сур, которую хотели выгнать с принадлежавшей ей земли владельцы сахарного завода «Мерседитас».</w:t>
      </w:r>
      <w:r>
        <w:rPr>
          <w:position w:val="10"/>
        </w:rPr>
        <w:t>[5][6]</w:t>
      </w:r>
    </w:p>
    <w:p w:rsidR="009017DF" w:rsidRDefault="00751B5E">
      <w:pPr>
        <w:pStyle w:val="a3"/>
        <w:numPr>
          <w:ilvl w:val="0"/>
          <w:numId w:val="2"/>
        </w:numPr>
        <w:tabs>
          <w:tab w:val="left" w:pos="707"/>
        </w:tabs>
        <w:rPr>
          <w:position w:val="10"/>
        </w:rPr>
      </w:pPr>
      <w:r>
        <w:t xml:space="preserve">В 2000 году здесь была открыта одной из первых в стране Школа срочной подготовки учителей начальных классов </w:t>
      </w:r>
      <w:r>
        <w:rPr>
          <w:position w:val="10"/>
        </w:rPr>
        <w:t>[7]</w:t>
      </w:r>
    </w:p>
    <w:p w:rsidR="009017DF" w:rsidRDefault="00751B5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017DF" w:rsidRDefault="00751B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Муниципалитеты Кубы</w:t>
      </w:r>
    </w:p>
    <w:p w:rsidR="009017DF" w:rsidRDefault="00751B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Population trends, by Province and Municipality</w:t>
      </w:r>
    </w:p>
    <w:p w:rsidR="009017DF" w:rsidRDefault="00751B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Муниципалитет «Мелена-дель-Сур»</w:t>
      </w:r>
    </w:p>
    <w:p w:rsidR="009017DF" w:rsidRDefault="00751B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Муниципалитет Мелена-дель-Сур</w:t>
      </w:r>
    </w:p>
    <w:p w:rsidR="009017DF" w:rsidRDefault="00751B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«Адвокат для народа»//Журнал «Юрист», № 8(62) 2006 г.</w:t>
      </w:r>
    </w:p>
    <w:p w:rsidR="009017DF" w:rsidRDefault="00751B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Леонов Н.С.,Бородаев В.А.Фидель Кастро. Политическая биография</w:t>
      </w:r>
    </w:p>
    <w:p w:rsidR="009017DF" w:rsidRDefault="00751B5E">
      <w:pPr>
        <w:pStyle w:val="a3"/>
        <w:numPr>
          <w:ilvl w:val="0"/>
          <w:numId w:val="1"/>
        </w:numPr>
        <w:tabs>
          <w:tab w:val="left" w:pos="707"/>
        </w:tabs>
      </w:pPr>
      <w:r>
        <w:t>ВЫСТУПЛЕНИЕ ПРЕЗИДЕНТА РЕСПУБЛИКИ КУБА ФИДЕЛЯ КАСТРО РУСА НА ТОРЖЕСТВЕННОМ СОБРАНИИ, ПОСВЯЩЕННОМ СДАЧЕ 254 ВОССТАНОВЛЕННЫХ ИЛИ ПОСТРОЕННЫХ ЗАНОВО СТОЛИЧНЫХ ШКОЛ, КОТОРОЕ СОСТОЯЛОСЬ В КИНОТЕАТРЕ “АСТРАЛЬ” 13 АВГУСТА 2002 ГОДА, В ДЕНЬ РОЖДЕНИЯ ФИДЕЛЯ КАСТРО</w:t>
      </w:r>
    </w:p>
    <w:p w:rsidR="009017DF" w:rsidRDefault="00751B5E">
      <w:pPr>
        <w:pStyle w:val="a3"/>
        <w:spacing w:after="0"/>
      </w:pPr>
      <w:r>
        <w:t>Источник: http://ru.wikipedia.org/wiki/Мелена-дель-Сур</w:t>
      </w:r>
      <w:bookmarkStart w:id="0" w:name="_GoBack"/>
      <w:bookmarkEnd w:id="0"/>
    </w:p>
    <w:sectPr w:rsidR="009017D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1B5E"/>
    <w:rsid w:val="00751B5E"/>
    <w:rsid w:val="009017DF"/>
    <w:rsid w:val="00A9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ADA67F-51DA-4CC9-B875-3F14E9A1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2017</Characters>
  <Application>Microsoft Office Word</Application>
  <DocSecurity>0</DocSecurity>
  <Lines>16</Lines>
  <Paragraphs>4</Paragraphs>
  <ScaleCrop>false</ScaleCrop>
  <Company>diakov.net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2014-08-21T08:46:00Z</dcterms:created>
  <dcterms:modified xsi:type="dcterms:W3CDTF">2014-08-21T08:46:00Z</dcterms:modified>
</cp:coreProperties>
</file>